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1"/>
        </w:numPr>
        <w:spacing w:before="1" w:line="240" w:lineRule="auto"/>
        <w:ind w:left="1008" w:right="9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los requisitos: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1"/>
          <w:numId w:val="1"/>
        </w:numPr>
        <w:spacing w:before="1" w:line="240" w:lineRule="auto"/>
        <w:ind w:left="1728" w:right="99" w:hanging="360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Usuario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1"/>
          <w:numId w:val="1"/>
        </w:numPr>
        <w:spacing w:after="0" w:afterAutospacing="0" w:before="1" w:line="240" w:lineRule="auto"/>
        <w:ind w:left="1728" w:right="99" w:hanging="360"/>
        <w:jc w:val="both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Funcionales (el sistema deberá)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1"/>
          <w:numId w:val="1"/>
        </w:numPr>
        <w:spacing w:before="0" w:beforeAutospacing="0" w:line="240" w:lineRule="auto"/>
        <w:ind w:left="1728" w:right="99" w:hanging="360"/>
        <w:jc w:val="both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" w:line="240" w:lineRule="auto"/>
        <w:ind w:left="289" w:right="5" w:hanging="1.0000000000000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Cuando un contenedor alcanza un 40% de su volumen se considera lleno como para ser retirado y se incluye automáticamente en la generación de rutas.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b4a7d6" w:val="clear"/>
          <w:rtl w:val="0"/>
        </w:rPr>
        <w:t xml:space="preserve">La capacidad de carga de un camión municipal es = (15 x capacidad contenedor) / (índice desgaste).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Si un contenedor no ha sido retirado en 7 días automáticamente será incluido en la generación de rutas.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Cuando el contenido de un camión de recogida supere el 80% de su capacidad o el 70% del peso permitido acudirá directamente a la planta de reciclaje a vaciar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 finalizará la ruta informando inmediatamente de la incidencia a la central del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¿Eficiencia? No es informático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b4a7d6" w:val="clear"/>
          <w:rtl w:val="0"/>
        </w:rPr>
        <w:t xml:space="preserve">Morado: Ni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  <w:color w:val="ffffff"/>
          <w:highlight w:val="re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9" w:right="5" w:hanging="1.0000000000000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Cualquier incidencia en una ruta será reportada de forma inmediata mediante una notificación a los jefes de cuadrillas.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este caso,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sistema generará una ruta extra nueva para completar las recogidas programadas en menos de 12 horas.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Cuando una ruta pasa a menos de 200 metros de un contenedor fijo debe incluir a éste siempre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cuando éste esté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estado “lleno”. Si una cuadrilla supera en el 15% el tiempo o kilometraje previstos en la ruta el desfase se registrará en el sistema para la corrección y el aprendizaje del sistema.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deben calcular rutas óptimas que permitan recoger todos los contenedores que han superado el umbral de llenado por cada una de las zonas o distritos de Madrid. Esta ruta óptima debe generarse en función de realizar el mínimo recorrido posible alcanzando todos los contenedores que superen el umbral de llenado.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Éstas se generan de forma automática basándose en la información de los sensores y otras variables como el tiempo sin ser recogido de un contenedor.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El sistema debe visualizar datos resumen de las rutas: kms, horarios, consumo.</w:t>
      </w: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  Se debe permitir dar de alta, baja y modificar en el sistema a los trabajadores municipales con sus perfiles asociados y la información de los mismos (horarios, vacaciones, etc.) así como a las cuadrillas de trabajo.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necesario que se identifiquen los distritos que sean puntos calientes y las horas punta en las cuales se suele llegar al umbral de llenado de los contendores y el número de los contenedores que alcanzan ese llenado. Estos puntos calientes deben tenerse en cuenta a la hora de generar las rutas. Es necesaria el alta, baja y modificación de los contenedores fijos en calle con sus tipologías, geolocalización e información extra de los mismos.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 contenedor pasa a estado de “prioridad de recogida” si supera el umbral de llenado.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Cualquier modificación de rutas debido a la identificación de puntos calientes debe ser notificada al jefe de cuadrillas.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La distribución de contenedores en todo Madrid debe ser visualizada a través de los mapas en el SIG en tiempo real.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Los mapas deben permitir visualizar los contenedores por distritos.</w:t>
      </w: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 Se debe identificar el estado de llenado de cada contenedor de forma visual, </w:t>
      </w:r>
      <w:r w:rsidDel="00000000" w:rsidR="00000000" w:rsidRPr="00000000">
        <w:rPr>
          <w:rFonts w:ascii="Calibri" w:cs="Calibri" w:eastAsia="Calibri" w:hAnsi="Calibri"/>
          <w:highlight w:val="magenta"/>
          <w:rtl w:val="0"/>
        </w:rPr>
        <w:t xml:space="preserve">de tal manera que</w:t>
      </w: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 tanto los jefes de cuadrilla como el jefe del servicio de recogida de residuos, el responsable del área de movilidad y las cuadrillas.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highlight w:val="red"/>
          <w:rtl w:val="0"/>
        </w:rPr>
        <w:t xml:space="preserve">Si una zona pasa a ser punto caliente se debe generar una alerta al jefe de las cuadrillas y el jefe del servicio de recogida de residuos.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Asimismo, la zona o distrito que se identifique como zona caliente debería mostrarse resaltada (visualmente) dentro del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  <w:sz w:val="32"/>
          <w:szCs w:val="32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magenta"/>
          <w:rtl w:val="0"/>
        </w:rPr>
        <w:t xml:space="preserve">Rosa: No está bien redactado he supuesto que se refiere a que deben tener acceso a la visualización.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284" w:firstLine="0"/>
        <w:jc w:val="both"/>
        <w:rPr>
          <w:rFonts w:ascii="Calibri" w:cs="Calibri" w:eastAsia="Calibri" w:hAnsi="Calibri"/>
          <w:sz w:val="32"/>
          <w:szCs w:val="32"/>
          <w:highlight w:val="magent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