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EE00" w14:textId="77777777" w:rsidR="00C31A58" w:rsidRPr="00187E6F" w:rsidRDefault="00C31A58" w:rsidP="00C31A58">
      <w:pPr>
        <w:rPr>
          <w:rFonts w:ascii="Calibri" w:hAnsi="Calibri"/>
          <w:sz w:val="36"/>
          <w:szCs w:val="36"/>
        </w:rPr>
      </w:pPr>
    </w:p>
    <w:tbl>
      <w:tblPr>
        <w:tblStyle w:val="a4"/>
        <w:tblW w:w="9791" w:type="dxa"/>
        <w:tblInd w:w="-11" w:type="dxa"/>
        <w:tblLayout w:type="fixed"/>
        <w:tblLook w:val="04A0" w:firstRow="1" w:lastRow="0" w:firstColumn="1" w:lastColumn="0" w:noHBand="0" w:noVBand="1"/>
      </w:tblPr>
      <w:tblGrid>
        <w:gridCol w:w="2032"/>
        <w:gridCol w:w="1936"/>
        <w:gridCol w:w="2128"/>
        <w:gridCol w:w="1981"/>
        <w:gridCol w:w="1714"/>
      </w:tblGrid>
      <w:tr w:rsidR="00C31A58" w:rsidRPr="004B412C" w14:paraId="569D87E6" w14:textId="77777777" w:rsidTr="00EF560B">
        <w:trPr>
          <w:trHeight w:val="438"/>
        </w:trPr>
        <w:tc>
          <w:tcPr>
            <w:tcW w:w="9791" w:type="dxa"/>
            <w:gridSpan w:val="5"/>
          </w:tcPr>
          <w:p w14:paraId="27C54966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C31A58" w:rsidRPr="004B412C" w14:paraId="72B9F130" w14:textId="77777777" w:rsidTr="00EF560B">
        <w:trPr>
          <w:trHeight w:val="1411"/>
        </w:trPr>
        <w:tc>
          <w:tcPr>
            <w:tcW w:w="2032" w:type="dxa"/>
          </w:tcPr>
          <w:p w14:paraId="74736515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1936" w:type="dxa"/>
          </w:tcPr>
          <w:p w14:paraId="09F9D15D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4FE1A4A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28" w:type="dxa"/>
          </w:tcPr>
          <w:p w14:paraId="1E7608D6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313DCABE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right-side</w:t>
            </w:r>
          </w:p>
          <w:p w14:paraId="2A979C10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154ADEC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1981" w:type="dxa"/>
          </w:tcPr>
          <w:p w14:paraId="7450CD95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5AEBB8CD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left-side</w:t>
            </w:r>
          </w:p>
          <w:p w14:paraId="201D6B10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23A10F71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1714" w:type="dxa"/>
          </w:tcPr>
          <w:p w14:paraId="74DA3897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C31A58" w:rsidRPr="004B412C" w14:paraId="6F0E17AC" w14:textId="77777777" w:rsidTr="00EF560B">
        <w:trPr>
          <w:trHeight w:val="457"/>
        </w:trPr>
        <w:tc>
          <w:tcPr>
            <w:tcW w:w="2032" w:type="dxa"/>
          </w:tcPr>
          <w:p w14:paraId="6266B3D9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190E7DF3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10</w:t>
            </w:r>
          </w:p>
        </w:tc>
        <w:tc>
          <w:tcPr>
            <w:tcW w:w="2128" w:type="dxa"/>
          </w:tcPr>
          <w:p w14:paraId="5C029F41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6BA4617E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1714" w:type="dxa"/>
          </w:tcPr>
          <w:p w14:paraId="1C3D19A9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56%</w:t>
            </w:r>
          </w:p>
        </w:tc>
      </w:tr>
      <w:tr w:rsidR="00C31A58" w:rsidRPr="004B412C" w14:paraId="4AB543D7" w14:textId="77777777" w:rsidTr="00EF560B">
        <w:trPr>
          <w:trHeight w:val="457"/>
        </w:trPr>
        <w:tc>
          <w:tcPr>
            <w:tcW w:w="2032" w:type="dxa"/>
          </w:tcPr>
          <w:p w14:paraId="0AAF12EE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7975E83C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10</w:t>
            </w:r>
          </w:p>
        </w:tc>
        <w:tc>
          <w:tcPr>
            <w:tcW w:w="4109" w:type="dxa"/>
            <w:gridSpan w:val="2"/>
          </w:tcPr>
          <w:p w14:paraId="3B5B3358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10 multiplex</w:t>
            </w:r>
          </w:p>
        </w:tc>
        <w:tc>
          <w:tcPr>
            <w:tcW w:w="1714" w:type="dxa"/>
          </w:tcPr>
          <w:p w14:paraId="34CD8006" w14:textId="4A53BA1A" w:rsidR="00C31A58" w:rsidRPr="0010422E" w:rsidRDefault="00F378DB" w:rsidP="00EF560B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>
              <w:rPr>
                <w:rFonts w:ascii="Calibri" w:hAnsi="Calibri"/>
                <w:color w:val="FF0000"/>
                <w:sz w:val="36"/>
                <w:szCs w:val="36"/>
              </w:rPr>
              <w:t>99.82</w:t>
            </w:r>
            <w:r w:rsidR="00C31A58" w:rsidRPr="0010422E">
              <w:rPr>
                <w:rFonts w:ascii="Calibri" w:hAnsi="Calibri"/>
                <w:color w:val="FF0000"/>
                <w:sz w:val="36"/>
                <w:szCs w:val="36"/>
              </w:rPr>
              <w:t>%</w:t>
            </w:r>
          </w:p>
        </w:tc>
      </w:tr>
      <w:tr w:rsidR="00C31A58" w:rsidRPr="004B412C" w14:paraId="7F45A09C" w14:textId="77777777" w:rsidTr="00EF560B">
        <w:trPr>
          <w:trHeight w:val="457"/>
        </w:trPr>
        <w:tc>
          <w:tcPr>
            <w:tcW w:w="2032" w:type="dxa"/>
          </w:tcPr>
          <w:p w14:paraId="26F86AE5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23299A3A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10</w:t>
            </w:r>
          </w:p>
        </w:tc>
        <w:tc>
          <w:tcPr>
            <w:tcW w:w="2128" w:type="dxa"/>
          </w:tcPr>
          <w:p w14:paraId="0E0E5E0B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 xml:space="preserve">5                     </w:t>
            </w:r>
          </w:p>
        </w:tc>
        <w:tc>
          <w:tcPr>
            <w:tcW w:w="1981" w:type="dxa"/>
          </w:tcPr>
          <w:p w14:paraId="583A7D99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5</w:t>
            </w:r>
          </w:p>
        </w:tc>
        <w:tc>
          <w:tcPr>
            <w:tcW w:w="1714" w:type="dxa"/>
          </w:tcPr>
          <w:p w14:paraId="56F139DC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95.90%</w:t>
            </w:r>
          </w:p>
        </w:tc>
      </w:tr>
      <w:tr w:rsidR="00C31A58" w:rsidRPr="004B412C" w14:paraId="64026DF1" w14:textId="77777777" w:rsidTr="00EF560B">
        <w:trPr>
          <w:trHeight w:val="457"/>
        </w:trPr>
        <w:tc>
          <w:tcPr>
            <w:tcW w:w="2032" w:type="dxa"/>
          </w:tcPr>
          <w:p w14:paraId="2D2F6BE5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0F4B0756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5</w:t>
            </w:r>
          </w:p>
        </w:tc>
        <w:tc>
          <w:tcPr>
            <w:tcW w:w="2128" w:type="dxa"/>
          </w:tcPr>
          <w:p w14:paraId="4C652B3C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60387117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1714" w:type="dxa"/>
          </w:tcPr>
          <w:p w14:paraId="70576674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39.67%</w:t>
            </w:r>
          </w:p>
        </w:tc>
      </w:tr>
      <w:tr w:rsidR="00C31A58" w:rsidRPr="004B412C" w14:paraId="6BC710D5" w14:textId="77777777" w:rsidTr="00EF560B">
        <w:trPr>
          <w:trHeight w:val="457"/>
        </w:trPr>
        <w:tc>
          <w:tcPr>
            <w:tcW w:w="2032" w:type="dxa"/>
          </w:tcPr>
          <w:p w14:paraId="4C40B5DB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698D5D56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5</w:t>
            </w:r>
          </w:p>
        </w:tc>
        <w:tc>
          <w:tcPr>
            <w:tcW w:w="4109" w:type="dxa"/>
            <w:gridSpan w:val="2"/>
          </w:tcPr>
          <w:p w14:paraId="6F4290B8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5 multiplex</w:t>
            </w:r>
          </w:p>
        </w:tc>
        <w:tc>
          <w:tcPr>
            <w:tcW w:w="1714" w:type="dxa"/>
          </w:tcPr>
          <w:p w14:paraId="67B6D2EF" w14:textId="3E106F8C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commentRangeStart w:id="0"/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77.72%</w:t>
            </w:r>
            <w:commentRangeEnd w:id="0"/>
            <w:r>
              <w:rPr>
                <w:rStyle w:val="a6"/>
              </w:rPr>
              <w:commentReference w:id="0"/>
            </w:r>
            <w:r w:rsidR="000A74CB">
              <w:rPr>
                <w:rFonts w:ascii="Calibri" w:hAnsi="Calibri"/>
                <w:color w:val="70AD47" w:themeColor="accent6"/>
                <w:sz w:val="36"/>
                <w:szCs w:val="36"/>
              </w:rPr>
              <w:t xml:space="preserve"> </w:t>
            </w:r>
          </w:p>
        </w:tc>
      </w:tr>
      <w:tr w:rsidR="00C31A58" w:rsidRPr="004B412C" w14:paraId="4118F5A9" w14:textId="77777777" w:rsidTr="00EF560B">
        <w:trPr>
          <w:trHeight w:val="457"/>
        </w:trPr>
        <w:tc>
          <w:tcPr>
            <w:tcW w:w="2032" w:type="dxa"/>
          </w:tcPr>
          <w:p w14:paraId="4EDDBECD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2BEDAF6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2128" w:type="dxa"/>
          </w:tcPr>
          <w:p w14:paraId="586E5EE7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1D3B9A03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714" w:type="dxa"/>
          </w:tcPr>
          <w:p w14:paraId="1290339E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45.74%</w:t>
            </w:r>
          </w:p>
        </w:tc>
      </w:tr>
      <w:tr w:rsidR="00C31A58" w:rsidRPr="004B412C" w14:paraId="5DBC7FED" w14:textId="77777777" w:rsidTr="00EF560B">
        <w:trPr>
          <w:trHeight w:val="457"/>
        </w:trPr>
        <w:tc>
          <w:tcPr>
            <w:tcW w:w="2032" w:type="dxa"/>
          </w:tcPr>
          <w:p w14:paraId="7595363F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784F17A1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6</w:t>
            </w:r>
          </w:p>
        </w:tc>
        <w:tc>
          <w:tcPr>
            <w:tcW w:w="4109" w:type="dxa"/>
            <w:gridSpan w:val="2"/>
          </w:tcPr>
          <w:p w14:paraId="0D4A685D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4 multiplex</w:t>
            </w:r>
          </w:p>
        </w:tc>
        <w:tc>
          <w:tcPr>
            <w:tcW w:w="1714" w:type="dxa"/>
          </w:tcPr>
          <w:p w14:paraId="7A926869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77.31%</w:t>
            </w:r>
          </w:p>
        </w:tc>
      </w:tr>
      <w:tr w:rsidR="00C31A58" w:rsidRPr="004B412C" w14:paraId="4F38FBD3" w14:textId="77777777" w:rsidTr="00EF560B">
        <w:trPr>
          <w:trHeight w:val="457"/>
        </w:trPr>
        <w:tc>
          <w:tcPr>
            <w:tcW w:w="2032" w:type="dxa"/>
          </w:tcPr>
          <w:p w14:paraId="238483A3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2DBAC43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2128" w:type="dxa"/>
          </w:tcPr>
          <w:p w14:paraId="7105DD5F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090A8797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714" w:type="dxa"/>
          </w:tcPr>
          <w:p w14:paraId="74006BEB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C31A58" w:rsidRPr="004B412C" w14:paraId="635A303B" w14:textId="77777777" w:rsidTr="00EF560B">
        <w:trPr>
          <w:trHeight w:val="438"/>
        </w:trPr>
        <w:tc>
          <w:tcPr>
            <w:tcW w:w="2032" w:type="dxa"/>
          </w:tcPr>
          <w:p w14:paraId="5821A564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1DD2E212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8</w:t>
            </w:r>
          </w:p>
        </w:tc>
        <w:tc>
          <w:tcPr>
            <w:tcW w:w="4109" w:type="dxa"/>
            <w:gridSpan w:val="2"/>
          </w:tcPr>
          <w:p w14:paraId="3E377FDE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2 multiplex</w:t>
            </w:r>
          </w:p>
        </w:tc>
        <w:tc>
          <w:tcPr>
            <w:tcW w:w="1714" w:type="dxa"/>
          </w:tcPr>
          <w:p w14:paraId="72312B62" w14:textId="77777777" w:rsidR="00C31A58" w:rsidRPr="0010422E" w:rsidRDefault="00C31A58" w:rsidP="00EF560B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70.90%</w:t>
            </w:r>
          </w:p>
        </w:tc>
      </w:tr>
      <w:tr w:rsidR="00C31A58" w:rsidRPr="004B412C" w14:paraId="78061E3F" w14:textId="77777777" w:rsidTr="00EF560B">
        <w:trPr>
          <w:trHeight w:val="438"/>
        </w:trPr>
        <w:tc>
          <w:tcPr>
            <w:tcW w:w="2032" w:type="dxa"/>
          </w:tcPr>
          <w:p w14:paraId="15F93B5A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15669F19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128" w:type="dxa"/>
          </w:tcPr>
          <w:p w14:paraId="1CF24CCA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16789888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714" w:type="dxa"/>
          </w:tcPr>
          <w:p w14:paraId="2B80674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C31A58" w:rsidRPr="004B412C" w14:paraId="7310B0E2" w14:textId="77777777" w:rsidTr="00EF560B">
        <w:trPr>
          <w:trHeight w:val="438"/>
        </w:trPr>
        <w:tc>
          <w:tcPr>
            <w:tcW w:w="2032" w:type="dxa"/>
          </w:tcPr>
          <w:p w14:paraId="1DC35DD6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6AF39376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5</w:t>
            </w:r>
          </w:p>
        </w:tc>
        <w:tc>
          <w:tcPr>
            <w:tcW w:w="4109" w:type="dxa"/>
            <w:gridSpan w:val="2"/>
          </w:tcPr>
          <w:p w14:paraId="1D6D02F7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5 multiplex</w:t>
            </w:r>
          </w:p>
        </w:tc>
        <w:tc>
          <w:tcPr>
            <w:tcW w:w="1714" w:type="dxa"/>
          </w:tcPr>
          <w:p w14:paraId="7A178330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100%</w:t>
            </w:r>
          </w:p>
        </w:tc>
      </w:tr>
    </w:tbl>
    <w:p w14:paraId="625ED665" w14:textId="77777777" w:rsidR="00C31A58" w:rsidRDefault="00C31A58" w:rsidP="00C31A58">
      <w:pPr>
        <w:pStyle w:val="a3"/>
        <w:ind w:left="360"/>
        <w:rPr>
          <w:rFonts w:ascii="Calibri" w:hAnsi="Calibri"/>
          <w:color w:val="FF0000"/>
          <w:sz w:val="28"/>
          <w:szCs w:val="28"/>
        </w:rPr>
      </w:pPr>
    </w:p>
    <w:p w14:paraId="6B53CA1D" w14:textId="77777777" w:rsidR="00C31A58" w:rsidRDefault="00C31A58" w:rsidP="00C31A58">
      <w:pPr>
        <w:pStyle w:val="a3"/>
        <w:ind w:left="360"/>
        <w:rPr>
          <w:rFonts w:ascii="Calibri" w:hAnsi="Calibri"/>
          <w:color w:val="FF0000"/>
          <w:sz w:val="28"/>
          <w:szCs w:val="28"/>
        </w:rPr>
      </w:pPr>
      <w:r w:rsidRPr="0010422E">
        <w:rPr>
          <w:rFonts w:ascii="Calibri" w:hAnsi="Calibri"/>
          <w:color w:val="FF0000"/>
          <w:sz w:val="28"/>
          <w:szCs w:val="28"/>
        </w:rPr>
        <w:t xml:space="preserve">Observation: </w:t>
      </w:r>
    </w:p>
    <w:p w14:paraId="087DAA2F" w14:textId="77777777" w:rsidR="00C31A58" w:rsidRDefault="00C31A58" w:rsidP="00C31A58">
      <w:pPr>
        <w:pStyle w:val="a3"/>
        <w:numPr>
          <w:ilvl w:val="0"/>
          <w:numId w:val="2"/>
        </w:numPr>
        <w:rPr>
          <w:rFonts w:ascii="Calibri" w:hAnsi="Calibri"/>
          <w:color w:val="FF0000"/>
          <w:sz w:val="28"/>
          <w:szCs w:val="28"/>
          <w:lang w:val="en-US"/>
        </w:rPr>
      </w:pPr>
      <w:r w:rsidRPr="0010422E">
        <w:rPr>
          <w:rFonts w:ascii="Calibri" w:hAnsi="Calibri"/>
          <w:color w:val="FF0000"/>
          <w:sz w:val="28"/>
          <w:szCs w:val="28"/>
        </w:rPr>
        <w:t>if the overall bandwidth is fixed (e.g., 10 MHz),</w:t>
      </w:r>
      <w:r>
        <w:rPr>
          <w:rFonts w:ascii="Calibri" w:hAnsi="Calibri"/>
          <w:color w:val="FF0000"/>
          <w:sz w:val="28"/>
          <w:szCs w:val="28"/>
        </w:rPr>
        <w:t xml:space="preserve"> the</w:t>
      </w:r>
      <w:r>
        <w:rPr>
          <w:rFonts w:ascii="Calibri" w:hAnsi="Calibri" w:hint="eastAsia"/>
          <w:color w:val="FF0000"/>
          <w:sz w:val="28"/>
          <w:szCs w:val="28"/>
        </w:rPr>
        <w:t xml:space="preserve"> pa</w:t>
      </w:r>
      <w:r>
        <w:rPr>
          <w:rFonts w:ascii="Calibri" w:hAnsi="Calibri"/>
          <w:color w:val="FF0000"/>
          <w:sz w:val="28"/>
          <w:szCs w:val="28"/>
        </w:rPr>
        <w:t>cket reception ratio (PRR) is increased by applying the two hops V2V communication. However, the E2E latency might be increased for the receivers which receive the packets from the 2</w:t>
      </w:r>
      <w:r w:rsidRPr="006011AA">
        <w:rPr>
          <w:rFonts w:ascii="Calibri" w:hAnsi="Calibri"/>
          <w:color w:val="FF0000"/>
          <w:sz w:val="28"/>
          <w:szCs w:val="28"/>
          <w:vertAlign w:val="superscript"/>
        </w:rPr>
        <w:t>nd</w:t>
      </w:r>
      <w:r>
        <w:rPr>
          <w:rFonts w:ascii="Calibri" w:hAnsi="Calibri"/>
          <w:color w:val="FF0000"/>
          <w:sz w:val="28"/>
          <w:szCs w:val="28"/>
        </w:rPr>
        <w:t xml:space="preserve"> hop only. The tendency for PRR performance is that, a better performance can be experienced if the two hops have the resource in a more balanced way (there might be a mathematical equation for this phenomenon).</w:t>
      </w:r>
      <w:r w:rsidRPr="004F70F8">
        <w:rPr>
          <w:rFonts w:ascii="Calibri" w:hAnsi="Calibri"/>
          <w:color w:val="A8D08D" w:themeColor="accent6" w:themeTint="99"/>
          <w:sz w:val="28"/>
          <w:szCs w:val="28"/>
        </w:rPr>
        <w:t xml:space="preserve"> From the mathematical analysis, I can see that if the interference power is much smaller than the noise power (this can also be a consideration to control the transmission power in a way that the interference power is much smaller than the noise power), the resource should be split equally between the first and the second hop.</w:t>
      </w:r>
      <w:r>
        <w:rPr>
          <w:rFonts w:ascii="Calibri" w:hAnsi="Calibri" w:hint="eastAsia"/>
          <w:color w:val="FF0000"/>
          <w:sz w:val="28"/>
          <w:szCs w:val="28"/>
        </w:rPr>
        <w:t xml:space="preserve"> </w:t>
      </w:r>
      <w:r w:rsidRPr="00A23F3B">
        <w:rPr>
          <w:rFonts w:ascii="Calibri" w:hAnsi="Calibri"/>
          <w:color w:val="FF0000"/>
          <w:sz w:val="28"/>
          <w:szCs w:val="28"/>
          <w:lang w:val="en-US"/>
        </w:rPr>
        <w:t>I</w:t>
      </w:r>
      <w:r>
        <w:rPr>
          <w:rFonts w:ascii="Calibri" w:hAnsi="Calibri"/>
          <w:color w:val="FF0000"/>
          <w:sz w:val="28"/>
          <w:szCs w:val="28"/>
          <w:lang w:val="en-US"/>
        </w:rPr>
        <w:t>f the interference is not much smaller than the noise power, then we need to calculate the fraction of resource allocation</w:t>
      </w:r>
      <w:r w:rsidRPr="00A23F3B">
        <w:rPr>
          <w:rFonts w:ascii="Calibri" w:hAnsi="Calibri"/>
          <w:color w:val="FF0000"/>
          <w:sz w:val="28"/>
          <w:szCs w:val="28"/>
          <w:lang w:val="en-US"/>
        </w:rPr>
        <w:t xml:space="preserve"> based on </w:t>
      </w:r>
      <w:r>
        <w:rPr>
          <w:rFonts w:ascii="Calibri" w:hAnsi="Calibri"/>
          <w:color w:val="FF0000"/>
          <w:sz w:val="28"/>
          <w:szCs w:val="28"/>
          <w:lang w:val="en-US"/>
        </w:rPr>
        <w:t>the numerical</w:t>
      </w:r>
      <w:r w:rsidRPr="00A23F3B">
        <w:rPr>
          <w:rFonts w:ascii="Calibri" w:hAnsi="Calibri"/>
          <w:color w:val="FF0000"/>
          <w:sz w:val="28"/>
          <w:szCs w:val="28"/>
          <w:lang w:val="en-US"/>
        </w:rPr>
        <w:t xml:space="preserve"> estimation</w:t>
      </w:r>
      <w:r>
        <w:rPr>
          <w:rFonts w:ascii="Calibri" w:hAnsi="Calibri"/>
          <w:color w:val="FF0000"/>
          <w:sz w:val="28"/>
          <w:szCs w:val="28"/>
          <w:lang w:val="en-US"/>
        </w:rPr>
        <w:t xml:space="preserve"> algorithm</w:t>
      </w:r>
      <w:r w:rsidRPr="00A23F3B">
        <w:rPr>
          <w:rFonts w:ascii="Calibri" w:hAnsi="Calibri"/>
          <w:color w:val="FF0000"/>
          <w:sz w:val="28"/>
          <w:szCs w:val="28"/>
          <w:lang w:val="en-US"/>
        </w:rPr>
        <w:t>.</w:t>
      </w:r>
    </w:p>
    <w:p w14:paraId="57F67310" w14:textId="77777777" w:rsidR="00C31A58" w:rsidRPr="00883E61" w:rsidRDefault="00C31A58" w:rsidP="00C31A58">
      <w:pPr>
        <w:pStyle w:val="a3"/>
        <w:numPr>
          <w:ilvl w:val="0"/>
          <w:numId w:val="2"/>
        </w:numPr>
        <w:rPr>
          <w:rFonts w:ascii="Calibri" w:hAnsi="Calibri"/>
          <w:color w:val="FF0000"/>
          <w:sz w:val="28"/>
          <w:szCs w:val="28"/>
          <w:lang w:val="en-US"/>
        </w:rPr>
      </w:pPr>
      <w:r w:rsidRPr="00A569DD">
        <w:rPr>
          <w:rFonts w:ascii="Calibri" w:hAnsi="Calibri"/>
          <w:color w:val="FF0000"/>
          <w:sz w:val="28"/>
          <w:szCs w:val="28"/>
          <w:lang w:val="en-US"/>
        </w:rPr>
        <w:t>A compari</w:t>
      </w:r>
      <w:r w:rsidRPr="00D64725">
        <w:rPr>
          <w:rFonts w:ascii="Calibri" w:hAnsi="Calibri"/>
          <w:color w:val="FF0000"/>
          <w:sz w:val="28"/>
          <w:szCs w:val="28"/>
          <w:lang w:val="en-US"/>
        </w:rPr>
        <w:t>s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 xml:space="preserve">on between three values can be given (10MHz for </w:t>
      </w:r>
      <w:r>
        <w:rPr>
          <w:rFonts w:ascii="Calibri" w:hAnsi="Calibri"/>
          <w:color w:val="FF0000"/>
          <w:sz w:val="28"/>
          <w:szCs w:val="28"/>
          <w:lang w:val="en-US"/>
        </w:rPr>
        <w:t xml:space="preserve">the 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>first hop, 5+5 MHz</w:t>
      </w:r>
      <w:r>
        <w:rPr>
          <w:rFonts w:ascii="Calibri" w:hAnsi="Calibri"/>
          <w:color w:val="FF0000"/>
          <w:sz w:val="28"/>
          <w:szCs w:val="28"/>
          <w:lang w:val="en-US"/>
        </w:rPr>
        <w:t xml:space="preserve"> (optimal solution)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 xml:space="preserve"> for </w:t>
      </w:r>
      <w:r>
        <w:rPr>
          <w:rFonts w:ascii="Calibri" w:hAnsi="Calibri"/>
          <w:color w:val="FF0000"/>
          <w:sz w:val="28"/>
          <w:szCs w:val="28"/>
          <w:lang w:val="en-US"/>
        </w:rPr>
        <w:t xml:space="preserve">the 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 xml:space="preserve">first and </w:t>
      </w:r>
      <w:r>
        <w:rPr>
          <w:rFonts w:ascii="Calibri" w:hAnsi="Calibri"/>
          <w:color w:val="FF0000"/>
          <w:sz w:val="28"/>
          <w:szCs w:val="28"/>
          <w:lang w:val="en-US"/>
        </w:rPr>
        <w:t xml:space="preserve">the 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>se</w:t>
      </w:r>
      <w:r>
        <w:rPr>
          <w:rFonts w:ascii="Calibri" w:hAnsi="Calibri"/>
          <w:color w:val="FF0000"/>
          <w:sz w:val="28"/>
          <w:szCs w:val="28"/>
          <w:lang w:val="en-US"/>
        </w:rPr>
        <w:t>cond hops, and 8+2 MHz for the first and the second hops</w:t>
      </w:r>
      <w:proofErr w:type="gramStart"/>
      <w:r w:rsidRPr="00A569DD">
        <w:rPr>
          <w:rFonts w:ascii="Calibri" w:hAnsi="Calibri"/>
          <w:color w:val="FF0000"/>
          <w:sz w:val="28"/>
          <w:szCs w:val="28"/>
          <w:lang w:val="en-US"/>
        </w:rPr>
        <w:t>)</w:t>
      </w:r>
      <w:r>
        <w:rPr>
          <w:rFonts w:ascii="Calibri" w:hAnsi="Calibri"/>
          <w:color w:val="A8D08D" w:themeColor="accent6" w:themeTint="99"/>
          <w:sz w:val="28"/>
          <w:szCs w:val="28"/>
          <w:lang w:val="en-US"/>
        </w:rPr>
        <w:t>.</w:t>
      </w:r>
      <w:r w:rsidRPr="00756087">
        <w:rPr>
          <w:rFonts w:ascii="Calibri" w:hAnsi="Calibri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Pr="00756087">
        <w:rPr>
          <w:rFonts w:ascii="Calibri" w:hAnsi="Calibri"/>
          <w:color w:val="A8D08D" w:themeColor="accent6" w:themeTint="99"/>
          <w:sz w:val="28"/>
          <w:szCs w:val="28"/>
          <w:lang w:val="en-US"/>
        </w:rPr>
        <w:t>graph)</w:t>
      </w:r>
    </w:p>
    <w:p w14:paraId="24A90A2D" w14:textId="77777777" w:rsidR="00C31A58" w:rsidRPr="00C43BD4" w:rsidRDefault="00C31A58" w:rsidP="00C31A58">
      <w:pPr>
        <w:ind w:left="360"/>
        <w:rPr>
          <w:rFonts w:ascii="Calibri" w:hAnsi="Calibri"/>
          <w:color w:val="FF0000"/>
          <w:sz w:val="28"/>
          <w:szCs w:val="28"/>
          <w:lang w:val="en-US"/>
        </w:rPr>
      </w:pPr>
    </w:p>
    <w:p w14:paraId="03F82044" w14:textId="77777777" w:rsidR="00C31A58" w:rsidRDefault="00C31A58" w:rsidP="00C31A58">
      <w:pPr>
        <w:pStyle w:val="a3"/>
        <w:ind w:left="360"/>
        <w:rPr>
          <w:rFonts w:ascii="Calibri" w:hAnsi="Calibri"/>
          <w:color w:val="FF0000"/>
          <w:sz w:val="36"/>
          <w:szCs w:val="36"/>
        </w:rPr>
      </w:pPr>
      <w:r w:rsidRPr="00C43BD4">
        <w:rPr>
          <w:rFonts w:ascii="Calibri" w:hAnsi="Calibri"/>
          <w:noProof/>
          <w:color w:val="FF0000"/>
          <w:sz w:val="36"/>
          <w:szCs w:val="36"/>
          <w:lang w:val="en-US"/>
        </w:rPr>
        <w:drawing>
          <wp:inline distT="0" distB="0" distL="0" distR="0" wp14:anchorId="5DD482B2" wp14:editId="3CA6C72C">
            <wp:extent cx="5756910" cy="41325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81DB" w14:textId="77777777" w:rsidR="00C31A58" w:rsidRDefault="00C31A58" w:rsidP="00C31A58">
      <w:pPr>
        <w:pStyle w:val="a3"/>
        <w:ind w:left="360"/>
        <w:rPr>
          <w:rFonts w:ascii="Calibri" w:hAnsi="Calibri"/>
          <w:color w:val="FF0000"/>
          <w:sz w:val="36"/>
          <w:szCs w:val="36"/>
        </w:rPr>
      </w:pPr>
    </w:p>
    <w:p w14:paraId="05548E65" w14:textId="77777777" w:rsidR="00C31A58" w:rsidRPr="0010422E" w:rsidRDefault="00C31A58" w:rsidP="00C31A58">
      <w:pPr>
        <w:pStyle w:val="a3"/>
        <w:numPr>
          <w:ilvl w:val="0"/>
          <w:numId w:val="1"/>
        </w:numPr>
        <w:rPr>
          <w:rFonts w:ascii="Calibri" w:hAnsi="Calibri"/>
          <w:color w:val="FF0000"/>
          <w:sz w:val="36"/>
          <w:szCs w:val="36"/>
        </w:rPr>
      </w:pPr>
      <w:r w:rsidRPr="0010422E">
        <w:rPr>
          <w:rFonts w:ascii="Calibri" w:hAnsi="Calibri"/>
          <w:color w:val="FF0000"/>
          <w:sz w:val="36"/>
          <w:szCs w:val="36"/>
        </w:rPr>
        <w:t>Different bandwidth in first hop</w:t>
      </w:r>
    </w:p>
    <w:tbl>
      <w:tblPr>
        <w:tblStyle w:val="a4"/>
        <w:tblW w:w="10253" w:type="dxa"/>
        <w:tblInd w:w="-11" w:type="dxa"/>
        <w:tblLook w:val="04A0" w:firstRow="1" w:lastRow="0" w:firstColumn="1" w:lastColumn="0" w:noHBand="0" w:noVBand="1"/>
      </w:tblPr>
      <w:tblGrid>
        <w:gridCol w:w="2694"/>
        <w:gridCol w:w="3402"/>
        <w:gridCol w:w="4157"/>
      </w:tblGrid>
      <w:tr w:rsidR="00C31A58" w:rsidRPr="004B412C" w14:paraId="26020A37" w14:textId="77777777" w:rsidTr="00EF560B">
        <w:trPr>
          <w:trHeight w:val="438"/>
        </w:trPr>
        <w:tc>
          <w:tcPr>
            <w:tcW w:w="10253" w:type="dxa"/>
            <w:gridSpan w:val="3"/>
          </w:tcPr>
          <w:p w14:paraId="17E7786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C31A58" w:rsidRPr="004B412C" w14:paraId="5DDCE19F" w14:textId="77777777" w:rsidTr="00EF560B">
        <w:trPr>
          <w:trHeight w:val="438"/>
        </w:trPr>
        <w:tc>
          <w:tcPr>
            <w:tcW w:w="2694" w:type="dxa"/>
          </w:tcPr>
          <w:p w14:paraId="374EA5D1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3402" w:type="dxa"/>
          </w:tcPr>
          <w:p w14:paraId="5F3C017D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1C120BF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4157" w:type="dxa"/>
          </w:tcPr>
          <w:p w14:paraId="7B61468F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C31A58" w:rsidRPr="004B412C" w14:paraId="427AE537" w14:textId="77777777" w:rsidTr="00EF560B">
        <w:trPr>
          <w:trHeight w:val="438"/>
        </w:trPr>
        <w:tc>
          <w:tcPr>
            <w:tcW w:w="2694" w:type="dxa"/>
          </w:tcPr>
          <w:p w14:paraId="7DC86C65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0CF3648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4157" w:type="dxa"/>
          </w:tcPr>
          <w:p w14:paraId="7063DF50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56%</w:t>
            </w:r>
          </w:p>
        </w:tc>
      </w:tr>
      <w:tr w:rsidR="00C31A58" w:rsidRPr="004B412C" w14:paraId="1C298E28" w14:textId="77777777" w:rsidTr="00EF560B">
        <w:trPr>
          <w:trHeight w:val="438"/>
        </w:trPr>
        <w:tc>
          <w:tcPr>
            <w:tcW w:w="2694" w:type="dxa"/>
          </w:tcPr>
          <w:p w14:paraId="7FB85135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5D10637A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157" w:type="dxa"/>
          </w:tcPr>
          <w:p w14:paraId="58C517A9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C31A58" w:rsidRPr="004B412C" w14:paraId="252F2D73" w14:textId="77777777" w:rsidTr="00EF560B">
        <w:trPr>
          <w:trHeight w:val="474"/>
        </w:trPr>
        <w:tc>
          <w:tcPr>
            <w:tcW w:w="2694" w:type="dxa"/>
          </w:tcPr>
          <w:p w14:paraId="013F4D4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74837D58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157" w:type="dxa"/>
          </w:tcPr>
          <w:p w14:paraId="736C84CA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45.74%</w:t>
            </w:r>
          </w:p>
        </w:tc>
      </w:tr>
      <w:tr w:rsidR="00C31A58" w:rsidRPr="004B412C" w14:paraId="5B51B296" w14:textId="77777777" w:rsidTr="00EF560B">
        <w:trPr>
          <w:trHeight w:val="438"/>
        </w:trPr>
        <w:tc>
          <w:tcPr>
            <w:tcW w:w="2694" w:type="dxa"/>
          </w:tcPr>
          <w:p w14:paraId="1DEF5631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01CA5F3C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157" w:type="dxa"/>
          </w:tcPr>
          <w:p w14:paraId="4BB4349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39.67%</w:t>
            </w:r>
          </w:p>
        </w:tc>
      </w:tr>
      <w:tr w:rsidR="00C31A58" w:rsidRPr="004B412C" w14:paraId="2D44FBB0" w14:textId="77777777" w:rsidTr="00EF560B">
        <w:trPr>
          <w:trHeight w:val="438"/>
        </w:trPr>
        <w:tc>
          <w:tcPr>
            <w:tcW w:w="2694" w:type="dxa"/>
          </w:tcPr>
          <w:p w14:paraId="683D0466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07DEAA14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5</w:t>
            </w:r>
          </w:p>
        </w:tc>
        <w:tc>
          <w:tcPr>
            <w:tcW w:w="4157" w:type="dxa"/>
          </w:tcPr>
          <w:p w14:paraId="042F7FC3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54.26%</w:t>
            </w:r>
          </w:p>
        </w:tc>
      </w:tr>
      <w:tr w:rsidR="00C31A58" w:rsidRPr="004B412C" w14:paraId="40E2FC26" w14:textId="77777777" w:rsidTr="00EF560B">
        <w:trPr>
          <w:trHeight w:val="438"/>
        </w:trPr>
        <w:tc>
          <w:tcPr>
            <w:tcW w:w="2694" w:type="dxa"/>
          </w:tcPr>
          <w:p w14:paraId="4A7849FB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03BB011F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157" w:type="dxa"/>
          </w:tcPr>
          <w:p w14:paraId="3826BB0F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57.54%</w:t>
            </w:r>
          </w:p>
        </w:tc>
      </w:tr>
      <w:tr w:rsidR="00C31A58" w:rsidRPr="004B412C" w14:paraId="5E7B8F55" w14:textId="77777777" w:rsidTr="00EF560B">
        <w:trPr>
          <w:trHeight w:val="438"/>
        </w:trPr>
        <w:tc>
          <w:tcPr>
            <w:tcW w:w="2694" w:type="dxa"/>
          </w:tcPr>
          <w:p w14:paraId="5EF02581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3DDBAEB0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157" w:type="dxa"/>
          </w:tcPr>
          <w:p w14:paraId="2FC97433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67.02%</w:t>
            </w:r>
          </w:p>
        </w:tc>
      </w:tr>
      <w:tr w:rsidR="00C31A58" w:rsidRPr="004B412C" w14:paraId="38C1FFB7" w14:textId="77777777" w:rsidTr="00EF560B">
        <w:trPr>
          <w:trHeight w:val="438"/>
        </w:trPr>
        <w:tc>
          <w:tcPr>
            <w:tcW w:w="2694" w:type="dxa"/>
          </w:tcPr>
          <w:p w14:paraId="4536A2AB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5C0B5E73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10</w:t>
            </w:r>
          </w:p>
        </w:tc>
        <w:tc>
          <w:tcPr>
            <w:tcW w:w="4157" w:type="dxa"/>
          </w:tcPr>
          <w:p w14:paraId="3B3343EF" w14:textId="77777777" w:rsidR="00C31A58" w:rsidRPr="00346C9D" w:rsidRDefault="00C31A58" w:rsidP="00EF560B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71.28%</w:t>
            </w:r>
          </w:p>
        </w:tc>
      </w:tr>
    </w:tbl>
    <w:p w14:paraId="057BEBCC" w14:textId="77777777" w:rsidR="00C31A58" w:rsidRPr="00D64725" w:rsidRDefault="00C31A58" w:rsidP="00C31A58">
      <w:pPr>
        <w:pStyle w:val="a3"/>
        <w:ind w:left="360"/>
        <w:rPr>
          <w:rFonts w:ascii="Calibri" w:hAnsi="Calibri"/>
          <w:color w:val="FF0000"/>
          <w:sz w:val="28"/>
          <w:szCs w:val="28"/>
        </w:rPr>
      </w:pPr>
    </w:p>
    <w:p w14:paraId="7E119C31" w14:textId="77777777" w:rsidR="00C31A58" w:rsidRPr="00D64725" w:rsidRDefault="00C31A58" w:rsidP="00C31A58">
      <w:pPr>
        <w:pStyle w:val="a3"/>
        <w:ind w:left="360"/>
        <w:rPr>
          <w:rFonts w:ascii="Calibri" w:hAnsi="Calibri"/>
          <w:color w:val="FF0000"/>
          <w:sz w:val="28"/>
          <w:szCs w:val="28"/>
        </w:rPr>
      </w:pPr>
      <w:r w:rsidRPr="00D64725">
        <w:rPr>
          <w:rFonts w:ascii="Calibri" w:hAnsi="Calibri"/>
          <w:color w:val="FF0000"/>
          <w:sz w:val="28"/>
          <w:szCs w:val="28"/>
        </w:rPr>
        <w:t>Observation:</w:t>
      </w:r>
    </w:p>
    <w:p w14:paraId="04A1EEA7" w14:textId="77777777" w:rsidR="00C31A58" w:rsidRPr="00D64725" w:rsidRDefault="00C31A58" w:rsidP="00C31A58">
      <w:pPr>
        <w:pStyle w:val="a3"/>
        <w:numPr>
          <w:ilvl w:val="0"/>
          <w:numId w:val="3"/>
        </w:numPr>
        <w:rPr>
          <w:rFonts w:ascii="Calibri" w:hAnsi="Calibri"/>
          <w:color w:val="FF0000"/>
          <w:sz w:val="28"/>
          <w:szCs w:val="28"/>
        </w:rPr>
      </w:pPr>
      <w:r>
        <w:rPr>
          <w:rFonts w:ascii="Calibri" w:hAnsi="Calibri"/>
          <w:color w:val="FF0000"/>
          <w:sz w:val="28"/>
          <w:szCs w:val="28"/>
        </w:rPr>
        <w:t>We can plot again the same figure but now change the number of vehicles to be 1200.</w:t>
      </w:r>
    </w:p>
    <w:p w14:paraId="534D310B" w14:textId="77777777" w:rsidR="00C31A58" w:rsidRPr="004B412C" w:rsidRDefault="00C31A58" w:rsidP="00C31A58">
      <w:pPr>
        <w:ind w:left="360" w:firstLine="320"/>
        <w:rPr>
          <w:rFonts w:ascii="Calibri" w:hAnsi="Calibri"/>
          <w:sz w:val="36"/>
          <w:szCs w:val="36"/>
        </w:rPr>
      </w:pPr>
    </w:p>
    <w:p w14:paraId="535F4B8F" w14:textId="77777777" w:rsidR="00C31A58" w:rsidRPr="004B412C" w:rsidRDefault="00C31A58" w:rsidP="00C31A58">
      <w:pPr>
        <w:pStyle w:val="a3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4B412C">
        <w:rPr>
          <w:rFonts w:ascii="Calibri" w:hAnsi="Calibri"/>
          <w:sz w:val="36"/>
          <w:szCs w:val="36"/>
        </w:rPr>
        <w:t>20MHZ used in both first-hop and second-hop</w:t>
      </w:r>
    </w:p>
    <w:tbl>
      <w:tblPr>
        <w:tblStyle w:val="a4"/>
        <w:tblW w:w="10348" w:type="dxa"/>
        <w:tblInd w:w="-11" w:type="dxa"/>
        <w:tblLook w:val="04A0" w:firstRow="1" w:lastRow="0" w:firstColumn="1" w:lastColumn="0" w:noHBand="0" w:noVBand="1"/>
      </w:tblPr>
      <w:tblGrid>
        <w:gridCol w:w="2050"/>
        <w:gridCol w:w="1953"/>
        <w:gridCol w:w="2072"/>
        <w:gridCol w:w="2073"/>
        <w:gridCol w:w="2200"/>
      </w:tblGrid>
      <w:tr w:rsidR="00C31A58" w:rsidRPr="004B412C" w14:paraId="565ED6C1" w14:textId="77777777" w:rsidTr="00EF560B">
        <w:trPr>
          <w:trHeight w:val="438"/>
        </w:trPr>
        <w:tc>
          <w:tcPr>
            <w:tcW w:w="10348" w:type="dxa"/>
            <w:gridSpan w:val="5"/>
          </w:tcPr>
          <w:p w14:paraId="09E2A19E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C31A58" w:rsidRPr="004B412C" w14:paraId="37460ACA" w14:textId="77777777" w:rsidTr="00EF560B">
        <w:trPr>
          <w:trHeight w:val="1411"/>
        </w:trPr>
        <w:tc>
          <w:tcPr>
            <w:tcW w:w="2050" w:type="dxa"/>
          </w:tcPr>
          <w:p w14:paraId="0F619856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1953" w:type="dxa"/>
          </w:tcPr>
          <w:p w14:paraId="2E1DD623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49ACCDB6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072" w:type="dxa"/>
          </w:tcPr>
          <w:p w14:paraId="055CA686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4E6D094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right-side</w:t>
            </w:r>
          </w:p>
          <w:p w14:paraId="4809647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2B5F5516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073" w:type="dxa"/>
          </w:tcPr>
          <w:p w14:paraId="0350078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303CC9E3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left-side</w:t>
            </w:r>
          </w:p>
          <w:p w14:paraId="2719E42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2751AE97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200" w:type="dxa"/>
          </w:tcPr>
          <w:p w14:paraId="03A3A037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C31A58" w:rsidRPr="004B412C" w14:paraId="71B268D0" w14:textId="77777777" w:rsidTr="00EF560B">
        <w:trPr>
          <w:trHeight w:val="438"/>
        </w:trPr>
        <w:tc>
          <w:tcPr>
            <w:tcW w:w="2050" w:type="dxa"/>
          </w:tcPr>
          <w:p w14:paraId="1518B2B0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6F8BD277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2072" w:type="dxa"/>
          </w:tcPr>
          <w:p w14:paraId="621618D6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073" w:type="dxa"/>
          </w:tcPr>
          <w:p w14:paraId="04C3C275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200" w:type="dxa"/>
          </w:tcPr>
          <w:p w14:paraId="6507A78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95.90%</w:t>
            </w:r>
          </w:p>
        </w:tc>
      </w:tr>
      <w:tr w:rsidR="00C31A58" w:rsidRPr="004B412C" w14:paraId="1231E006" w14:textId="77777777" w:rsidTr="00EF560B">
        <w:trPr>
          <w:trHeight w:val="438"/>
        </w:trPr>
        <w:tc>
          <w:tcPr>
            <w:tcW w:w="2050" w:type="dxa"/>
          </w:tcPr>
          <w:p w14:paraId="646BE90C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1AD86A5F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4145" w:type="dxa"/>
            <w:gridSpan w:val="2"/>
          </w:tcPr>
          <w:p w14:paraId="7B757F65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 multiplex</w:t>
            </w:r>
          </w:p>
        </w:tc>
        <w:tc>
          <w:tcPr>
            <w:tcW w:w="2200" w:type="dxa"/>
          </w:tcPr>
          <w:p w14:paraId="65A5516E" w14:textId="61B50875" w:rsidR="00C31A58" w:rsidRPr="004B412C" w:rsidRDefault="00B141E9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99.</w:t>
            </w:r>
            <w:r w:rsidR="00C31A58" w:rsidRPr="004B412C">
              <w:rPr>
                <w:rFonts w:ascii="Calibri" w:hAnsi="Calibri"/>
                <w:sz w:val="36"/>
                <w:szCs w:val="36"/>
              </w:rPr>
              <w:t>8</w:t>
            </w:r>
            <w:r>
              <w:rPr>
                <w:rFonts w:ascii="Calibri" w:hAnsi="Calibri"/>
                <w:sz w:val="36"/>
                <w:szCs w:val="36"/>
              </w:rPr>
              <w:t>2</w:t>
            </w:r>
            <w:r w:rsidR="00C31A58" w:rsidRPr="004B412C">
              <w:rPr>
                <w:rFonts w:ascii="Calibri" w:hAnsi="Calibri"/>
                <w:sz w:val="36"/>
                <w:szCs w:val="36"/>
              </w:rPr>
              <w:t>%</w:t>
            </w:r>
          </w:p>
        </w:tc>
      </w:tr>
    </w:tbl>
    <w:p w14:paraId="1E6C11B6" w14:textId="77777777" w:rsidR="00C31A58" w:rsidRPr="004B412C" w:rsidRDefault="00C31A58" w:rsidP="00C31A58">
      <w:pPr>
        <w:rPr>
          <w:rFonts w:ascii="Calibri" w:hAnsi="Calibri"/>
          <w:sz w:val="36"/>
          <w:szCs w:val="36"/>
        </w:rPr>
      </w:pPr>
    </w:p>
    <w:p w14:paraId="32F02A31" w14:textId="77777777" w:rsidR="00C31A58" w:rsidRPr="004B412C" w:rsidRDefault="00C31A58" w:rsidP="00C31A58">
      <w:pPr>
        <w:rPr>
          <w:rFonts w:ascii="Calibri" w:hAnsi="Calibri"/>
          <w:sz w:val="36"/>
          <w:szCs w:val="36"/>
        </w:rPr>
      </w:pPr>
      <w:r w:rsidRPr="004B412C">
        <w:rPr>
          <w:rFonts w:ascii="Calibri" w:hAnsi="Calibri"/>
          <w:sz w:val="36"/>
          <w:szCs w:val="36"/>
        </w:rPr>
        <w:t>3.10MHZ used in both first-hop and second-hop</w:t>
      </w:r>
    </w:p>
    <w:tbl>
      <w:tblPr>
        <w:tblStyle w:val="a4"/>
        <w:tblW w:w="10348" w:type="dxa"/>
        <w:tblInd w:w="-11" w:type="dxa"/>
        <w:tblLook w:val="04A0" w:firstRow="1" w:lastRow="0" w:firstColumn="1" w:lastColumn="0" w:noHBand="0" w:noVBand="1"/>
      </w:tblPr>
      <w:tblGrid>
        <w:gridCol w:w="2050"/>
        <w:gridCol w:w="1953"/>
        <w:gridCol w:w="2072"/>
        <w:gridCol w:w="2147"/>
        <w:gridCol w:w="2126"/>
      </w:tblGrid>
      <w:tr w:rsidR="00C31A58" w:rsidRPr="004B412C" w14:paraId="117CECF9" w14:textId="77777777" w:rsidTr="00EF560B">
        <w:trPr>
          <w:trHeight w:val="438"/>
        </w:trPr>
        <w:tc>
          <w:tcPr>
            <w:tcW w:w="10348" w:type="dxa"/>
            <w:gridSpan w:val="5"/>
          </w:tcPr>
          <w:p w14:paraId="428F60AF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C31A58" w:rsidRPr="004B412C" w14:paraId="4479F081" w14:textId="77777777" w:rsidTr="00EF560B">
        <w:trPr>
          <w:trHeight w:val="1411"/>
        </w:trPr>
        <w:tc>
          <w:tcPr>
            <w:tcW w:w="2050" w:type="dxa"/>
          </w:tcPr>
          <w:p w14:paraId="009BC64E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1953" w:type="dxa"/>
          </w:tcPr>
          <w:p w14:paraId="73135A80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4883DB3C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072" w:type="dxa"/>
          </w:tcPr>
          <w:p w14:paraId="057E600C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5C37584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right-side</w:t>
            </w:r>
          </w:p>
          <w:p w14:paraId="5242137A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4BF202F1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47" w:type="dxa"/>
          </w:tcPr>
          <w:p w14:paraId="1E67A64E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0963AE25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left-side</w:t>
            </w:r>
          </w:p>
          <w:p w14:paraId="501C709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6E17748B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26" w:type="dxa"/>
          </w:tcPr>
          <w:p w14:paraId="14DEDABB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C31A58" w:rsidRPr="004B412C" w14:paraId="30A3C6DA" w14:textId="77777777" w:rsidTr="00EF560B">
        <w:trPr>
          <w:trHeight w:val="438"/>
        </w:trPr>
        <w:tc>
          <w:tcPr>
            <w:tcW w:w="2050" w:type="dxa"/>
          </w:tcPr>
          <w:p w14:paraId="150C6406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176607E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219" w:type="dxa"/>
            <w:gridSpan w:val="2"/>
          </w:tcPr>
          <w:p w14:paraId="40492A70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 multiplex</w:t>
            </w:r>
          </w:p>
        </w:tc>
        <w:tc>
          <w:tcPr>
            <w:tcW w:w="2126" w:type="dxa"/>
          </w:tcPr>
          <w:p w14:paraId="51EDF383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77.72%</w:t>
            </w:r>
          </w:p>
        </w:tc>
      </w:tr>
      <w:tr w:rsidR="00C31A58" w:rsidRPr="004B412C" w14:paraId="6C152851" w14:textId="77777777" w:rsidTr="00EF560B">
        <w:trPr>
          <w:trHeight w:val="438"/>
        </w:trPr>
        <w:tc>
          <w:tcPr>
            <w:tcW w:w="2050" w:type="dxa"/>
          </w:tcPr>
          <w:p w14:paraId="16106001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0D3FD2CB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219" w:type="dxa"/>
            <w:gridSpan w:val="2"/>
          </w:tcPr>
          <w:p w14:paraId="648673B6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 multiplex</w:t>
            </w:r>
          </w:p>
        </w:tc>
        <w:tc>
          <w:tcPr>
            <w:tcW w:w="2126" w:type="dxa"/>
          </w:tcPr>
          <w:p w14:paraId="2214C4DD" w14:textId="77777777" w:rsidR="0054681D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77.31%</w:t>
            </w:r>
          </w:p>
          <w:p w14:paraId="1511EF47" w14:textId="1E0A16A8" w:rsidR="00C31A58" w:rsidRPr="004B412C" w:rsidRDefault="0054681D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84.46%</w:t>
            </w:r>
            <w:r w:rsidR="00C31A58" w:rsidRPr="004B412C">
              <w:rPr>
                <w:rFonts w:ascii="Calibri" w:hAnsi="Calibri"/>
                <w:sz w:val="36"/>
                <w:szCs w:val="36"/>
              </w:rPr>
              <w:t xml:space="preserve"> </w:t>
            </w:r>
          </w:p>
        </w:tc>
      </w:tr>
      <w:tr w:rsidR="00C31A58" w:rsidRPr="004B412C" w14:paraId="60F4419B" w14:textId="77777777" w:rsidTr="00EF560B">
        <w:trPr>
          <w:trHeight w:val="438"/>
        </w:trPr>
        <w:tc>
          <w:tcPr>
            <w:tcW w:w="2050" w:type="dxa"/>
          </w:tcPr>
          <w:p w14:paraId="02B8AE1B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01FBECE5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219" w:type="dxa"/>
            <w:gridSpan w:val="2"/>
          </w:tcPr>
          <w:p w14:paraId="38BBD1AE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2 multiplex</w:t>
            </w:r>
          </w:p>
        </w:tc>
        <w:tc>
          <w:tcPr>
            <w:tcW w:w="2126" w:type="dxa"/>
          </w:tcPr>
          <w:p w14:paraId="1867CB70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70.90%</w:t>
            </w:r>
          </w:p>
        </w:tc>
      </w:tr>
      <w:tr w:rsidR="00C31A58" w:rsidRPr="004B412C" w14:paraId="2DD00CD8" w14:textId="77777777" w:rsidTr="00EF560B">
        <w:trPr>
          <w:trHeight w:val="438"/>
        </w:trPr>
        <w:tc>
          <w:tcPr>
            <w:tcW w:w="2050" w:type="dxa"/>
          </w:tcPr>
          <w:p w14:paraId="1585C0CF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47429573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219" w:type="dxa"/>
            <w:gridSpan w:val="2"/>
          </w:tcPr>
          <w:p w14:paraId="606C24DB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 multiplex</w:t>
            </w:r>
          </w:p>
        </w:tc>
        <w:tc>
          <w:tcPr>
            <w:tcW w:w="2126" w:type="dxa"/>
          </w:tcPr>
          <w:p w14:paraId="2FCEDBB9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100%</w:t>
            </w:r>
          </w:p>
        </w:tc>
      </w:tr>
      <w:tr w:rsidR="00C31A58" w:rsidRPr="004B412C" w14:paraId="47285397" w14:textId="77777777" w:rsidTr="00EF560B">
        <w:trPr>
          <w:trHeight w:val="438"/>
        </w:trPr>
        <w:tc>
          <w:tcPr>
            <w:tcW w:w="2050" w:type="dxa"/>
          </w:tcPr>
          <w:p w14:paraId="21897CA2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327F153D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219" w:type="dxa"/>
            <w:gridSpan w:val="2"/>
          </w:tcPr>
          <w:p w14:paraId="505E9C73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 multiplex</w:t>
            </w:r>
          </w:p>
        </w:tc>
        <w:tc>
          <w:tcPr>
            <w:tcW w:w="2126" w:type="dxa"/>
          </w:tcPr>
          <w:p w14:paraId="58A4D911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99.82%</w:t>
            </w:r>
          </w:p>
        </w:tc>
      </w:tr>
      <w:tr w:rsidR="00C31A58" w:rsidRPr="004B412C" w14:paraId="1AF5AAEA" w14:textId="77777777" w:rsidTr="00EF560B">
        <w:trPr>
          <w:trHeight w:val="438"/>
        </w:trPr>
        <w:tc>
          <w:tcPr>
            <w:tcW w:w="2050" w:type="dxa"/>
          </w:tcPr>
          <w:p w14:paraId="711BAFB4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4E308327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219" w:type="dxa"/>
            <w:gridSpan w:val="2"/>
          </w:tcPr>
          <w:p w14:paraId="36244543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2 multiplex</w:t>
            </w:r>
          </w:p>
        </w:tc>
        <w:tc>
          <w:tcPr>
            <w:tcW w:w="2126" w:type="dxa"/>
          </w:tcPr>
          <w:p w14:paraId="2881E9DE" w14:textId="77777777" w:rsidR="00C31A58" w:rsidRPr="004B412C" w:rsidRDefault="00C31A58" w:rsidP="00EF560B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84.93%</w:t>
            </w:r>
          </w:p>
        </w:tc>
      </w:tr>
    </w:tbl>
    <w:p w14:paraId="5DAA8E80" w14:textId="77777777" w:rsidR="00C31A58" w:rsidRDefault="00C31A58" w:rsidP="00C31A58">
      <w:pPr>
        <w:rPr>
          <w:rFonts w:ascii="Calibri" w:hAnsi="Calibri"/>
          <w:sz w:val="36"/>
          <w:szCs w:val="36"/>
        </w:rPr>
      </w:pPr>
    </w:p>
    <w:p w14:paraId="7329A6E1" w14:textId="77777777" w:rsidR="00C31A58" w:rsidRDefault="00C31A58" w:rsidP="00C31A58">
      <w:pPr>
        <w:rPr>
          <w:rFonts w:ascii="Calibri" w:hAnsi="Calibri"/>
          <w:sz w:val="36"/>
          <w:szCs w:val="36"/>
        </w:rPr>
      </w:pPr>
    </w:p>
    <w:p w14:paraId="1FF3F289" w14:textId="77777777" w:rsidR="00C31A58" w:rsidRPr="004B412C" w:rsidRDefault="00C31A58" w:rsidP="00C31A58">
      <w:pPr>
        <w:rPr>
          <w:rFonts w:ascii="Calibri" w:hAnsi="Calibri"/>
          <w:sz w:val="36"/>
          <w:szCs w:val="36"/>
        </w:rPr>
      </w:pPr>
      <w:r w:rsidRPr="00125635">
        <w:rPr>
          <w:rFonts w:ascii="Calibri" w:hAnsi="Calibri"/>
          <w:noProof/>
          <w:sz w:val="36"/>
          <w:szCs w:val="36"/>
          <w:lang w:val="en-US"/>
        </w:rPr>
        <w:lastRenderedPageBreak/>
        <w:drawing>
          <wp:inline distT="0" distB="0" distL="0" distR="0" wp14:anchorId="6533BB06" wp14:editId="0C9ABF6E">
            <wp:extent cx="5756910" cy="4132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  <w:sz w:val="36"/>
          <w:szCs w:val="36"/>
        </w:rPr>
        <w:t xml:space="preserve"> </w:t>
      </w:r>
    </w:p>
    <w:p w14:paraId="6CAC41B7" w14:textId="77777777" w:rsidR="00C31A58" w:rsidRPr="004B412C" w:rsidRDefault="00C31A58" w:rsidP="00C31A58">
      <w:pPr>
        <w:rPr>
          <w:rFonts w:ascii="Calibri" w:hAnsi="Calibri"/>
          <w:sz w:val="36"/>
          <w:szCs w:val="36"/>
        </w:rPr>
      </w:pPr>
      <w:r w:rsidRPr="008E3C00">
        <w:rPr>
          <w:rFonts w:ascii="Calibri" w:hAnsi="Calibri"/>
          <w:noProof/>
          <w:sz w:val="36"/>
          <w:szCs w:val="36"/>
          <w:lang w:val="en-US"/>
        </w:rPr>
        <w:drawing>
          <wp:inline distT="0" distB="0" distL="0" distR="0" wp14:anchorId="27AEA82B" wp14:editId="72763EDA">
            <wp:extent cx="5756910" cy="431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26B" w14:textId="77777777" w:rsidR="00C31A58" w:rsidRPr="00CD0513" w:rsidRDefault="00C31A58" w:rsidP="00C31A58">
      <w:pPr>
        <w:rPr>
          <w:rFonts w:ascii="Calibri" w:hAnsi="Calibr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SINR=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sigma" w:hAnsi="sigma"/>
                              <w:sz w:val="32"/>
                              <w:szCs w:val="32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sigma" w:hAnsi="sigma"/>
                          <w:sz w:val="32"/>
                          <w:szCs w:val="32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333333"/>
                      <w:sz w:val="32"/>
                      <w:szCs w:val="32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76037CF0" w14:textId="77777777" w:rsidR="00C31A58" w:rsidRPr="00CD0513" w:rsidRDefault="00C31A58" w:rsidP="00C31A58">
      <w:pPr>
        <w:rPr>
          <w:rFonts w:ascii="Calibri" w:hAnsi="Calibri"/>
          <w:sz w:val="32"/>
          <w:szCs w:val="32"/>
        </w:rPr>
      </w:pPr>
    </w:p>
    <w:p w14:paraId="7EDCFA9F" w14:textId="77777777" w:rsidR="00C31A58" w:rsidRPr="00F72C89" w:rsidRDefault="00C77BC8" w:rsidP="00C31A58">
      <w:pPr>
        <w:spacing w:line="360" w:lineRule="auto"/>
        <w:rPr>
          <w:rFonts w:ascii="Calibri" w:hAnsi="Calibr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=PSD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×BW</m:t>
          </m:r>
        </m:oMath>
      </m:oMathPara>
    </w:p>
    <w:p w14:paraId="7E879447" w14:textId="77777777" w:rsidR="00C31A58" w:rsidRDefault="00C77BC8" w:rsidP="00C31A58">
      <w:pPr>
        <w:spacing w:line="360" w:lineRule="auto"/>
        <w:rPr>
          <w:rFonts w:ascii="Calibri" w:hAnsi="Calibr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Tx</m:t>
            </m:r>
          </m:sub>
        </m:sSub>
        <m: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Rt</m:t>
            </m:r>
          </m:sub>
        </m:sSub>
      </m:oMath>
      <w:r w:rsidR="00C31A58">
        <w:rPr>
          <w:rFonts w:ascii="Calibri" w:hAnsi="Calibri"/>
          <w:sz w:val="32"/>
          <w:szCs w:val="32"/>
        </w:rPr>
        <w:t>: received signal power.</w:t>
      </w:r>
    </w:p>
    <w:p w14:paraId="32506500" w14:textId="77777777" w:rsidR="00C31A58" w:rsidRDefault="00C77BC8" w:rsidP="00C31A58">
      <w:pPr>
        <w:spacing w:line="360" w:lineRule="auto"/>
        <w:rPr>
          <w:rFonts w:ascii="Calibri" w:hAnsi="Calibri"/>
          <w:sz w:val="32"/>
          <w:szCs w:val="3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sub>
        </m:sSub>
      </m:oMath>
      <w:r w:rsidR="00C31A58">
        <w:rPr>
          <w:rFonts w:ascii="Calibri" w:hAnsi="Calibri"/>
          <w:sz w:val="32"/>
          <w:szCs w:val="32"/>
        </w:rPr>
        <w:t xml:space="preserve">: interference. </w:t>
      </w:r>
    </w:p>
    <w:p w14:paraId="513F788E" w14:textId="77777777" w:rsidR="00C31A58" w:rsidRPr="00F72C89" w:rsidRDefault="00C77BC8" w:rsidP="00C31A58">
      <w:pPr>
        <w:spacing w:line="360" w:lineRule="auto"/>
        <w:rPr>
          <w:rFonts w:ascii="Calibri" w:hAnsi="Calibri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8"/>
                <w:szCs w:val="2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C31A58">
        <w:rPr>
          <w:rFonts w:ascii="Calibri" w:hAnsi="Calibri"/>
          <w:sz w:val="32"/>
          <w:szCs w:val="32"/>
        </w:rPr>
        <w:t>: noise power.</w:t>
      </w:r>
    </w:p>
    <w:p w14:paraId="0B00CB56" w14:textId="77777777" w:rsidR="00C31A58" w:rsidRDefault="00C31A58" w:rsidP="00C31A58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>BW</w:t>
      </w:r>
      <w:r>
        <w:rPr>
          <w:rFonts w:ascii="Calibri" w:hAnsi="Calibri"/>
          <w:sz w:val="32"/>
          <w:szCs w:val="32"/>
        </w:rPr>
        <w:t>: bandwidth.</w:t>
      </w:r>
    </w:p>
    <w:p w14:paraId="38855D5D" w14:textId="77777777" w:rsidR="00C31A58" w:rsidRDefault="00C31A58" w:rsidP="00C31A58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When BW decreased,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8"/>
                <w:szCs w:val="2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ascii="Calibri" w:hAnsi="Calibri"/>
          <w:sz w:val="32"/>
          <w:szCs w:val="32"/>
        </w:rPr>
        <w:t xml:space="preserve"> is decreased. Then SINR is increased.</w:t>
      </w:r>
    </w:p>
    <w:p w14:paraId="6F5B7852" w14:textId="77777777" w:rsidR="00C31A58" w:rsidRPr="00AF4240" w:rsidRDefault="00C31A58" w:rsidP="00C31A58">
      <w:pPr>
        <w:spacing w:line="36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SINR is increased with decreased BW.</w:t>
      </w:r>
    </w:p>
    <w:p w14:paraId="2323E331" w14:textId="77777777" w:rsidR="00C31A58" w:rsidRDefault="00C31A58" w:rsidP="00C31A58">
      <w:pPr>
        <w:rPr>
          <w:rFonts w:ascii="Calibri" w:hAnsi="Calibri"/>
        </w:rPr>
      </w:pPr>
      <w:r w:rsidRPr="00A84A51">
        <w:rPr>
          <w:rFonts w:ascii="Calibri" w:hAnsi="Calibri"/>
          <w:noProof/>
          <w:lang w:val="en-US"/>
        </w:rPr>
        <w:drawing>
          <wp:inline distT="0" distB="0" distL="0" distR="0" wp14:anchorId="3D562B1B" wp14:editId="2DC072AB">
            <wp:extent cx="5756910" cy="431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9CF4" w14:textId="77777777" w:rsidR="00C31A58" w:rsidRDefault="00C31A58" w:rsidP="00C31A58">
      <w:pPr>
        <w:rPr>
          <w:rFonts w:ascii="Calibri" w:hAnsi="Calibri"/>
        </w:rPr>
      </w:pPr>
      <w:r w:rsidRPr="009B040A">
        <w:rPr>
          <w:rFonts w:ascii="Calibri" w:hAnsi="Calibri"/>
          <w:noProof/>
          <w:lang w:val="en-US"/>
        </w:rPr>
        <w:lastRenderedPageBreak/>
        <w:drawing>
          <wp:inline distT="0" distB="0" distL="0" distR="0" wp14:anchorId="4AFBC504" wp14:editId="37C1FB74">
            <wp:extent cx="5756910" cy="431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16C" w14:textId="77777777" w:rsidR="00C31A58" w:rsidRPr="00D028F1" w:rsidRDefault="00C31A58" w:rsidP="00C31A58">
      <w:pPr>
        <w:spacing w:line="360" w:lineRule="auto"/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With the increased CQI, the threshold SINR is increased. SINR increased with the decreased distance.</w:t>
      </w:r>
    </w:p>
    <w:p w14:paraId="5DFEF464" w14:textId="51ECB3F7" w:rsidR="00D028F1" w:rsidRDefault="00D028F1" w:rsidP="00C31A58"/>
    <w:p w14:paraId="4BA7E358" w14:textId="77777777" w:rsidR="0073739E" w:rsidRPr="00C31A58" w:rsidRDefault="0073739E" w:rsidP="00C31A58">
      <w:bookmarkStart w:id="1" w:name="_GoBack"/>
      <w:bookmarkEnd w:id="1"/>
    </w:p>
    <w:sectPr w:rsidR="0073739E" w:rsidRPr="00C31A58" w:rsidSect="008C1479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" w:date="2017-12-19T15:18:00Z" w:initials="J">
    <w:p w14:paraId="27D8522E" w14:textId="77777777" w:rsidR="00C31A58" w:rsidRPr="00346C9D" w:rsidRDefault="00C31A58" w:rsidP="00C31A58">
      <w:pPr>
        <w:pStyle w:val="a7"/>
        <w:rPr>
          <w:lang w:val="en-US"/>
        </w:rPr>
      </w:pPr>
      <w:r>
        <w:rPr>
          <w:rStyle w:val="a6"/>
        </w:rPr>
        <w:annotationRef/>
      </w:r>
      <w:r w:rsidRPr="00346C9D">
        <w:rPr>
          <w:lang w:val="en-US"/>
        </w:rPr>
        <w:t>This value is a bit smaller than two times of the value in single hop case</w:t>
      </w:r>
      <w:r>
        <w:rPr>
          <w:lang w:val="en-US"/>
        </w:rPr>
        <w:t xml:space="preserve"> (39.67%), due to the fact that the interference for the second hop is stronger than that of the first hop.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D852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gma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291B"/>
    <w:multiLevelType w:val="hybridMultilevel"/>
    <w:tmpl w:val="F59E40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45605"/>
    <w:multiLevelType w:val="hybridMultilevel"/>
    <w:tmpl w:val="54246AB2"/>
    <w:lvl w:ilvl="0" w:tplc="C520DE4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60" w:hanging="360"/>
      </w:pPr>
    </w:lvl>
    <w:lvl w:ilvl="2" w:tplc="0407001B" w:tentative="1">
      <w:start w:val="1"/>
      <w:numFmt w:val="lowerRoman"/>
      <w:lvlText w:val="%3."/>
      <w:lvlJc w:val="right"/>
      <w:pPr>
        <w:ind w:left="2480" w:hanging="180"/>
      </w:pPr>
    </w:lvl>
    <w:lvl w:ilvl="3" w:tplc="0407000F" w:tentative="1">
      <w:start w:val="1"/>
      <w:numFmt w:val="decimal"/>
      <w:lvlText w:val="%4."/>
      <w:lvlJc w:val="left"/>
      <w:pPr>
        <w:ind w:left="3200" w:hanging="360"/>
      </w:pPr>
    </w:lvl>
    <w:lvl w:ilvl="4" w:tplc="04070019" w:tentative="1">
      <w:start w:val="1"/>
      <w:numFmt w:val="lowerLetter"/>
      <w:lvlText w:val="%5."/>
      <w:lvlJc w:val="left"/>
      <w:pPr>
        <w:ind w:left="3920" w:hanging="360"/>
      </w:pPr>
    </w:lvl>
    <w:lvl w:ilvl="5" w:tplc="0407001B" w:tentative="1">
      <w:start w:val="1"/>
      <w:numFmt w:val="lowerRoman"/>
      <w:lvlText w:val="%6."/>
      <w:lvlJc w:val="right"/>
      <w:pPr>
        <w:ind w:left="4640" w:hanging="180"/>
      </w:pPr>
    </w:lvl>
    <w:lvl w:ilvl="6" w:tplc="0407000F" w:tentative="1">
      <w:start w:val="1"/>
      <w:numFmt w:val="decimal"/>
      <w:lvlText w:val="%7."/>
      <w:lvlJc w:val="left"/>
      <w:pPr>
        <w:ind w:left="5360" w:hanging="360"/>
      </w:pPr>
    </w:lvl>
    <w:lvl w:ilvl="7" w:tplc="04070019" w:tentative="1">
      <w:start w:val="1"/>
      <w:numFmt w:val="lowerLetter"/>
      <w:lvlText w:val="%8."/>
      <w:lvlJc w:val="left"/>
      <w:pPr>
        <w:ind w:left="6080" w:hanging="360"/>
      </w:pPr>
    </w:lvl>
    <w:lvl w:ilvl="8" w:tplc="0407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57970199"/>
    <w:multiLevelType w:val="hybridMultilevel"/>
    <w:tmpl w:val="7F94E220"/>
    <w:lvl w:ilvl="0" w:tplc="C3EE3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">
    <w15:presenceInfo w15:providerId="None" w15:userId="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2C"/>
    <w:rsid w:val="00001200"/>
    <w:rsid w:val="0004457D"/>
    <w:rsid w:val="00046A45"/>
    <w:rsid w:val="000A37BC"/>
    <w:rsid w:val="000A74CB"/>
    <w:rsid w:val="000B6AA7"/>
    <w:rsid w:val="000C6E39"/>
    <w:rsid w:val="0010422E"/>
    <w:rsid w:val="00125635"/>
    <w:rsid w:val="00187E6F"/>
    <w:rsid w:val="00187EAD"/>
    <w:rsid w:val="001D0BD9"/>
    <w:rsid w:val="00254BC2"/>
    <w:rsid w:val="00264FF4"/>
    <w:rsid w:val="002953F4"/>
    <w:rsid w:val="002D4986"/>
    <w:rsid w:val="00346C9D"/>
    <w:rsid w:val="00357756"/>
    <w:rsid w:val="003D3D47"/>
    <w:rsid w:val="00436E61"/>
    <w:rsid w:val="00440153"/>
    <w:rsid w:val="00491F03"/>
    <w:rsid w:val="004B412C"/>
    <w:rsid w:val="004E3A1C"/>
    <w:rsid w:val="004F70F8"/>
    <w:rsid w:val="0054681D"/>
    <w:rsid w:val="00563AFA"/>
    <w:rsid w:val="005836D8"/>
    <w:rsid w:val="005C1AC6"/>
    <w:rsid w:val="005F2BCA"/>
    <w:rsid w:val="006011AA"/>
    <w:rsid w:val="0061315D"/>
    <w:rsid w:val="00613A78"/>
    <w:rsid w:val="006C4C85"/>
    <w:rsid w:val="007128CF"/>
    <w:rsid w:val="0073739E"/>
    <w:rsid w:val="00756087"/>
    <w:rsid w:val="00761DF5"/>
    <w:rsid w:val="00790C09"/>
    <w:rsid w:val="007B2653"/>
    <w:rsid w:val="008067A1"/>
    <w:rsid w:val="00883E61"/>
    <w:rsid w:val="008E3C00"/>
    <w:rsid w:val="00961D85"/>
    <w:rsid w:val="009956A1"/>
    <w:rsid w:val="009B040A"/>
    <w:rsid w:val="00A11164"/>
    <w:rsid w:val="00A23F3B"/>
    <w:rsid w:val="00A26A70"/>
    <w:rsid w:val="00A569DD"/>
    <w:rsid w:val="00A81184"/>
    <w:rsid w:val="00A84A51"/>
    <w:rsid w:val="00AF4240"/>
    <w:rsid w:val="00B02912"/>
    <w:rsid w:val="00B03B73"/>
    <w:rsid w:val="00B141E9"/>
    <w:rsid w:val="00B701F4"/>
    <w:rsid w:val="00C31A58"/>
    <w:rsid w:val="00C43BD4"/>
    <w:rsid w:val="00C77BC8"/>
    <w:rsid w:val="00CC3BE9"/>
    <w:rsid w:val="00CD0513"/>
    <w:rsid w:val="00D028F1"/>
    <w:rsid w:val="00D64725"/>
    <w:rsid w:val="00D75041"/>
    <w:rsid w:val="00E1253B"/>
    <w:rsid w:val="00F05BDD"/>
    <w:rsid w:val="00F22356"/>
    <w:rsid w:val="00F378DB"/>
    <w:rsid w:val="00F5690A"/>
    <w:rsid w:val="00F72C89"/>
    <w:rsid w:val="00F73D8F"/>
    <w:rsid w:val="00F80D33"/>
    <w:rsid w:val="00FB44BB"/>
    <w:rsid w:val="00F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FC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12C"/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12C"/>
    <w:pPr>
      <w:ind w:left="720"/>
      <w:contextualSpacing/>
    </w:pPr>
  </w:style>
  <w:style w:type="table" w:styleId="a4">
    <w:name w:val="Table Grid"/>
    <w:basedOn w:val="a1"/>
    <w:uiPriority w:val="39"/>
    <w:rsid w:val="004B412C"/>
    <w:rPr>
      <w:kern w:val="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90C0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346C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46C9D"/>
    <w:rPr>
      <w:sz w:val="20"/>
      <w:szCs w:val="20"/>
    </w:rPr>
  </w:style>
  <w:style w:type="character" w:customStyle="1" w:styleId="a8">
    <w:name w:val="批注文字字符"/>
    <w:basedOn w:val="a0"/>
    <w:link w:val="a7"/>
    <w:uiPriority w:val="99"/>
    <w:semiHidden/>
    <w:rsid w:val="00346C9D"/>
    <w:rPr>
      <w:kern w:val="0"/>
      <w:sz w:val="20"/>
      <w:szCs w:val="20"/>
      <w:lang w:val="en-GB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46C9D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346C9D"/>
    <w:rPr>
      <w:b/>
      <w:bCs/>
      <w:kern w:val="0"/>
      <w:sz w:val="20"/>
      <w:szCs w:val="20"/>
      <w:lang w:val="en-GB"/>
    </w:rPr>
  </w:style>
  <w:style w:type="paragraph" w:styleId="ab">
    <w:name w:val="Balloon Text"/>
    <w:basedOn w:val="a"/>
    <w:link w:val="ac"/>
    <w:uiPriority w:val="99"/>
    <w:semiHidden/>
    <w:unhideWhenUsed/>
    <w:rsid w:val="00346C9D"/>
    <w:rPr>
      <w:rFonts w:ascii="Segoe UI" w:hAnsi="Segoe UI" w:cs="Segoe UI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346C9D"/>
    <w:rPr>
      <w:rFonts w:ascii="Segoe UI" w:hAnsi="Segoe UI" w:cs="Segoe UI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6C19-CE0B-624F-9A5E-A1889A1E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29</cp:revision>
  <dcterms:created xsi:type="dcterms:W3CDTF">2017-12-19T12:18:00Z</dcterms:created>
  <dcterms:modified xsi:type="dcterms:W3CDTF">2018-01-29T17:36:00Z</dcterms:modified>
</cp:coreProperties>
</file>