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AFD2C" w14:textId="41180659" w:rsidR="00902F85" w:rsidRDefault="00EB6BD5" w:rsidP="00EB6BD5">
      <w:pPr>
        <w:pStyle w:val="Title"/>
        <w:rPr>
          <w:b w:val="0"/>
        </w:rPr>
      </w:pPr>
      <w:r>
        <w:rPr>
          <w:b w:val="0"/>
        </w:rPr>
        <w:t>Resident Reports and Incident Cases</w:t>
      </w:r>
    </w:p>
    <w:p w14:paraId="299708EF" w14:textId="223E7BBD" w:rsidR="00EB6BD5" w:rsidRDefault="00EB6BD5" w:rsidP="00EB6BD5">
      <w:pPr>
        <w:pStyle w:val="Subtitle"/>
      </w:pPr>
      <w:r>
        <w:t>Phased implementation plan for a verifiable, privacy-aware operational workflow</w:t>
      </w:r>
    </w:p>
    <w:tbl>
      <w:tblPr>
        <w:tblStyle w:val="TableGrid"/>
        <w:tblW w:w="9792"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350"/>
        <w:gridCol w:w="7442"/>
      </w:tblGrid>
      <w:tr w:rsidR="00EB6BD5" w14:paraId="4E97F8E2" w14:textId="77777777" w:rsidTr="00EB6BD5">
        <w:trPr>
          <w:cantSplit/>
        </w:trPr>
        <w:tc>
          <w:tcPr>
            <w:tcW w:w="1200" w:type="pct"/>
            <w:shd w:val="clear" w:color="auto" w:fill="auto"/>
            <w:tcMar>
              <w:top w:w="80" w:type="dxa"/>
              <w:left w:w="120" w:type="dxa"/>
              <w:bottom w:w="80" w:type="dxa"/>
              <w:right w:w="120" w:type="dxa"/>
            </w:tcMar>
          </w:tcPr>
          <w:p w14:paraId="544E9B04" w14:textId="459E7533" w:rsidR="00EB6BD5" w:rsidRPr="00EB6BD5" w:rsidRDefault="00EB6BD5" w:rsidP="00EB6BD5">
            <w:pPr>
              <w:spacing w:after="40"/>
              <w:rPr>
                <w:rFonts w:cs="Calibri"/>
                <w:b/>
                <w:color w:val="16324F"/>
                <w:sz w:val="18"/>
              </w:rPr>
            </w:pPr>
            <w:r w:rsidRPr="00EB6BD5">
              <w:rPr>
                <w:rFonts w:cs="Calibri"/>
                <w:b/>
                <w:color w:val="16324F"/>
                <w:sz w:val="18"/>
              </w:rPr>
              <w:t>Document control</w:t>
            </w:r>
          </w:p>
        </w:tc>
        <w:tc>
          <w:tcPr>
            <w:tcW w:w="3800" w:type="pct"/>
            <w:shd w:val="clear" w:color="auto" w:fill="auto"/>
            <w:tcMar>
              <w:top w:w="80" w:type="dxa"/>
              <w:left w:w="120" w:type="dxa"/>
              <w:bottom w:w="80" w:type="dxa"/>
              <w:right w:w="120" w:type="dxa"/>
            </w:tcMar>
          </w:tcPr>
          <w:p w14:paraId="669DCB95" w14:textId="6B031073" w:rsidR="00EB6BD5" w:rsidRPr="00EB6BD5" w:rsidRDefault="00EB6BD5" w:rsidP="00EB6BD5">
            <w:pPr>
              <w:spacing w:after="40"/>
              <w:rPr>
                <w:rFonts w:cs="Calibri"/>
                <w:b/>
                <w:color w:val="16324F"/>
                <w:sz w:val="18"/>
              </w:rPr>
            </w:pPr>
            <w:r w:rsidRPr="00EB6BD5">
              <w:rPr>
                <w:rFonts w:cs="Calibri"/>
                <w:b/>
                <w:color w:val="16324F"/>
                <w:sz w:val="18"/>
              </w:rPr>
              <w:t>Value</w:t>
            </w:r>
          </w:p>
        </w:tc>
      </w:tr>
      <w:tr w:rsidR="00EB6BD5" w14:paraId="0D146CB0" w14:textId="77777777" w:rsidTr="00EB6BD5">
        <w:trPr>
          <w:cantSplit/>
        </w:trPr>
        <w:tc>
          <w:tcPr>
            <w:tcW w:w="1200" w:type="pct"/>
            <w:shd w:val="clear" w:color="auto" w:fill="auto"/>
            <w:tcMar>
              <w:top w:w="80" w:type="dxa"/>
              <w:left w:w="120" w:type="dxa"/>
              <w:bottom w:w="80" w:type="dxa"/>
              <w:right w:w="120" w:type="dxa"/>
            </w:tcMar>
          </w:tcPr>
          <w:p w14:paraId="3733C334" w14:textId="6F9AED55" w:rsidR="00EB6BD5" w:rsidRPr="00EB6BD5" w:rsidRDefault="00EB6BD5" w:rsidP="00EB6BD5">
            <w:pPr>
              <w:spacing w:after="40"/>
              <w:rPr>
                <w:rFonts w:cs="Calibri"/>
                <w:sz w:val="18"/>
              </w:rPr>
            </w:pPr>
            <w:r w:rsidRPr="00EB6BD5">
              <w:rPr>
                <w:rFonts w:cs="Calibri"/>
                <w:sz w:val="18"/>
              </w:rPr>
              <w:t>Recommendation</w:t>
            </w:r>
          </w:p>
        </w:tc>
        <w:tc>
          <w:tcPr>
            <w:tcW w:w="3800" w:type="pct"/>
            <w:shd w:val="clear" w:color="auto" w:fill="auto"/>
            <w:tcMar>
              <w:top w:w="80" w:type="dxa"/>
              <w:left w:w="120" w:type="dxa"/>
              <w:bottom w:w="80" w:type="dxa"/>
              <w:right w:w="120" w:type="dxa"/>
            </w:tcMar>
          </w:tcPr>
          <w:p w14:paraId="57D47835" w14:textId="258FC2E7" w:rsidR="00EB6BD5" w:rsidRPr="00EB6BD5" w:rsidRDefault="00EB6BD5" w:rsidP="00EB6BD5">
            <w:pPr>
              <w:spacing w:after="40"/>
              <w:rPr>
                <w:rFonts w:cs="Calibri"/>
                <w:sz w:val="18"/>
              </w:rPr>
            </w:pPr>
            <w:r w:rsidRPr="00EB6BD5">
              <w:rPr>
                <w:rFonts w:cs="Calibri"/>
                <w:sz w:val="18"/>
              </w:rPr>
              <w:t>Approve a phased redesign with the guardrails in this plan; do not ship it as a simple status rename or a big-bang migration.</w:t>
            </w:r>
          </w:p>
        </w:tc>
      </w:tr>
      <w:tr w:rsidR="00EB6BD5" w14:paraId="77EE0505" w14:textId="77777777" w:rsidTr="00EB6BD5">
        <w:trPr>
          <w:cantSplit/>
        </w:trPr>
        <w:tc>
          <w:tcPr>
            <w:tcW w:w="1200" w:type="pct"/>
            <w:shd w:val="clear" w:color="auto" w:fill="auto"/>
            <w:tcMar>
              <w:top w:w="80" w:type="dxa"/>
              <w:left w:w="120" w:type="dxa"/>
              <w:bottom w:w="80" w:type="dxa"/>
              <w:right w:w="120" w:type="dxa"/>
            </w:tcMar>
          </w:tcPr>
          <w:p w14:paraId="639A50D6" w14:textId="1734D67C" w:rsidR="00EB6BD5" w:rsidRPr="00EB6BD5" w:rsidRDefault="00EB6BD5" w:rsidP="00EB6BD5">
            <w:pPr>
              <w:spacing w:after="40"/>
              <w:rPr>
                <w:rFonts w:cs="Calibri"/>
                <w:sz w:val="18"/>
              </w:rPr>
            </w:pPr>
            <w:r w:rsidRPr="00EB6BD5">
              <w:rPr>
                <w:rFonts w:cs="Calibri"/>
                <w:sz w:val="18"/>
              </w:rPr>
              <w:t>Prepared for</w:t>
            </w:r>
          </w:p>
        </w:tc>
        <w:tc>
          <w:tcPr>
            <w:tcW w:w="3800" w:type="pct"/>
            <w:shd w:val="clear" w:color="auto" w:fill="auto"/>
            <w:tcMar>
              <w:top w:w="80" w:type="dxa"/>
              <w:left w:w="120" w:type="dxa"/>
              <w:bottom w:w="80" w:type="dxa"/>
              <w:right w:w="120" w:type="dxa"/>
            </w:tcMar>
          </w:tcPr>
          <w:p w14:paraId="321C04B9" w14:textId="61152039" w:rsidR="00EB6BD5" w:rsidRPr="00EB6BD5" w:rsidRDefault="00EB6BD5" w:rsidP="00EB6BD5">
            <w:pPr>
              <w:spacing w:after="40"/>
              <w:rPr>
                <w:rFonts w:cs="Calibri"/>
                <w:sz w:val="18"/>
              </w:rPr>
            </w:pPr>
            <w:r w:rsidRPr="00EB6BD5">
              <w:rPr>
                <w:rFonts w:cs="Calibri"/>
                <w:sz w:val="18"/>
              </w:rPr>
              <w:t>DisasterLink capstone team, product owner, BDRRMO/MDRRMO stakeholders, LGU privacy and operations reviewers</w:t>
            </w:r>
          </w:p>
        </w:tc>
      </w:tr>
      <w:tr w:rsidR="00EB6BD5" w14:paraId="292F293C" w14:textId="77777777" w:rsidTr="00EB6BD5">
        <w:trPr>
          <w:cantSplit/>
        </w:trPr>
        <w:tc>
          <w:tcPr>
            <w:tcW w:w="1200" w:type="pct"/>
            <w:shd w:val="clear" w:color="auto" w:fill="auto"/>
            <w:tcMar>
              <w:top w:w="80" w:type="dxa"/>
              <w:left w:w="120" w:type="dxa"/>
              <w:bottom w:w="80" w:type="dxa"/>
              <w:right w:w="120" w:type="dxa"/>
            </w:tcMar>
          </w:tcPr>
          <w:p w14:paraId="01438C87" w14:textId="028207FF" w:rsidR="00EB6BD5" w:rsidRPr="00EB6BD5" w:rsidRDefault="00EB6BD5" w:rsidP="00EB6BD5">
            <w:pPr>
              <w:spacing w:after="40"/>
              <w:rPr>
                <w:rFonts w:cs="Calibri"/>
                <w:sz w:val="18"/>
              </w:rPr>
            </w:pPr>
            <w:r w:rsidRPr="00EB6BD5">
              <w:rPr>
                <w:rFonts w:cs="Calibri"/>
                <w:sz w:val="18"/>
              </w:rPr>
              <w:t>Repository snapshot</w:t>
            </w:r>
          </w:p>
        </w:tc>
        <w:tc>
          <w:tcPr>
            <w:tcW w:w="3800" w:type="pct"/>
            <w:shd w:val="clear" w:color="auto" w:fill="auto"/>
            <w:tcMar>
              <w:top w:w="80" w:type="dxa"/>
              <w:left w:w="120" w:type="dxa"/>
              <w:bottom w:w="80" w:type="dxa"/>
              <w:right w:w="120" w:type="dxa"/>
            </w:tcMar>
          </w:tcPr>
          <w:p w14:paraId="1772C653" w14:textId="51797A95" w:rsidR="00EB6BD5" w:rsidRPr="00EB6BD5" w:rsidRDefault="00EB6BD5" w:rsidP="00EB6BD5">
            <w:pPr>
              <w:spacing w:after="40"/>
              <w:rPr>
                <w:rFonts w:cs="Calibri"/>
                <w:sz w:val="18"/>
              </w:rPr>
            </w:pPr>
            <w:r w:rsidRPr="00EB6BD5">
              <w:rPr>
                <w:rFonts w:cs="Calibri"/>
                <w:sz w:val="18"/>
              </w:rPr>
              <w:t>Working tree reviewed on 14 September 2026; includes uncommitted local changes.</w:t>
            </w:r>
          </w:p>
        </w:tc>
      </w:tr>
      <w:tr w:rsidR="00EB6BD5" w14:paraId="2BB089D6" w14:textId="77777777" w:rsidTr="00EB6BD5">
        <w:trPr>
          <w:cantSplit/>
        </w:trPr>
        <w:tc>
          <w:tcPr>
            <w:tcW w:w="1200" w:type="pct"/>
            <w:shd w:val="clear" w:color="auto" w:fill="auto"/>
            <w:tcMar>
              <w:top w:w="80" w:type="dxa"/>
              <w:left w:w="120" w:type="dxa"/>
              <w:bottom w:w="80" w:type="dxa"/>
              <w:right w:w="120" w:type="dxa"/>
            </w:tcMar>
          </w:tcPr>
          <w:p w14:paraId="114DA1ED" w14:textId="3C6081C5" w:rsidR="00EB6BD5" w:rsidRPr="00EB6BD5" w:rsidRDefault="00EB6BD5" w:rsidP="00EB6BD5">
            <w:pPr>
              <w:spacing w:after="40"/>
              <w:rPr>
                <w:rFonts w:cs="Calibri"/>
                <w:sz w:val="18"/>
              </w:rPr>
            </w:pPr>
            <w:r w:rsidRPr="00EB6BD5">
              <w:rPr>
                <w:rFonts w:cs="Calibri"/>
                <w:sz w:val="18"/>
              </w:rPr>
              <w:t>Scope</w:t>
            </w:r>
          </w:p>
        </w:tc>
        <w:tc>
          <w:tcPr>
            <w:tcW w:w="3800" w:type="pct"/>
            <w:shd w:val="clear" w:color="auto" w:fill="auto"/>
            <w:tcMar>
              <w:top w:w="80" w:type="dxa"/>
              <w:left w:w="120" w:type="dxa"/>
              <w:bottom w:w="80" w:type="dxa"/>
              <w:right w:w="120" w:type="dxa"/>
            </w:tcMar>
          </w:tcPr>
          <w:p w14:paraId="6A49C8FD" w14:textId="5D5F32AA" w:rsidR="00EB6BD5" w:rsidRPr="00EB6BD5" w:rsidRDefault="00EB6BD5" w:rsidP="00EB6BD5">
            <w:pPr>
              <w:spacing w:after="40"/>
              <w:rPr>
                <w:rFonts w:cs="Calibri"/>
                <w:sz w:val="18"/>
              </w:rPr>
            </w:pPr>
            <w:r w:rsidRPr="00EB6BD5">
              <w:rPr>
                <w:rFonts w:cs="Calibri"/>
                <w:sz w:val="18"/>
              </w:rPr>
              <w:t>Architecture, workflow, privacy, security, rollout, and verification planning. No application code changed.</w:t>
            </w:r>
          </w:p>
        </w:tc>
      </w:tr>
      <w:tr w:rsidR="00EB6BD5" w14:paraId="776054B4" w14:textId="77777777" w:rsidTr="00EB6BD5">
        <w:trPr>
          <w:cantSplit/>
        </w:trPr>
        <w:tc>
          <w:tcPr>
            <w:tcW w:w="1200" w:type="pct"/>
            <w:shd w:val="clear" w:color="auto" w:fill="auto"/>
            <w:tcMar>
              <w:top w:w="80" w:type="dxa"/>
              <w:left w:w="120" w:type="dxa"/>
              <w:bottom w:w="80" w:type="dxa"/>
              <w:right w:w="120" w:type="dxa"/>
            </w:tcMar>
          </w:tcPr>
          <w:p w14:paraId="2EA49289" w14:textId="28278444" w:rsidR="00EB6BD5" w:rsidRPr="00EB6BD5" w:rsidRDefault="00EB6BD5" w:rsidP="00EB6BD5">
            <w:pPr>
              <w:spacing w:after="40"/>
              <w:rPr>
                <w:rFonts w:cs="Calibri"/>
                <w:sz w:val="18"/>
              </w:rPr>
            </w:pPr>
            <w:r w:rsidRPr="00EB6BD5">
              <w:rPr>
                <w:rFonts w:cs="Calibri"/>
                <w:sz w:val="18"/>
              </w:rPr>
              <w:t>Confidence</w:t>
            </w:r>
          </w:p>
        </w:tc>
        <w:tc>
          <w:tcPr>
            <w:tcW w:w="3800" w:type="pct"/>
            <w:shd w:val="clear" w:color="auto" w:fill="auto"/>
            <w:tcMar>
              <w:top w:w="80" w:type="dxa"/>
              <w:left w:w="120" w:type="dxa"/>
              <w:bottom w:w="80" w:type="dxa"/>
              <w:right w:w="120" w:type="dxa"/>
            </w:tcMar>
          </w:tcPr>
          <w:p w14:paraId="7A9669A8" w14:textId="0F09FCBF" w:rsidR="00EB6BD5" w:rsidRPr="00EB6BD5" w:rsidRDefault="00EB6BD5" w:rsidP="00EB6BD5">
            <w:pPr>
              <w:spacing w:after="40"/>
              <w:rPr>
                <w:rFonts w:cs="Calibri"/>
                <w:sz w:val="18"/>
              </w:rPr>
            </w:pPr>
            <w:r w:rsidRPr="00EB6BD5">
              <w:rPr>
                <w:rFonts w:cs="Calibri"/>
                <w:sz w:val="18"/>
              </w:rPr>
              <w:t>High for repository findings; medium-high for target design pending local LGU SOP and DPO validation.</w:t>
            </w:r>
          </w:p>
        </w:tc>
      </w:tr>
    </w:tbl>
    <w:p w14:paraId="59E8A3CE" w14:textId="77777777" w:rsidR="00EB6BD5" w:rsidRDefault="00EB6BD5" w:rsidP="00EB6BD5"/>
    <w:tbl>
      <w:tblPr>
        <w:tblW w:w="9792" w:type="dxa"/>
        <w:tblBorders>
          <w:top w:val="single" w:sz="4" w:space="0" w:color="167D8D"/>
          <w:left w:val="single" w:sz="4" w:space="0" w:color="167D8D"/>
          <w:bottom w:val="single" w:sz="4" w:space="0" w:color="167D8D"/>
          <w:right w:val="single" w:sz="4" w:space="0" w:color="167D8D"/>
        </w:tblBorders>
        <w:shd w:val="clear" w:color="auto" w:fill="E8F5F5"/>
        <w:tblLayout w:type="fixed"/>
        <w:tblLook w:val="0000" w:firstRow="0" w:lastRow="0" w:firstColumn="0" w:lastColumn="0" w:noHBand="0" w:noVBand="0"/>
      </w:tblPr>
      <w:tblGrid>
        <w:gridCol w:w="9792"/>
      </w:tblGrid>
      <w:tr w:rsidR="00EB6BD5" w14:paraId="246E6A03" w14:textId="77777777" w:rsidTr="00EB6BD5">
        <w:tblPrEx>
          <w:tblCellMar>
            <w:top w:w="0" w:type="dxa"/>
            <w:bottom w:w="0" w:type="dxa"/>
          </w:tblCellMar>
        </w:tblPrEx>
        <w:tc>
          <w:tcPr>
            <w:tcW w:w="9792" w:type="dxa"/>
            <w:shd w:val="clear" w:color="auto" w:fill="E8F5F5"/>
            <w:tcMar>
              <w:top w:w="160" w:type="dxa"/>
              <w:left w:w="200" w:type="dxa"/>
              <w:bottom w:w="160" w:type="dxa"/>
              <w:right w:w="200" w:type="dxa"/>
            </w:tcMar>
          </w:tcPr>
          <w:p w14:paraId="18A0076B" w14:textId="77777777" w:rsidR="00EB6BD5" w:rsidRPr="00EB6BD5" w:rsidRDefault="00EB6BD5" w:rsidP="00EB6BD5">
            <w:pPr>
              <w:spacing w:after="60"/>
              <w:rPr>
                <w:rFonts w:cs="Calibri"/>
                <w:b/>
                <w:color w:val="167D8D"/>
                <w:sz w:val="21"/>
              </w:rPr>
            </w:pPr>
            <w:r w:rsidRPr="00EB6BD5">
              <w:rPr>
                <w:rFonts w:cs="Calibri"/>
                <w:b/>
                <w:color w:val="167D8D"/>
                <w:sz w:val="21"/>
              </w:rPr>
              <w:t>DECISION IN ONE SENTENCE</w:t>
            </w:r>
          </w:p>
          <w:p w14:paraId="6CB2DA52" w14:textId="4E4950CA" w:rsidR="00EB6BD5" w:rsidRPr="00EB6BD5" w:rsidRDefault="00EB6BD5" w:rsidP="00EB6BD5">
            <w:pPr>
              <w:spacing w:after="60"/>
              <w:rPr>
                <w:rFonts w:cs="Calibri"/>
                <w:sz w:val="21"/>
              </w:rPr>
            </w:pPr>
            <w:r w:rsidRPr="00EB6BD5">
              <w:rPr>
                <w:rFonts w:cs="Calibri"/>
                <w:sz w:val="21"/>
              </w:rPr>
              <w:t>Separate the resident submission from the managed incident, preserve evidence provenance, allow provisional response when risk warrants it, and make every consequential transition auditable and role-scoped.</w:t>
            </w:r>
          </w:p>
        </w:tc>
      </w:tr>
    </w:tbl>
    <w:p w14:paraId="4FB519A2" w14:textId="77777777" w:rsidR="00EB6BD5" w:rsidRDefault="00EB6BD5" w:rsidP="00EB6BD5"/>
    <w:p w14:paraId="261964FA" w14:textId="3743A1F6" w:rsidR="00EB6BD5" w:rsidRDefault="00EB6BD5" w:rsidP="00EB6BD5">
      <w:pPr>
        <w:rPr>
          <w:color w:val="667085"/>
          <w:sz w:val="17"/>
        </w:rPr>
      </w:pPr>
      <w:r>
        <w:rPr>
          <w:color w:val="667085"/>
          <w:sz w:val="17"/>
        </w:rPr>
        <w:t>Design preset: standard_business_brief | Header pattern: memo_masthead | Version 1.0</w:t>
      </w:r>
    </w:p>
    <w:p w14:paraId="4FB1B680" w14:textId="6FB33399" w:rsidR="00EB6BD5" w:rsidRDefault="00EB6BD5">
      <w:pPr>
        <w:spacing w:after="160" w:line="278" w:lineRule="auto"/>
      </w:pPr>
      <w:r>
        <w:br w:type="page"/>
      </w:r>
    </w:p>
    <w:p w14:paraId="48CF7263" w14:textId="596418E7" w:rsidR="00EB6BD5" w:rsidRDefault="00EB6BD5" w:rsidP="00EB6BD5">
      <w:pPr>
        <w:pStyle w:val="Heading1"/>
        <w:rPr>
          <w:b w:val="0"/>
        </w:rPr>
      </w:pPr>
      <w:bookmarkStart w:id="0" w:name="_Toc240324138"/>
      <w:r>
        <w:rPr>
          <w:b w:val="0"/>
        </w:rPr>
        <w:lastRenderedPageBreak/>
        <w:t>Contents</w:t>
      </w:r>
      <w:bookmarkEnd w:id="0"/>
    </w:p>
    <w:p w14:paraId="0667D9C9" w14:textId="40087C49" w:rsidR="00EB6BD5" w:rsidRDefault="00EB6BD5">
      <w:pPr>
        <w:pStyle w:val="TOC1"/>
        <w:tabs>
          <w:tab w:val="right" w:leader="dot" w:pos="9782"/>
        </w:tabs>
        <w:rPr>
          <w:rFonts w:asciiTheme="minorHAnsi" w:eastAsiaTheme="minorEastAsia" w:hAnsiTheme="minorHAnsi"/>
          <w:noProof/>
          <w:color w:val="auto"/>
          <w:sz w:val="24"/>
        </w:rPr>
      </w:pPr>
      <w:r>
        <w:fldChar w:fldCharType="begin"/>
      </w:r>
      <w:r>
        <w:instrText xml:space="preserve"> TOC \o "1-3" </w:instrText>
      </w:r>
      <w:r>
        <w:fldChar w:fldCharType="separate"/>
      </w:r>
      <w:r w:rsidRPr="00315265">
        <w:rPr>
          <w:noProof/>
        </w:rPr>
        <w:t>Contents</w:t>
      </w:r>
      <w:r>
        <w:rPr>
          <w:noProof/>
        </w:rPr>
        <w:tab/>
      </w:r>
      <w:r>
        <w:rPr>
          <w:noProof/>
        </w:rPr>
        <w:fldChar w:fldCharType="begin"/>
      </w:r>
      <w:r>
        <w:rPr>
          <w:noProof/>
        </w:rPr>
        <w:instrText xml:space="preserve"> PAGEREF _Toc240324138 \h </w:instrText>
      </w:r>
      <w:r>
        <w:rPr>
          <w:noProof/>
        </w:rPr>
      </w:r>
      <w:r>
        <w:rPr>
          <w:noProof/>
        </w:rPr>
        <w:fldChar w:fldCharType="separate"/>
      </w:r>
      <w:r>
        <w:rPr>
          <w:noProof/>
        </w:rPr>
        <w:t>2</w:t>
      </w:r>
      <w:r>
        <w:rPr>
          <w:noProof/>
        </w:rPr>
        <w:fldChar w:fldCharType="end"/>
      </w:r>
    </w:p>
    <w:p w14:paraId="591AAE9D" w14:textId="08078393" w:rsidR="00EB6BD5" w:rsidRDefault="00EB6BD5">
      <w:pPr>
        <w:pStyle w:val="TOC1"/>
        <w:tabs>
          <w:tab w:val="right" w:leader="dot" w:pos="9782"/>
        </w:tabs>
        <w:rPr>
          <w:rFonts w:asciiTheme="minorHAnsi" w:eastAsiaTheme="minorEastAsia" w:hAnsiTheme="minorHAnsi"/>
          <w:noProof/>
          <w:color w:val="auto"/>
          <w:sz w:val="24"/>
        </w:rPr>
      </w:pPr>
      <w:r w:rsidRPr="00315265">
        <w:rPr>
          <w:noProof/>
        </w:rPr>
        <w:t>1. Executive decision and boundaries</w:t>
      </w:r>
      <w:r>
        <w:rPr>
          <w:noProof/>
        </w:rPr>
        <w:tab/>
      </w:r>
      <w:r>
        <w:rPr>
          <w:noProof/>
        </w:rPr>
        <w:fldChar w:fldCharType="begin"/>
      </w:r>
      <w:r>
        <w:rPr>
          <w:noProof/>
        </w:rPr>
        <w:instrText xml:space="preserve"> PAGEREF _Toc240324139 \h </w:instrText>
      </w:r>
      <w:r>
        <w:rPr>
          <w:noProof/>
        </w:rPr>
      </w:r>
      <w:r>
        <w:rPr>
          <w:noProof/>
        </w:rPr>
        <w:fldChar w:fldCharType="separate"/>
      </w:r>
      <w:r>
        <w:rPr>
          <w:noProof/>
        </w:rPr>
        <w:t>3</w:t>
      </w:r>
      <w:r>
        <w:rPr>
          <w:noProof/>
        </w:rPr>
        <w:fldChar w:fldCharType="end"/>
      </w:r>
    </w:p>
    <w:p w14:paraId="6FA99885" w14:textId="333BEAF9" w:rsidR="00EB6BD5" w:rsidRDefault="00EB6BD5">
      <w:pPr>
        <w:pStyle w:val="TOC1"/>
        <w:tabs>
          <w:tab w:val="right" w:leader="dot" w:pos="9782"/>
        </w:tabs>
        <w:rPr>
          <w:rFonts w:asciiTheme="minorHAnsi" w:eastAsiaTheme="minorEastAsia" w:hAnsiTheme="minorHAnsi"/>
          <w:noProof/>
          <w:color w:val="auto"/>
          <w:sz w:val="24"/>
        </w:rPr>
      </w:pPr>
      <w:r w:rsidRPr="00315265">
        <w:rPr>
          <w:noProof/>
        </w:rPr>
        <w:t>2. Target operating model</w:t>
      </w:r>
      <w:r>
        <w:rPr>
          <w:noProof/>
        </w:rPr>
        <w:tab/>
      </w:r>
      <w:r>
        <w:rPr>
          <w:noProof/>
        </w:rPr>
        <w:fldChar w:fldCharType="begin"/>
      </w:r>
      <w:r>
        <w:rPr>
          <w:noProof/>
        </w:rPr>
        <w:instrText xml:space="preserve"> PAGEREF _Toc240324140 \h </w:instrText>
      </w:r>
      <w:r>
        <w:rPr>
          <w:noProof/>
        </w:rPr>
      </w:r>
      <w:r>
        <w:rPr>
          <w:noProof/>
        </w:rPr>
        <w:fldChar w:fldCharType="separate"/>
      </w:r>
      <w:r>
        <w:rPr>
          <w:noProof/>
        </w:rPr>
        <w:t>3</w:t>
      </w:r>
      <w:r>
        <w:rPr>
          <w:noProof/>
        </w:rPr>
        <w:fldChar w:fldCharType="end"/>
      </w:r>
    </w:p>
    <w:p w14:paraId="584D1E33" w14:textId="7ABECCC0" w:rsidR="00EB6BD5" w:rsidRDefault="00EB6BD5">
      <w:pPr>
        <w:pStyle w:val="TOC2"/>
        <w:tabs>
          <w:tab w:val="right" w:leader="dot" w:pos="9782"/>
        </w:tabs>
        <w:rPr>
          <w:noProof/>
        </w:rPr>
      </w:pPr>
      <w:r w:rsidRPr="00315265">
        <w:rPr>
          <w:noProof/>
        </w:rPr>
        <w:t>2.1 Lifecycle</w:t>
      </w:r>
      <w:r>
        <w:rPr>
          <w:noProof/>
        </w:rPr>
        <w:tab/>
      </w:r>
      <w:r>
        <w:rPr>
          <w:noProof/>
        </w:rPr>
        <w:fldChar w:fldCharType="begin"/>
      </w:r>
      <w:r>
        <w:rPr>
          <w:noProof/>
        </w:rPr>
        <w:instrText xml:space="preserve"> PAGEREF _Toc240324141 \h </w:instrText>
      </w:r>
      <w:r>
        <w:rPr>
          <w:noProof/>
        </w:rPr>
      </w:r>
      <w:r>
        <w:rPr>
          <w:noProof/>
        </w:rPr>
        <w:fldChar w:fldCharType="separate"/>
      </w:r>
      <w:r>
        <w:rPr>
          <w:noProof/>
        </w:rPr>
        <w:t>3</w:t>
      </w:r>
      <w:r>
        <w:rPr>
          <w:noProof/>
        </w:rPr>
        <w:fldChar w:fldCharType="end"/>
      </w:r>
    </w:p>
    <w:p w14:paraId="218C7C58" w14:textId="1E56702F" w:rsidR="00EB6BD5" w:rsidRDefault="00EB6BD5">
      <w:pPr>
        <w:pStyle w:val="TOC2"/>
        <w:tabs>
          <w:tab w:val="right" w:leader="dot" w:pos="9782"/>
        </w:tabs>
        <w:rPr>
          <w:noProof/>
        </w:rPr>
      </w:pPr>
      <w:r w:rsidRPr="00315265">
        <w:rPr>
          <w:noProof/>
        </w:rPr>
        <w:t>2.2 Review decision policy</w:t>
      </w:r>
      <w:r>
        <w:rPr>
          <w:noProof/>
        </w:rPr>
        <w:tab/>
      </w:r>
      <w:r>
        <w:rPr>
          <w:noProof/>
        </w:rPr>
        <w:fldChar w:fldCharType="begin"/>
      </w:r>
      <w:r>
        <w:rPr>
          <w:noProof/>
        </w:rPr>
        <w:instrText xml:space="preserve"> PAGEREF _Toc240324142 \h </w:instrText>
      </w:r>
      <w:r>
        <w:rPr>
          <w:noProof/>
        </w:rPr>
      </w:r>
      <w:r>
        <w:rPr>
          <w:noProof/>
        </w:rPr>
        <w:fldChar w:fldCharType="separate"/>
      </w:r>
      <w:r>
        <w:rPr>
          <w:noProof/>
        </w:rPr>
        <w:t>4</w:t>
      </w:r>
      <w:r>
        <w:rPr>
          <w:noProof/>
        </w:rPr>
        <w:fldChar w:fldCharType="end"/>
      </w:r>
    </w:p>
    <w:p w14:paraId="258B1270" w14:textId="1479ED18" w:rsidR="00EB6BD5" w:rsidRDefault="00EB6BD5">
      <w:pPr>
        <w:pStyle w:val="TOC2"/>
        <w:tabs>
          <w:tab w:val="right" w:leader="dot" w:pos="9782"/>
        </w:tabs>
        <w:rPr>
          <w:noProof/>
        </w:rPr>
      </w:pPr>
      <w:r w:rsidRPr="00315265">
        <w:rPr>
          <w:noProof/>
        </w:rPr>
        <w:t>2.3 Separate status dimensions</w:t>
      </w:r>
      <w:r>
        <w:rPr>
          <w:noProof/>
        </w:rPr>
        <w:tab/>
      </w:r>
      <w:r>
        <w:rPr>
          <w:noProof/>
        </w:rPr>
        <w:fldChar w:fldCharType="begin"/>
      </w:r>
      <w:r>
        <w:rPr>
          <w:noProof/>
        </w:rPr>
        <w:instrText xml:space="preserve"> PAGEREF _Toc240324143 \h </w:instrText>
      </w:r>
      <w:r>
        <w:rPr>
          <w:noProof/>
        </w:rPr>
      </w:r>
      <w:r>
        <w:rPr>
          <w:noProof/>
        </w:rPr>
        <w:fldChar w:fldCharType="separate"/>
      </w:r>
      <w:r>
        <w:rPr>
          <w:noProof/>
        </w:rPr>
        <w:t>4</w:t>
      </w:r>
      <w:r>
        <w:rPr>
          <w:noProof/>
        </w:rPr>
        <w:fldChar w:fldCharType="end"/>
      </w:r>
    </w:p>
    <w:p w14:paraId="634F1DB0" w14:textId="4560C7D2" w:rsidR="00EB6BD5" w:rsidRDefault="00EB6BD5">
      <w:pPr>
        <w:pStyle w:val="TOC2"/>
        <w:tabs>
          <w:tab w:val="right" w:leader="dot" w:pos="9782"/>
        </w:tabs>
        <w:rPr>
          <w:noProof/>
        </w:rPr>
      </w:pPr>
      <w:r w:rsidRPr="00315265">
        <w:rPr>
          <w:noProof/>
        </w:rPr>
        <w:t>2.4 Evidence hierarchy and remote review</w:t>
      </w:r>
      <w:r>
        <w:rPr>
          <w:noProof/>
        </w:rPr>
        <w:tab/>
      </w:r>
      <w:r>
        <w:rPr>
          <w:noProof/>
        </w:rPr>
        <w:fldChar w:fldCharType="begin"/>
      </w:r>
      <w:r>
        <w:rPr>
          <w:noProof/>
        </w:rPr>
        <w:instrText xml:space="preserve"> PAGEREF _Toc240324144 \h </w:instrText>
      </w:r>
      <w:r>
        <w:rPr>
          <w:noProof/>
        </w:rPr>
      </w:r>
      <w:r>
        <w:rPr>
          <w:noProof/>
        </w:rPr>
        <w:fldChar w:fldCharType="separate"/>
      </w:r>
      <w:r>
        <w:rPr>
          <w:noProof/>
        </w:rPr>
        <w:t>5</w:t>
      </w:r>
      <w:r>
        <w:rPr>
          <w:noProof/>
        </w:rPr>
        <w:fldChar w:fldCharType="end"/>
      </w:r>
    </w:p>
    <w:p w14:paraId="6D32E252" w14:textId="72085AA0" w:rsidR="00EB6BD5" w:rsidRDefault="00EB6BD5">
      <w:pPr>
        <w:pStyle w:val="TOC1"/>
        <w:tabs>
          <w:tab w:val="right" w:leader="dot" w:pos="9782"/>
        </w:tabs>
        <w:rPr>
          <w:rFonts w:asciiTheme="minorHAnsi" w:eastAsiaTheme="minorEastAsia" w:hAnsiTheme="minorHAnsi"/>
          <w:noProof/>
          <w:color w:val="auto"/>
          <w:sz w:val="24"/>
        </w:rPr>
      </w:pPr>
      <w:r w:rsidRPr="00315265">
        <w:rPr>
          <w:noProof/>
        </w:rPr>
        <w:t>3. Target domain and data model</w:t>
      </w:r>
      <w:r>
        <w:rPr>
          <w:noProof/>
        </w:rPr>
        <w:tab/>
      </w:r>
      <w:r>
        <w:rPr>
          <w:noProof/>
        </w:rPr>
        <w:fldChar w:fldCharType="begin"/>
      </w:r>
      <w:r>
        <w:rPr>
          <w:noProof/>
        </w:rPr>
        <w:instrText xml:space="preserve"> PAGEREF _Toc240324145 \h </w:instrText>
      </w:r>
      <w:r>
        <w:rPr>
          <w:noProof/>
        </w:rPr>
      </w:r>
      <w:r>
        <w:rPr>
          <w:noProof/>
        </w:rPr>
        <w:fldChar w:fldCharType="separate"/>
      </w:r>
      <w:r>
        <w:rPr>
          <w:noProof/>
        </w:rPr>
        <w:t>5</w:t>
      </w:r>
      <w:r>
        <w:rPr>
          <w:noProof/>
        </w:rPr>
        <w:fldChar w:fldCharType="end"/>
      </w:r>
    </w:p>
    <w:p w14:paraId="54214785" w14:textId="4B493F6C" w:rsidR="00EB6BD5" w:rsidRDefault="00EB6BD5">
      <w:pPr>
        <w:pStyle w:val="TOC2"/>
        <w:tabs>
          <w:tab w:val="right" w:leader="dot" w:pos="9782"/>
        </w:tabs>
        <w:rPr>
          <w:noProof/>
        </w:rPr>
      </w:pPr>
      <w:r w:rsidRPr="00315265">
        <w:rPr>
          <w:noProof/>
        </w:rPr>
        <w:t>3.1 Database invariants</w:t>
      </w:r>
      <w:r>
        <w:rPr>
          <w:noProof/>
        </w:rPr>
        <w:tab/>
      </w:r>
      <w:r>
        <w:rPr>
          <w:noProof/>
        </w:rPr>
        <w:fldChar w:fldCharType="begin"/>
      </w:r>
      <w:r>
        <w:rPr>
          <w:noProof/>
        </w:rPr>
        <w:instrText xml:space="preserve"> PAGEREF _Toc240324146 \h </w:instrText>
      </w:r>
      <w:r>
        <w:rPr>
          <w:noProof/>
        </w:rPr>
      </w:r>
      <w:r>
        <w:rPr>
          <w:noProof/>
        </w:rPr>
        <w:fldChar w:fldCharType="separate"/>
      </w:r>
      <w:r>
        <w:rPr>
          <w:noProof/>
        </w:rPr>
        <w:t>6</w:t>
      </w:r>
      <w:r>
        <w:rPr>
          <w:noProof/>
        </w:rPr>
        <w:fldChar w:fldCharType="end"/>
      </w:r>
    </w:p>
    <w:p w14:paraId="1BC18A2B" w14:textId="7367D88C" w:rsidR="00EB6BD5" w:rsidRDefault="00EB6BD5">
      <w:pPr>
        <w:pStyle w:val="TOC1"/>
        <w:tabs>
          <w:tab w:val="right" w:leader="dot" w:pos="9782"/>
        </w:tabs>
        <w:rPr>
          <w:rFonts w:asciiTheme="minorHAnsi" w:eastAsiaTheme="minorEastAsia" w:hAnsiTheme="minorHAnsi"/>
          <w:noProof/>
          <w:color w:val="auto"/>
          <w:sz w:val="24"/>
        </w:rPr>
      </w:pPr>
      <w:r w:rsidRPr="00315265">
        <w:rPr>
          <w:noProof/>
        </w:rPr>
        <w:t>4. Roles, visibility, and authorization</w:t>
      </w:r>
      <w:r>
        <w:rPr>
          <w:noProof/>
        </w:rPr>
        <w:tab/>
      </w:r>
      <w:r>
        <w:rPr>
          <w:noProof/>
        </w:rPr>
        <w:fldChar w:fldCharType="begin"/>
      </w:r>
      <w:r>
        <w:rPr>
          <w:noProof/>
        </w:rPr>
        <w:instrText xml:space="preserve"> PAGEREF _Toc240324147 \h </w:instrText>
      </w:r>
      <w:r>
        <w:rPr>
          <w:noProof/>
        </w:rPr>
      </w:r>
      <w:r>
        <w:rPr>
          <w:noProof/>
        </w:rPr>
        <w:fldChar w:fldCharType="separate"/>
      </w:r>
      <w:r>
        <w:rPr>
          <w:noProof/>
        </w:rPr>
        <w:t>6</w:t>
      </w:r>
      <w:r>
        <w:rPr>
          <w:noProof/>
        </w:rPr>
        <w:fldChar w:fldCharType="end"/>
      </w:r>
    </w:p>
    <w:p w14:paraId="6ADE46B8" w14:textId="703423EF" w:rsidR="00EB6BD5" w:rsidRDefault="00EB6BD5">
      <w:pPr>
        <w:pStyle w:val="TOC1"/>
        <w:tabs>
          <w:tab w:val="right" w:leader="dot" w:pos="9782"/>
        </w:tabs>
        <w:rPr>
          <w:rFonts w:asciiTheme="minorHAnsi" w:eastAsiaTheme="minorEastAsia" w:hAnsiTheme="minorHAnsi"/>
          <w:noProof/>
          <w:color w:val="auto"/>
          <w:sz w:val="24"/>
        </w:rPr>
      </w:pPr>
      <w:r w:rsidRPr="00315265">
        <w:rPr>
          <w:noProof/>
        </w:rPr>
        <w:t>5. Application modules and change map</w:t>
      </w:r>
      <w:r>
        <w:rPr>
          <w:noProof/>
        </w:rPr>
        <w:tab/>
      </w:r>
      <w:r>
        <w:rPr>
          <w:noProof/>
        </w:rPr>
        <w:fldChar w:fldCharType="begin"/>
      </w:r>
      <w:r>
        <w:rPr>
          <w:noProof/>
        </w:rPr>
        <w:instrText xml:space="preserve"> PAGEREF _Toc240324148 \h </w:instrText>
      </w:r>
      <w:r>
        <w:rPr>
          <w:noProof/>
        </w:rPr>
      </w:r>
      <w:r>
        <w:rPr>
          <w:noProof/>
        </w:rPr>
        <w:fldChar w:fldCharType="separate"/>
      </w:r>
      <w:r>
        <w:rPr>
          <w:noProof/>
        </w:rPr>
        <w:t>7</w:t>
      </w:r>
      <w:r>
        <w:rPr>
          <w:noProof/>
        </w:rPr>
        <w:fldChar w:fldCharType="end"/>
      </w:r>
    </w:p>
    <w:p w14:paraId="6C4BFC66" w14:textId="6D31D653" w:rsidR="00EB6BD5" w:rsidRDefault="00EB6BD5">
      <w:pPr>
        <w:pStyle w:val="TOC2"/>
        <w:tabs>
          <w:tab w:val="right" w:leader="dot" w:pos="9782"/>
        </w:tabs>
        <w:rPr>
          <w:noProof/>
        </w:rPr>
      </w:pPr>
      <w:r w:rsidRPr="00315265">
        <w:rPr>
          <w:noProof/>
        </w:rPr>
        <w:t>5.1 Navigation recommendation</w:t>
      </w:r>
      <w:r>
        <w:rPr>
          <w:noProof/>
        </w:rPr>
        <w:tab/>
      </w:r>
      <w:r>
        <w:rPr>
          <w:noProof/>
        </w:rPr>
        <w:fldChar w:fldCharType="begin"/>
      </w:r>
      <w:r>
        <w:rPr>
          <w:noProof/>
        </w:rPr>
        <w:instrText xml:space="preserve"> PAGEREF _Toc240324149 \h </w:instrText>
      </w:r>
      <w:r>
        <w:rPr>
          <w:noProof/>
        </w:rPr>
      </w:r>
      <w:r>
        <w:rPr>
          <w:noProof/>
        </w:rPr>
        <w:fldChar w:fldCharType="separate"/>
      </w:r>
      <w:r>
        <w:rPr>
          <w:noProof/>
        </w:rPr>
        <w:t>8</w:t>
      </w:r>
      <w:r>
        <w:rPr>
          <w:noProof/>
        </w:rPr>
        <w:fldChar w:fldCharType="end"/>
      </w:r>
    </w:p>
    <w:p w14:paraId="3A1EC320" w14:textId="6828ECA2" w:rsidR="00EB6BD5" w:rsidRDefault="00EB6BD5">
      <w:pPr>
        <w:pStyle w:val="TOC1"/>
        <w:tabs>
          <w:tab w:val="right" w:leader="dot" w:pos="9782"/>
        </w:tabs>
        <w:rPr>
          <w:rFonts w:asciiTheme="minorHAnsi" w:eastAsiaTheme="minorEastAsia" w:hAnsiTheme="minorHAnsi"/>
          <w:noProof/>
          <w:color w:val="auto"/>
          <w:sz w:val="24"/>
        </w:rPr>
      </w:pPr>
      <w:r w:rsidRPr="00315265">
        <w:rPr>
          <w:noProof/>
        </w:rPr>
        <w:t>6. Delivery roadmap and phase gates</w:t>
      </w:r>
      <w:r>
        <w:rPr>
          <w:noProof/>
        </w:rPr>
        <w:tab/>
      </w:r>
      <w:r>
        <w:rPr>
          <w:noProof/>
        </w:rPr>
        <w:fldChar w:fldCharType="begin"/>
      </w:r>
      <w:r>
        <w:rPr>
          <w:noProof/>
        </w:rPr>
        <w:instrText xml:space="preserve"> PAGEREF _Toc240324150 \h </w:instrText>
      </w:r>
      <w:r>
        <w:rPr>
          <w:noProof/>
        </w:rPr>
      </w:r>
      <w:r>
        <w:rPr>
          <w:noProof/>
        </w:rPr>
        <w:fldChar w:fldCharType="separate"/>
      </w:r>
      <w:r>
        <w:rPr>
          <w:noProof/>
        </w:rPr>
        <w:t>8</w:t>
      </w:r>
      <w:r>
        <w:rPr>
          <w:noProof/>
        </w:rPr>
        <w:fldChar w:fldCharType="end"/>
      </w:r>
    </w:p>
    <w:p w14:paraId="49307605" w14:textId="0EFD4A3D" w:rsidR="00EB6BD5" w:rsidRDefault="00EB6BD5">
      <w:pPr>
        <w:pStyle w:val="TOC1"/>
        <w:tabs>
          <w:tab w:val="right" w:leader="dot" w:pos="9782"/>
        </w:tabs>
        <w:rPr>
          <w:rFonts w:asciiTheme="minorHAnsi" w:eastAsiaTheme="minorEastAsia" w:hAnsiTheme="minorHAnsi"/>
          <w:noProof/>
          <w:color w:val="auto"/>
          <w:sz w:val="24"/>
        </w:rPr>
      </w:pPr>
      <w:r w:rsidRPr="00315265">
        <w:rPr>
          <w:noProof/>
        </w:rPr>
        <w:t>7. Migration and cutover strategy</w:t>
      </w:r>
      <w:r>
        <w:rPr>
          <w:noProof/>
        </w:rPr>
        <w:tab/>
      </w:r>
      <w:r>
        <w:rPr>
          <w:noProof/>
        </w:rPr>
        <w:fldChar w:fldCharType="begin"/>
      </w:r>
      <w:r>
        <w:rPr>
          <w:noProof/>
        </w:rPr>
        <w:instrText xml:space="preserve"> PAGEREF _Toc240324151 \h </w:instrText>
      </w:r>
      <w:r>
        <w:rPr>
          <w:noProof/>
        </w:rPr>
      </w:r>
      <w:r>
        <w:rPr>
          <w:noProof/>
        </w:rPr>
        <w:fldChar w:fldCharType="separate"/>
      </w:r>
      <w:r>
        <w:rPr>
          <w:noProof/>
        </w:rPr>
        <w:t>9</w:t>
      </w:r>
      <w:r>
        <w:rPr>
          <w:noProof/>
        </w:rPr>
        <w:fldChar w:fldCharType="end"/>
      </w:r>
    </w:p>
    <w:p w14:paraId="632C7E06" w14:textId="2E032B69" w:rsidR="00EB6BD5" w:rsidRDefault="00EB6BD5">
      <w:pPr>
        <w:pStyle w:val="TOC2"/>
        <w:tabs>
          <w:tab w:val="right" w:leader="dot" w:pos="9782"/>
        </w:tabs>
        <w:rPr>
          <w:noProof/>
        </w:rPr>
      </w:pPr>
      <w:r w:rsidRPr="00315265">
        <w:rPr>
          <w:noProof/>
        </w:rPr>
        <w:t>7.1 Legacy data mapping</w:t>
      </w:r>
      <w:r>
        <w:rPr>
          <w:noProof/>
        </w:rPr>
        <w:tab/>
      </w:r>
      <w:r>
        <w:rPr>
          <w:noProof/>
        </w:rPr>
        <w:fldChar w:fldCharType="begin"/>
      </w:r>
      <w:r>
        <w:rPr>
          <w:noProof/>
        </w:rPr>
        <w:instrText xml:space="preserve"> PAGEREF _Toc240324152 \h </w:instrText>
      </w:r>
      <w:r>
        <w:rPr>
          <w:noProof/>
        </w:rPr>
      </w:r>
      <w:r>
        <w:rPr>
          <w:noProof/>
        </w:rPr>
        <w:fldChar w:fldCharType="separate"/>
      </w:r>
      <w:r>
        <w:rPr>
          <w:noProof/>
        </w:rPr>
        <w:t>9</w:t>
      </w:r>
      <w:r>
        <w:rPr>
          <w:noProof/>
        </w:rPr>
        <w:fldChar w:fldCharType="end"/>
      </w:r>
    </w:p>
    <w:p w14:paraId="3CEB8EB6" w14:textId="3B484340" w:rsidR="00EB6BD5" w:rsidRDefault="00EB6BD5">
      <w:pPr>
        <w:pStyle w:val="TOC1"/>
        <w:tabs>
          <w:tab w:val="right" w:leader="dot" w:pos="9782"/>
        </w:tabs>
        <w:rPr>
          <w:rFonts w:asciiTheme="minorHAnsi" w:eastAsiaTheme="minorEastAsia" w:hAnsiTheme="minorHAnsi"/>
          <w:noProof/>
          <w:color w:val="auto"/>
          <w:sz w:val="24"/>
        </w:rPr>
      </w:pPr>
      <w:r w:rsidRPr="00315265">
        <w:rPr>
          <w:noProof/>
        </w:rPr>
        <w:t>8. Verification and test strategy</w:t>
      </w:r>
      <w:r>
        <w:rPr>
          <w:noProof/>
        </w:rPr>
        <w:tab/>
      </w:r>
      <w:r>
        <w:rPr>
          <w:noProof/>
        </w:rPr>
        <w:fldChar w:fldCharType="begin"/>
      </w:r>
      <w:r>
        <w:rPr>
          <w:noProof/>
        </w:rPr>
        <w:instrText xml:space="preserve"> PAGEREF _Toc240324153 \h </w:instrText>
      </w:r>
      <w:r>
        <w:rPr>
          <w:noProof/>
        </w:rPr>
      </w:r>
      <w:r>
        <w:rPr>
          <w:noProof/>
        </w:rPr>
        <w:fldChar w:fldCharType="separate"/>
      </w:r>
      <w:r>
        <w:rPr>
          <w:noProof/>
        </w:rPr>
        <w:t>9</w:t>
      </w:r>
      <w:r>
        <w:rPr>
          <w:noProof/>
        </w:rPr>
        <w:fldChar w:fldCharType="end"/>
      </w:r>
    </w:p>
    <w:p w14:paraId="33CEB07D" w14:textId="289E52A0" w:rsidR="00EB6BD5" w:rsidRDefault="00EB6BD5">
      <w:pPr>
        <w:pStyle w:val="TOC2"/>
        <w:tabs>
          <w:tab w:val="right" w:leader="dot" w:pos="9782"/>
        </w:tabs>
        <w:rPr>
          <w:noProof/>
        </w:rPr>
      </w:pPr>
      <w:r w:rsidRPr="00315265">
        <w:rPr>
          <w:noProof/>
        </w:rPr>
        <w:t>8.1 Critical acceptance scenarios</w:t>
      </w:r>
      <w:r>
        <w:rPr>
          <w:noProof/>
        </w:rPr>
        <w:tab/>
      </w:r>
      <w:r>
        <w:rPr>
          <w:noProof/>
        </w:rPr>
        <w:fldChar w:fldCharType="begin"/>
      </w:r>
      <w:r>
        <w:rPr>
          <w:noProof/>
        </w:rPr>
        <w:instrText xml:space="preserve"> PAGEREF _Toc240324154 \h </w:instrText>
      </w:r>
      <w:r>
        <w:rPr>
          <w:noProof/>
        </w:rPr>
      </w:r>
      <w:r>
        <w:rPr>
          <w:noProof/>
        </w:rPr>
        <w:fldChar w:fldCharType="separate"/>
      </w:r>
      <w:r>
        <w:rPr>
          <w:noProof/>
        </w:rPr>
        <w:t>10</w:t>
      </w:r>
      <w:r>
        <w:rPr>
          <w:noProof/>
        </w:rPr>
        <w:fldChar w:fldCharType="end"/>
      </w:r>
    </w:p>
    <w:p w14:paraId="1B55731E" w14:textId="60AC21B5" w:rsidR="00EB6BD5" w:rsidRDefault="00EB6BD5">
      <w:pPr>
        <w:pStyle w:val="TOC1"/>
        <w:tabs>
          <w:tab w:val="right" w:leader="dot" w:pos="9782"/>
        </w:tabs>
        <w:rPr>
          <w:rFonts w:asciiTheme="minorHAnsi" w:eastAsiaTheme="minorEastAsia" w:hAnsiTheme="minorHAnsi"/>
          <w:noProof/>
          <w:color w:val="auto"/>
          <w:sz w:val="24"/>
        </w:rPr>
      </w:pPr>
      <w:r w:rsidRPr="00315265">
        <w:rPr>
          <w:noProof/>
        </w:rPr>
        <w:t>9. Privacy, security, and data governance</w:t>
      </w:r>
      <w:r>
        <w:rPr>
          <w:noProof/>
        </w:rPr>
        <w:tab/>
      </w:r>
      <w:r>
        <w:rPr>
          <w:noProof/>
        </w:rPr>
        <w:fldChar w:fldCharType="begin"/>
      </w:r>
      <w:r>
        <w:rPr>
          <w:noProof/>
        </w:rPr>
        <w:instrText xml:space="preserve"> PAGEREF _Toc240324155 \h </w:instrText>
      </w:r>
      <w:r>
        <w:rPr>
          <w:noProof/>
        </w:rPr>
      </w:r>
      <w:r>
        <w:rPr>
          <w:noProof/>
        </w:rPr>
        <w:fldChar w:fldCharType="separate"/>
      </w:r>
      <w:r>
        <w:rPr>
          <w:noProof/>
        </w:rPr>
        <w:t>11</w:t>
      </w:r>
      <w:r>
        <w:rPr>
          <w:noProof/>
        </w:rPr>
        <w:fldChar w:fldCharType="end"/>
      </w:r>
    </w:p>
    <w:p w14:paraId="382E1938" w14:textId="03F0C213" w:rsidR="00EB6BD5" w:rsidRDefault="00EB6BD5">
      <w:pPr>
        <w:pStyle w:val="TOC1"/>
        <w:tabs>
          <w:tab w:val="right" w:leader="dot" w:pos="9782"/>
        </w:tabs>
        <w:rPr>
          <w:rFonts w:asciiTheme="minorHAnsi" w:eastAsiaTheme="minorEastAsia" w:hAnsiTheme="minorHAnsi"/>
          <w:noProof/>
          <w:color w:val="auto"/>
          <w:sz w:val="24"/>
        </w:rPr>
      </w:pPr>
      <w:r w:rsidRPr="00315265">
        <w:rPr>
          <w:noProof/>
        </w:rPr>
        <w:t>10. Operational queues, analytics, and notifications</w:t>
      </w:r>
      <w:r>
        <w:rPr>
          <w:noProof/>
        </w:rPr>
        <w:tab/>
      </w:r>
      <w:r>
        <w:rPr>
          <w:noProof/>
        </w:rPr>
        <w:fldChar w:fldCharType="begin"/>
      </w:r>
      <w:r>
        <w:rPr>
          <w:noProof/>
        </w:rPr>
        <w:instrText xml:space="preserve"> PAGEREF _Toc240324156 \h </w:instrText>
      </w:r>
      <w:r>
        <w:rPr>
          <w:noProof/>
        </w:rPr>
      </w:r>
      <w:r>
        <w:rPr>
          <w:noProof/>
        </w:rPr>
        <w:fldChar w:fldCharType="separate"/>
      </w:r>
      <w:r>
        <w:rPr>
          <w:noProof/>
        </w:rPr>
        <w:t>11</w:t>
      </w:r>
      <w:r>
        <w:rPr>
          <w:noProof/>
        </w:rPr>
        <w:fldChar w:fldCharType="end"/>
      </w:r>
    </w:p>
    <w:p w14:paraId="5B8A5295" w14:textId="52083D37" w:rsidR="00EB6BD5" w:rsidRDefault="00EB6BD5">
      <w:pPr>
        <w:pStyle w:val="TOC2"/>
        <w:tabs>
          <w:tab w:val="right" w:leader="dot" w:pos="9782"/>
        </w:tabs>
        <w:rPr>
          <w:noProof/>
        </w:rPr>
      </w:pPr>
      <w:r w:rsidRPr="00315265">
        <w:rPr>
          <w:noProof/>
        </w:rPr>
        <w:t>10.1 Needs Action / My Work</w:t>
      </w:r>
      <w:r>
        <w:rPr>
          <w:noProof/>
        </w:rPr>
        <w:tab/>
      </w:r>
      <w:r>
        <w:rPr>
          <w:noProof/>
        </w:rPr>
        <w:fldChar w:fldCharType="begin"/>
      </w:r>
      <w:r>
        <w:rPr>
          <w:noProof/>
        </w:rPr>
        <w:instrText xml:space="preserve"> PAGEREF _Toc240324157 \h </w:instrText>
      </w:r>
      <w:r>
        <w:rPr>
          <w:noProof/>
        </w:rPr>
      </w:r>
      <w:r>
        <w:rPr>
          <w:noProof/>
        </w:rPr>
        <w:fldChar w:fldCharType="separate"/>
      </w:r>
      <w:r>
        <w:rPr>
          <w:noProof/>
        </w:rPr>
        <w:t>11</w:t>
      </w:r>
      <w:r>
        <w:rPr>
          <w:noProof/>
        </w:rPr>
        <w:fldChar w:fldCharType="end"/>
      </w:r>
    </w:p>
    <w:p w14:paraId="648F04C7" w14:textId="12E8F3AA" w:rsidR="00EB6BD5" w:rsidRDefault="00EB6BD5">
      <w:pPr>
        <w:pStyle w:val="TOC2"/>
        <w:tabs>
          <w:tab w:val="right" w:leader="dot" w:pos="9782"/>
        </w:tabs>
        <w:rPr>
          <w:noProof/>
        </w:rPr>
      </w:pPr>
      <w:r w:rsidRPr="00315265">
        <w:rPr>
          <w:noProof/>
        </w:rPr>
        <w:t>10.2 Resident/public event mapping</w:t>
      </w:r>
      <w:r>
        <w:rPr>
          <w:noProof/>
        </w:rPr>
        <w:tab/>
      </w:r>
      <w:r>
        <w:rPr>
          <w:noProof/>
        </w:rPr>
        <w:fldChar w:fldCharType="begin"/>
      </w:r>
      <w:r>
        <w:rPr>
          <w:noProof/>
        </w:rPr>
        <w:instrText xml:space="preserve"> PAGEREF _Toc240324158 \h </w:instrText>
      </w:r>
      <w:r>
        <w:rPr>
          <w:noProof/>
        </w:rPr>
      </w:r>
      <w:r>
        <w:rPr>
          <w:noProof/>
        </w:rPr>
        <w:fldChar w:fldCharType="separate"/>
      </w:r>
      <w:r>
        <w:rPr>
          <w:noProof/>
        </w:rPr>
        <w:t>12</w:t>
      </w:r>
      <w:r>
        <w:rPr>
          <w:noProof/>
        </w:rPr>
        <w:fldChar w:fldCharType="end"/>
      </w:r>
    </w:p>
    <w:p w14:paraId="5DB740A6" w14:textId="4432107F" w:rsidR="00EB6BD5" w:rsidRDefault="00EB6BD5">
      <w:pPr>
        <w:pStyle w:val="TOC2"/>
        <w:tabs>
          <w:tab w:val="right" w:leader="dot" w:pos="9782"/>
        </w:tabs>
        <w:rPr>
          <w:noProof/>
        </w:rPr>
      </w:pPr>
      <w:r w:rsidRPr="00315265">
        <w:rPr>
          <w:noProof/>
        </w:rPr>
        <w:t>10.3 Management measures</w:t>
      </w:r>
      <w:r>
        <w:rPr>
          <w:noProof/>
        </w:rPr>
        <w:tab/>
      </w:r>
      <w:r>
        <w:rPr>
          <w:noProof/>
        </w:rPr>
        <w:fldChar w:fldCharType="begin"/>
      </w:r>
      <w:r>
        <w:rPr>
          <w:noProof/>
        </w:rPr>
        <w:instrText xml:space="preserve"> PAGEREF _Toc240324159 \h </w:instrText>
      </w:r>
      <w:r>
        <w:rPr>
          <w:noProof/>
        </w:rPr>
      </w:r>
      <w:r>
        <w:rPr>
          <w:noProof/>
        </w:rPr>
        <w:fldChar w:fldCharType="separate"/>
      </w:r>
      <w:r>
        <w:rPr>
          <w:noProof/>
        </w:rPr>
        <w:t>12</w:t>
      </w:r>
      <w:r>
        <w:rPr>
          <w:noProof/>
        </w:rPr>
        <w:fldChar w:fldCharType="end"/>
      </w:r>
    </w:p>
    <w:p w14:paraId="5A3811E5" w14:textId="1F859570" w:rsidR="00EB6BD5" w:rsidRDefault="00EB6BD5">
      <w:pPr>
        <w:pStyle w:val="TOC1"/>
        <w:tabs>
          <w:tab w:val="right" w:leader="dot" w:pos="9782"/>
        </w:tabs>
        <w:rPr>
          <w:rFonts w:asciiTheme="minorHAnsi" w:eastAsiaTheme="minorEastAsia" w:hAnsiTheme="minorHAnsi"/>
          <w:noProof/>
          <w:color w:val="auto"/>
          <w:sz w:val="24"/>
        </w:rPr>
      </w:pPr>
      <w:r w:rsidRPr="00315265">
        <w:rPr>
          <w:noProof/>
        </w:rPr>
        <w:t>11. Principal risks and mitigations</w:t>
      </w:r>
      <w:r>
        <w:rPr>
          <w:noProof/>
        </w:rPr>
        <w:tab/>
      </w:r>
      <w:r>
        <w:rPr>
          <w:noProof/>
        </w:rPr>
        <w:fldChar w:fldCharType="begin"/>
      </w:r>
      <w:r>
        <w:rPr>
          <w:noProof/>
        </w:rPr>
        <w:instrText xml:space="preserve"> PAGEREF _Toc240324160 \h </w:instrText>
      </w:r>
      <w:r>
        <w:rPr>
          <w:noProof/>
        </w:rPr>
      </w:r>
      <w:r>
        <w:rPr>
          <w:noProof/>
        </w:rPr>
        <w:fldChar w:fldCharType="separate"/>
      </w:r>
      <w:r>
        <w:rPr>
          <w:noProof/>
        </w:rPr>
        <w:t>12</w:t>
      </w:r>
      <w:r>
        <w:rPr>
          <w:noProof/>
        </w:rPr>
        <w:fldChar w:fldCharType="end"/>
      </w:r>
    </w:p>
    <w:p w14:paraId="3413661E" w14:textId="6213A366" w:rsidR="00EB6BD5" w:rsidRDefault="00EB6BD5">
      <w:pPr>
        <w:pStyle w:val="TOC1"/>
        <w:tabs>
          <w:tab w:val="right" w:leader="dot" w:pos="9782"/>
        </w:tabs>
        <w:rPr>
          <w:rFonts w:asciiTheme="minorHAnsi" w:eastAsiaTheme="minorEastAsia" w:hAnsiTheme="minorHAnsi"/>
          <w:noProof/>
          <w:color w:val="auto"/>
          <w:sz w:val="24"/>
        </w:rPr>
      </w:pPr>
      <w:r w:rsidRPr="00315265">
        <w:rPr>
          <w:noProof/>
        </w:rPr>
        <w:t>12. Decisions required before development</w:t>
      </w:r>
      <w:r>
        <w:rPr>
          <w:noProof/>
        </w:rPr>
        <w:tab/>
      </w:r>
      <w:r>
        <w:rPr>
          <w:noProof/>
        </w:rPr>
        <w:fldChar w:fldCharType="begin"/>
      </w:r>
      <w:r>
        <w:rPr>
          <w:noProof/>
        </w:rPr>
        <w:instrText xml:space="preserve"> PAGEREF _Toc240324161 \h </w:instrText>
      </w:r>
      <w:r>
        <w:rPr>
          <w:noProof/>
        </w:rPr>
      </w:r>
      <w:r>
        <w:rPr>
          <w:noProof/>
        </w:rPr>
        <w:fldChar w:fldCharType="separate"/>
      </w:r>
      <w:r>
        <w:rPr>
          <w:noProof/>
        </w:rPr>
        <w:t>13</w:t>
      </w:r>
      <w:r>
        <w:rPr>
          <w:noProof/>
        </w:rPr>
        <w:fldChar w:fldCharType="end"/>
      </w:r>
    </w:p>
    <w:p w14:paraId="67416443" w14:textId="40F8C38F" w:rsidR="00EB6BD5" w:rsidRDefault="00EB6BD5">
      <w:pPr>
        <w:pStyle w:val="TOC1"/>
        <w:tabs>
          <w:tab w:val="right" w:leader="dot" w:pos="9782"/>
        </w:tabs>
        <w:rPr>
          <w:rFonts w:asciiTheme="minorHAnsi" w:eastAsiaTheme="minorEastAsia" w:hAnsiTheme="minorHAnsi"/>
          <w:noProof/>
          <w:color w:val="auto"/>
          <w:sz w:val="24"/>
        </w:rPr>
      </w:pPr>
      <w:r w:rsidRPr="00315265">
        <w:rPr>
          <w:noProof/>
        </w:rPr>
        <w:t>13. Definition of done for the redesign</w:t>
      </w:r>
      <w:r>
        <w:rPr>
          <w:noProof/>
        </w:rPr>
        <w:tab/>
      </w:r>
      <w:r>
        <w:rPr>
          <w:noProof/>
        </w:rPr>
        <w:fldChar w:fldCharType="begin"/>
      </w:r>
      <w:r>
        <w:rPr>
          <w:noProof/>
        </w:rPr>
        <w:instrText xml:space="preserve"> PAGEREF _Toc240324162 \h </w:instrText>
      </w:r>
      <w:r>
        <w:rPr>
          <w:noProof/>
        </w:rPr>
      </w:r>
      <w:r>
        <w:rPr>
          <w:noProof/>
        </w:rPr>
        <w:fldChar w:fldCharType="separate"/>
      </w:r>
      <w:r>
        <w:rPr>
          <w:noProof/>
        </w:rPr>
        <w:t>13</w:t>
      </w:r>
      <w:r>
        <w:rPr>
          <w:noProof/>
        </w:rPr>
        <w:fldChar w:fldCharType="end"/>
      </w:r>
    </w:p>
    <w:p w14:paraId="52B05699" w14:textId="362614E8" w:rsidR="00EB6BD5" w:rsidRDefault="00EB6BD5">
      <w:pPr>
        <w:pStyle w:val="TOC1"/>
        <w:tabs>
          <w:tab w:val="right" w:leader="dot" w:pos="9782"/>
        </w:tabs>
        <w:rPr>
          <w:rFonts w:asciiTheme="minorHAnsi" w:eastAsiaTheme="minorEastAsia" w:hAnsiTheme="minorHAnsi"/>
          <w:noProof/>
          <w:color w:val="auto"/>
          <w:sz w:val="24"/>
        </w:rPr>
      </w:pPr>
      <w:r w:rsidRPr="00315265">
        <w:rPr>
          <w:noProof/>
        </w:rPr>
        <w:t>Appendix A. Source basis</w:t>
      </w:r>
      <w:r>
        <w:rPr>
          <w:noProof/>
        </w:rPr>
        <w:tab/>
      </w:r>
      <w:r>
        <w:rPr>
          <w:noProof/>
        </w:rPr>
        <w:fldChar w:fldCharType="begin"/>
      </w:r>
      <w:r>
        <w:rPr>
          <w:noProof/>
        </w:rPr>
        <w:instrText xml:space="preserve"> PAGEREF _Toc240324163 \h </w:instrText>
      </w:r>
      <w:r>
        <w:rPr>
          <w:noProof/>
        </w:rPr>
      </w:r>
      <w:r>
        <w:rPr>
          <w:noProof/>
        </w:rPr>
        <w:fldChar w:fldCharType="separate"/>
      </w:r>
      <w:r>
        <w:rPr>
          <w:noProof/>
        </w:rPr>
        <w:t>14</w:t>
      </w:r>
      <w:r>
        <w:rPr>
          <w:noProof/>
        </w:rPr>
        <w:fldChar w:fldCharType="end"/>
      </w:r>
    </w:p>
    <w:p w14:paraId="51F719E0" w14:textId="1AC06253" w:rsidR="00EB6BD5" w:rsidRDefault="00EB6BD5">
      <w:pPr>
        <w:pStyle w:val="TOC1"/>
        <w:tabs>
          <w:tab w:val="right" w:leader="dot" w:pos="9782"/>
        </w:tabs>
        <w:rPr>
          <w:rFonts w:asciiTheme="minorHAnsi" w:eastAsiaTheme="minorEastAsia" w:hAnsiTheme="minorHAnsi"/>
          <w:noProof/>
          <w:color w:val="auto"/>
          <w:sz w:val="24"/>
        </w:rPr>
      </w:pPr>
      <w:r w:rsidRPr="00315265">
        <w:rPr>
          <w:noProof/>
        </w:rPr>
        <w:t>Appendix B. Repository implementation anchors</w:t>
      </w:r>
      <w:r>
        <w:rPr>
          <w:noProof/>
        </w:rPr>
        <w:tab/>
      </w:r>
      <w:r>
        <w:rPr>
          <w:noProof/>
        </w:rPr>
        <w:fldChar w:fldCharType="begin"/>
      </w:r>
      <w:r>
        <w:rPr>
          <w:noProof/>
        </w:rPr>
        <w:instrText xml:space="preserve"> PAGEREF _Toc240324164 \h </w:instrText>
      </w:r>
      <w:r>
        <w:rPr>
          <w:noProof/>
        </w:rPr>
      </w:r>
      <w:r>
        <w:rPr>
          <w:noProof/>
        </w:rPr>
        <w:fldChar w:fldCharType="separate"/>
      </w:r>
      <w:r>
        <w:rPr>
          <w:noProof/>
        </w:rPr>
        <w:t>15</w:t>
      </w:r>
      <w:r>
        <w:rPr>
          <w:noProof/>
        </w:rPr>
        <w:fldChar w:fldCharType="end"/>
      </w:r>
    </w:p>
    <w:p w14:paraId="07DEEEEF" w14:textId="0FA88E9B" w:rsidR="00EB6BD5" w:rsidRDefault="00EB6BD5" w:rsidP="00EB6BD5">
      <w:r>
        <w:fldChar w:fldCharType="end"/>
      </w:r>
    </w:p>
    <w:p w14:paraId="40ACDAC7" w14:textId="4251C914" w:rsidR="00EB6BD5" w:rsidRDefault="00EB6BD5">
      <w:pPr>
        <w:spacing w:after="160" w:line="278" w:lineRule="auto"/>
      </w:pPr>
      <w:r>
        <w:br w:type="page"/>
      </w:r>
    </w:p>
    <w:p w14:paraId="569BD45D" w14:textId="332ED44B" w:rsidR="00EB6BD5" w:rsidRDefault="00EB6BD5" w:rsidP="00EB6BD5">
      <w:pPr>
        <w:pStyle w:val="Heading1"/>
        <w:rPr>
          <w:b w:val="0"/>
        </w:rPr>
      </w:pPr>
      <w:bookmarkStart w:id="1" w:name="_Toc240324139"/>
      <w:r>
        <w:rPr>
          <w:b w:val="0"/>
        </w:rPr>
        <w:lastRenderedPageBreak/>
        <w:t>1. Executive decision and boundaries</w:t>
      </w:r>
      <w:bookmarkEnd w:id="1"/>
    </w:p>
    <w:p w14:paraId="743DEFC4" w14:textId="10306E3E" w:rsidR="00EB6BD5" w:rsidRDefault="00EB6BD5" w:rsidP="00EB6BD5">
      <w:r>
        <w:t>Recommendation: implement the proposal, with defined corrections and a staged migration. The current application uses one report record and one four-value status to represent citizen evidence, verification, escalation, response, resolution, maps, and executive analytics. That model cannot safely express duplicate reports, provisional assessment, office accountability, support acknowledgement, or separate public truth. The change is therefore a domain redesign.</w:t>
      </w:r>
    </w:p>
    <w:p w14:paraId="3F145482" w14:textId="7785D16C" w:rsidR="00EB6BD5" w:rsidRDefault="00EB6BD5" w:rsidP="00EB6BD5">
      <w:pPr>
        <w:pStyle w:val="ListBullet"/>
      </w:pPr>
      <w:r>
        <w:t>Approve now: Report/Incident separation, Pending Review, remote evidence review, optional and audited contact, explicit review decisions, provisional incidents, orthogonal incident states, lead and owner, support acknowledgement, actions/units, timeline, closure, role-specific maps, Mayor read-only controls, and preservation of the resident offline queue.</w:t>
      </w:r>
    </w:p>
    <w:p w14:paraId="5AF33329" w14:textId="48F245B7" w:rsidR="00EB6BD5" w:rsidRDefault="00EB6BD5" w:rsidP="00EB6BD5">
      <w:pPr>
        <w:pStyle w:val="ListBullet"/>
      </w:pPr>
      <w:r>
        <w:t>Approve with modification: manually recorded phone outcomes; human-approved duplicate linking; community confirmations as supporting evidence only; public location precision by incident sensitivity; and Lead Office as an application accountability field, not a replacement for the formal Incident Commander or Unified Command.</w:t>
      </w:r>
    </w:p>
    <w:p w14:paraId="0FACA8F5" w14:textId="6DDA7FE4" w:rsidR="00EB6BD5" w:rsidRDefault="00EB6BD5" w:rsidP="00EB6BD5">
      <w:pPr>
        <w:pStyle w:val="ListBullet"/>
      </w:pPr>
      <w:r>
        <w:t>Defer: a public pending-report layer, automated risk scoring, machine-learning deduplication, official offline workflows, and full dispatch features such as live responder GPS, routing, ETA, rosters, and fleet management.</w:t>
      </w:r>
    </w:p>
    <w:tbl>
      <w:tblPr>
        <w:tblW w:w="9792" w:type="dxa"/>
        <w:tblBorders>
          <w:top w:val="single" w:sz="4" w:space="0" w:color="B42318"/>
          <w:left w:val="single" w:sz="4" w:space="0" w:color="B42318"/>
          <w:bottom w:val="single" w:sz="4" w:space="0" w:color="B42318"/>
          <w:right w:val="single" w:sz="4" w:space="0" w:color="B42318"/>
        </w:tblBorders>
        <w:shd w:val="clear" w:color="auto" w:fill="FEECEB"/>
        <w:tblLayout w:type="fixed"/>
        <w:tblLook w:val="0000" w:firstRow="0" w:lastRow="0" w:firstColumn="0" w:lastColumn="0" w:noHBand="0" w:noVBand="0"/>
      </w:tblPr>
      <w:tblGrid>
        <w:gridCol w:w="9792"/>
      </w:tblGrid>
      <w:tr w:rsidR="00EB6BD5" w14:paraId="1857C73A" w14:textId="77777777" w:rsidTr="00EB6BD5">
        <w:tblPrEx>
          <w:tblCellMar>
            <w:top w:w="0" w:type="dxa"/>
            <w:bottom w:w="0" w:type="dxa"/>
          </w:tblCellMar>
        </w:tblPrEx>
        <w:tc>
          <w:tcPr>
            <w:tcW w:w="9792" w:type="dxa"/>
            <w:shd w:val="clear" w:color="auto" w:fill="FEECEB"/>
            <w:tcMar>
              <w:top w:w="160" w:type="dxa"/>
              <w:left w:w="200" w:type="dxa"/>
              <w:bottom w:w="160" w:type="dxa"/>
              <w:right w:w="200" w:type="dxa"/>
            </w:tcMar>
          </w:tcPr>
          <w:p w14:paraId="01AC8A03" w14:textId="77777777" w:rsidR="00EB6BD5" w:rsidRPr="00EB6BD5" w:rsidRDefault="00EB6BD5" w:rsidP="00EB6BD5">
            <w:pPr>
              <w:spacing w:after="60"/>
              <w:rPr>
                <w:rFonts w:cs="Calibri"/>
                <w:b/>
                <w:color w:val="B42318"/>
                <w:sz w:val="21"/>
              </w:rPr>
            </w:pPr>
            <w:r w:rsidRPr="00EB6BD5">
              <w:rPr>
                <w:rFonts w:cs="Calibri"/>
                <w:b/>
                <w:color w:val="B42318"/>
                <w:sz w:val="21"/>
              </w:rPr>
              <w:t>NON-NEGOTIABLE</w:t>
            </w:r>
          </w:p>
          <w:p w14:paraId="595B22ED" w14:textId="53373CBA" w:rsidR="00EB6BD5" w:rsidRPr="00EB6BD5" w:rsidRDefault="00EB6BD5" w:rsidP="00EB6BD5">
            <w:pPr>
              <w:spacing w:after="60"/>
              <w:rPr>
                <w:rFonts w:cs="Calibri"/>
                <w:sz w:val="21"/>
              </w:rPr>
            </w:pPr>
            <w:r w:rsidRPr="00EB6BD5">
              <w:rPr>
                <w:rFonts w:cs="Calibri"/>
                <w:sz w:val="21"/>
              </w:rPr>
              <w:t>Do not transform each new resident report into a confirmed incident. Do not expose full reporter contact data in ordinary reads. Do not make public-map safety depend on a client-side status filter.</w:t>
            </w:r>
          </w:p>
        </w:tc>
      </w:tr>
    </w:tbl>
    <w:p w14:paraId="48DE48F4" w14:textId="77777777" w:rsidR="00EB6BD5" w:rsidRDefault="00EB6BD5" w:rsidP="00EB6BD5"/>
    <w:p w14:paraId="66894FFF" w14:textId="3CCEE6B1" w:rsidR="00EB6BD5" w:rsidRDefault="00EB6BD5" w:rsidP="00EB6BD5">
      <w:pPr>
        <w:pStyle w:val="Heading1"/>
        <w:rPr>
          <w:b w:val="0"/>
        </w:rPr>
      </w:pPr>
      <w:bookmarkStart w:id="2" w:name="_Toc240324140"/>
      <w:r>
        <w:rPr>
          <w:b w:val="0"/>
        </w:rPr>
        <w:t>2. Target operating model</w:t>
      </w:r>
      <w:bookmarkEnd w:id="2"/>
    </w:p>
    <w:p w14:paraId="69C98246" w14:textId="72979C48" w:rsidR="00EB6BD5" w:rsidRDefault="00EB6BD5" w:rsidP="00EB6BD5">
      <w:pPr>
        <w:pStyle w:val="Heading2"/>
        <w:rPr>
          <w:b w:val="0"/>
        </w:rPr>
      </w:pPr>
      <w:bookmarkStart w:id="3" w:name="_Toc240324141"/>
      <w:r>
        <w:rPr>
          <w:b w:val="0"/>
        </w:rPr>
        <w:t>2.1 Lifecycle</w:t>
      </w:r>
      <w:bookmarkEnd w:id="3"/>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1567"/>
        <w:gridCol w:w="1860"/>
        <w:gridCol w:w="3819"/>
        <w:gridCol w:w="2546"/>
      </w:tblGrid>
      <w:tr w:rsidR="00EB6BD5" w14:paraId="4D26DF70" w14:textId="77777777" w:rsidTr="00EB6BD5">
        <w:trPr>
          <w:cantSplit/>
        </w:trPr>
        <w:tc>
          <w:tcPr>
            <w:tcW w:w="800" w:type="pct"/>
            <w:shd w:val="clear" w:color="auto" w:fill="auto"/>
            <w:tcMar>
              <w:top w:w="80" w:type="dxa"/>
              <w:left w:w="120" w:type="dxa"/>
              <w:bottom w:w="80" w:type="dxa"/>
              <w:right w:w="120" w:type="dxa"/>
            </w:tcMar>
          </w:tcPr>
          <w:p w14:paraId="1819F1AC" w14:textId="79EC128F" w:rsidR="00EB6BD5" w:rsidRPr="00EB6BD5" w:rsidRDefault="00EB6BD5" w:rsidP="00EB6BD5">
            <w:pPr>
              <w:spacing w:after="80"/>
              <w:rPr>
                <w:rFonts w:cs="Calibri"/>
                <w:b/>
                <w:color w:val="16324F"/>
                <w:sz w:val="18"/>
              </w:rPr>
            </w:pPr>
            <w:r w:rsidRPr="00EB6BD5">
              <w:rPr>
                <w:rFonts w:cs="Calibri"/>
                <w:b/>
                <w:color w:val="16324F"/>
                <w:sz w:val="18"/>
              </w:rPr>
              <w:t>Stage</w:t>
            </w:r>
          </w:p>
        </w:tc>
        <w:tc>
          <w:tcPr>
            <w:tcW w:w="950" w:type="pct"/>
            <w:shd w:val="clear" w:color="auto" w:fill="auto"/>
            <w:tcMar>
              <w:top w:w="80" w:type="dxa"/>
              <w:left w:w="120" w:type="dxa"/>
              <w:bottom w:w="80" w:type="dxa"/>
              <w:right w:w="120" w:type="dxa"/>
            </w:tcMar>
          </w:tcPr>
          <w:p w14:paraId="36590D41" w14:textId="7090E02C" w:rsidR="00EB6BD5" w:rsidRPr="00EB6BD5" w:rsidRDefault="00EB6BD5" w:rsidP="00EB6BD5">
            <w:pPr>
              <w:spacing w:after="80"/>
              <w:rPr>
                <w:rFonts w:cs="Calibri"/>
                <w:b/>
                <w:color w:val="16324F"/>
                <w:sz w:val="18"/>
              </w:rPr>
            </w:pPr>
            <w:r w:rsidRPr="00EB6BD5">
              <w:rPr>
                <w:rFonts w:cs="Calibri"/>
                <w:b/>
                <w:color w:val="16324F"/>
                <w:sz w:val="18"/>
              </w:rPr>
              <w:t>System object</w:t>
            </w:r>
          </w:p>
        </w:tc>
        <w:tc>
          <w:tcPr>
            <w:tcW w:w="1950" w:type="pct"/>
            <w:shd w:val="clear" w:color="auto" w:fill="auto"/>
            <w:tcMar>
              <w:top w:w="80" w:type="dxa"/>
              <w:left w:w="120" w:type="dxa"/>
              <w:bottom w:w="80" w:type="dxa"/>
              <w:right w:w="120" w:type="dxa"/>
            </w:tcMar>
          </w:tcPr>
          <w:p w14:paraId="115E522E" w14:textId="00F4EB4E" w:rsidR="00EB6BD5" w:rsidRPr="00EB6BD5" w:rsidRDefault="00EB6BD5" w:rsidP="00EB6BD5">
            <w:pPr>
              <w:spacing w:after="80"/>
              <w:rPr>
                <w:rFonts w:cs="Calibri"/>
                <w:b/>
                <w:color w:val="16324F"/>
                <w:sz w:val="18"/>
              </w:rPr>
            </w:pPr>
            <w:r w:rsidRPr="00EB6BD5">
              <w:rPr>
                <w:rFonts w:cs="Calibri"/>
                <w:b/>
                <w:color w:val="16324F"/>
                <w:sz w:val="18"/>
              </w:rPr>
              <w:t>Primary decision or action</w:t>
            </w:r>
          </w:p>
        </w:tc>
        <w:tc>
          <w:tcPr>
            <w:tcW w:w="1300" w:type="pct"/>
            <w:shd w:val="clear" w:color="auto" w:fill="auto"/>
            <w:tcMar>
              <w:top w:w="80" w:type="dxa"/>
              <w:left w:w="120" w:type="dxa"/>
              <w:bottom w:w="80" w:type="dxa"/>
              <w:right w:w="120" w:type="dxa"/>
            </w:tcMar>
          </w:tcPr>
          <w:p w14:paraId="6A8360D6" w14:textId="4EF3B16D" w:rsidR="00EB6BD5" w:rsidRPr="00EB6BD5" w:rsidRDefault="00EB6BD5" w:rsidP="00EB6BD5">
            <w:pPr>
              <w:spacing w:after="80"/>
              <w:rPr>
                <w:rFonts w:cs="Calibri"/>
                <w:b/>
                <w:color w:val="16324F"/>
                <w:sz w:val="18"/>
              </w:rPr>
            </w:pPr>
            <w:r w:rsidRPr="00EB6BD5">
              <w:rPr>
                <w:rFonts w:cs="Calibri"/>
                <w:b/>
                <w:color w:val="16324F"/>
                <w:sz w:val="18"/>
              </w:rPr>
              <w:t>Public meaning</w:t>
            </w:r>
          </w:p>
        </w:tc>
      </w:tr>
      <w:tr w:rsidR="00EB6BD5" w14:paraId="6DE9279D" w14:textId="77777777" w:rsidTr="00EB6BD5">
        <w:trPr>
          <w:cantSplit/>
        </w:trPr>
        <w:tc>
          <w:tcPr>
            <w:tcW w:w="800" w:type="pct"/>
            <w:shd w:val="clear" w:color="auto" w:fill="auto"/>
            <w:tcMar>
              <w:top w:w="80" w:type="dxa"/>
              <w:left w:w="120" w:type="dxa"/>
              <w:bottom w:w="80" w:type="dxa"/>
              <w:right w:w="120" w:type="dxa"/>
            </w:tcMar>
          </w:tcPr>
          <w:p w14:paraId="6756A287" w14:textId="75EA953C" w:rsidR="00EB6BD5" w:rsidRPr="00EB6BD5" w:rsidRDefault="00EB6BD5" w:rsidP="00EB6BD5">
            <w:pPr>
              <w:spacing w:after="80"/>
              <w:rPr>
                <w:rFonts w:cs="Calibri"/>
                <w:sz w:val="18"/>
              </w:rPr>
            </w:pPr>
            <w:r w:rsidRPr="00EB6BD5">
              <w:rPr>
                <w:rFonts w:cs="Calibri"/>
                <w:sz w:val="18"/>
              </w:rPr>
              <w:t>Submission</w:t>
            </w:r>
          </w:p>
        </w:tc>
        <w:tc>
          <w:tcPr>
            <w:tcW w:w="950" w:type="pct"/>
            <w:shd w:val="clear" w:color="auto" w:fill="auto"/>
            <w:tcMar>
              <w:top w:w="80" w:type="dxa"/>
              <w:left w:w="120" w:type="dxa"/>
              <w:bottom w:w="80" w:type="dxa"/>
              <w:right w:w="120" w:type="dxa"/>
            </w:tcMar>
          </w:tcPr>
          <w:p w14:paraId="01A602E4" w14:textId="436C2704" w:rsidR="00EB6BD5" w:rsidRPr="00EB6BD5" w:rsidRDefault="00EB6BD5" w:rsidP="00EB6BD5">
            <w:pPr>
              <w:spacing w:after="80"/>
              <w:rPr>
                <w:rFonts w:cs="Calibri"/>
                <w:sz w:val="18"/>
              </w:rPr>
            </w:pPr>
            <w:r w:rsidRPr="00EB6BD5">
              <w:rPr>
                <w:rFonts w:cs="Calibri"/>
                <w:sz w:val="18"/>
              </w:rPr>
              <w:t>Resident Report</w:t>
            </w:r>
          </w:p>
        </w:tc>
        <w:tc>
          <w:tcPr>
            <w:tcW w:w="1950" w:type="pct"/>
            <w:shd w:val="clear" w:color="auto" w:fill="auto"/>
            <w:tcMar>
              <w:top w:w="80" w:type="dxa"/>
              <w:left w:w="120" w:type="dxa"/>
              <w:bottom w:w="80" w:type="dxa"/>
              <w:right w:w="120" w:type="dxa"/>
            </w:tcMar>
          </w:tcPr>
          <w:p w14:paraId="58C9A33E" w14:textId="2721A6FC" w:rsidR="00EB6BD5" w:rsidRPr="00EB6BD5" w:rsidRDefault="00EB6BD5" w:rsidP="00EB6BD5">
            <w:pPr>
              <w:spacing w:after="80"/>
              <w:rPr>
                <w:rFonts w:cs="Calibri"/>
                <w:sz w:val="18"/>
              </w:rPr>
            </w:pPr>
            <w:r w:rsidRPr="00EB6BD5">
              <w:rPr>
                <w:rFonts w:cs="Calibri"/>
                <w:sz w:val="18"/>
              </w:rPr>
              <w:t>Persist evidence and mark Pending Review</w:t>
            </w:r>
          </w:p>
        </w:tc>
        <w:tc>
          <w:tcPr>
            <w:tcW w:w="1300" w:type="pct"/>
            <w:shd w:val="clear" w:color="auto" w:fill="auto"/>
            <w:tcMar>
              <w:top w:w="80" w:type="dxa"/>
              <w:left w:w="120" w:type="dxa"/>
              <w:bottom w:w="80" w:type="dxa"/>
              <w:right w:w="120" w:type="dxa"/>
            </w:tcMar>
          </w:tcPr>
          <w:p w14:paraId="4A886721" w14:textId="510FE5EA" w:rsidR="00EB6BD5" w:rsidRPr="00EB6BD5" w:rsidRDefault="00EB6BD5" w:rsidP="00EB6BD5">
            <w:pPr>
              <w:spacing w:after="80"/>
              <w:rPr>
                <w:rFonts w:cs="Calibri"/>
                <w:sz w:val="18"/>
              </w:rPr>
            </w:pPr>
            <w:r w:rsidRPr="00EB6BD5">
              <w:rPr>
                <w:rFonts w:cs="Calibri"/>
                <w:sz w:val="18"/>
              </w:rPr>
              <w:t>Submitted / Awaiting review</w:t>
            </w:r>
          </w:p>
        </w:tc>
      </w:tr>
      <w:tr w:rsidR="00EB6BD5" w14:paraId="14D4A978" w14:textId="77777777" w:rsidTr="00EB6BD5">
        <w:trPr>
          <w:cantSplit/>
        </w:trPr>
        <w:tc>
          <w:tcPr>
            <w:tcW w:w="800" w:type="pct"/>
            <w:shd w:val="clear" w:color="auto" w:fill="auto"/>
            <w:tcMar>
              <w:top w:w="80" w:type="dxa"/>
              <w:left w:w="120" w:type="dxa"/>
              <w:bottom w:w="80" w:type="dxa"/>
              <w:right w:w="120" w:type="dxa"/>
            </w:tcMar>
          </w:tcPr>
          <w:p w14:paraId="24A1AEF1" w14:textId="69F43013" w:rsidR="00EB6BD5" w:rsidRPr="00EB6BD5" w:rsidRDefault="00EB6BD5" w:rsidP="00EB6BD5">
            <w:pPr>
              <w:spacing w:after="80"/>
              <w:rPr>
                <w:rFonts w:cs="Calibri"/>
                <w:sz w:val="18"/>
              </w:rPr>
            </w:pPr>
            <w:r w:rsidRPr="00EB6BD5">
              <w:rPr>
                <w:rFonts w:cs="Calibri"/>
                <w:sz w:val="18"/>
              </w:rPr>
              <w:t>Remote review</w:t>
            </w:r>
          </w:p>
        </w:tc>
        <w:tc>
          <w:tcPr>
            <w:tcW w:w="950" w:type="pct"/>
            <w:shd w:val="clear" w:color="auto" w:fill="auto"/>
            <w:tcMar>
              <w:top w:w="80" w:type="dxa"/>
              <w:left w:w="120" w:type="dxa"/>
              <w:bottom w:w="80" w:type="dxa"/>
              <w:right w:w="120" w:type="dxa"/>
            </w:tcMar>
          </w:tcPr>
          <w:p w14:paraId="69C12598" w14:textId="57E54296" w:rsidR="00EB6BD5" w:rsidRPr="00EB6BD5" w:rsidRDefault="00EB6BD5" w:rsidP="00EB6BD5">
            <w:pPr>
              <w:spacing w:after="80"/>
              <w:rPr>
                <w:rFonts w:cs="Calibri"/>
                <w:sz w:val="18"/>
              </w:rPr>
            </w:pPr>
            <w:r w:rsidRPr="00EB6BD5">
              <w:rPr>
                <w:rFonts w:cs="Calibri"/>
                <w:sz w:val="18"/>
              </w:rPr>
              <w:t>Report Review</w:t>
            </w:r>
          </w:p>
        </w:tc>
        <w:tc>
          <w:tcPr>
            <w:tcW w:w="1950" w:type="pct"/>
            <w:shd w:val="clear" w:color="auto" w:fill="auto"/>
            <w:tcMar>
              <w:top w:w="80" w:type="dxa"/>
              <w:left w:w="120" w:type="dxa"/>
              <w:bottom w:w="80" w:type="dxa"/>
              <w:right w:w="120" w:type="dxa"/>
            </w:tcMar>
          </w:tcPr>
          <w:p w14:paraId="31CC3473" w14:textId="11384DBC" w:rsidR="00EB6BD5" w:rsidRPr="00EB6BD5" w:rsidRDefault="00EB6BD5" w:rsidP="00EB6BD5">
            <w:pPr>
              <w:spacing w:after="80"/>
              <w:rPr>
                <w:rFonts w:cs="Calibri"/>
                <w:sz w:val="18"/>
              </w:rPr>
            </w:pPr>
            <w:r w:rsidRPr="00EB6BD5">
              <w:rPr>
                <w:rFonts w:cs="Calibri"/>
                <w:sz w:val="18"/>
              </w:rPr>
              <w:t>Verify new; link existing; assess; could not confirm; reject</w:t>
            </w:r>
          </w:p>
        </w:tc>
        <w:tc>
          <w:tcPr>
            <w:tcW w:w="1300" w:type="pct"/>
            <w:shd w:val="clear" w:color="auto" w:fill="auto"/>
            <w:tcMar>
              <w:top w:w="80" w:type="dxa"/>
              <w:left w:w="120" w:type="dxa"/>
              <w:bottom w:w="80" w:type="dxa"/>
              <w:right w:w="120" w:type="dxa"/>
            </w:tcMar>
          </w:tcPr>
          <w:p w14:paraId="0204FFC4" w14:textId="380AE596" w:rsidR="00EB6BD5" w:rsidRPr="00EB6BD5" w:rsidRDefault="00EB6BD5" w:rsidP="00EB6BD5">
            <w:pPr>
              <w:spacing w:after="80"/>
              <w:rPr>
                <w:rFonts w:cs="Calibri"/>
                <w:sz w:val="18"/>
              </w:rPr>
            </w:pPr>
            <w:r w:rsidRPr="00EB6BD5">
              <w:rPr>
                <w:rFonts w:cs="Calibri"/>
                <w:sz w:val="18"/>
              </w:rPr>
              <w:t>Under Review</w:t>
            </w:r>
          </w:p>
        </w:tc>
      </w:tr>
      <w:tr w:rsidR="00EB6BD5" w14:paraId="615F8397" w14:textId="77777777" w:rsidTr="00EB6BD5">
        <w:trPr>
          <w:cantSplit/>
        </w:trPr>
        <w:tc>
          <w:tcPr>
            <w:tcW w:w="800" w:type="pct"/>
            <w:shd w:val="clear" w:color="auto" w:fill="auto"/>
            <w:tcMar>
              <w:top w:w="80" w:type="dxa"/>
              <w:left w:w="120" w:type="dxa"/>
              <w:bottom w:w="80" w:type="dxa"/>
              <w:right w:w="120" w:type="dxa"/>
            </w:tcMar>
          </w:tcPr>
          <w:p w14:paraId="3D761AF7" w14:textId="15167F7D" w:rsidR="00EB6BD5" w:rsidRPr="00EB6BD5" w:rsidRDefault="00EB6BD5" w:rsidP="00EB6BD5">
            <w:pPr>
              <w:spacing w:after="80"/>
              <w:rPr>
                <w:rFonts w:cs="Calibri"/>
                <w:sz w:val="18"/>
              </w:rPr>
            </w:pPr>
            <w:r w:rsidRPr="00EB6BD5">
              <w:rPr>
                <w:rFonts w:cs="Calibri"/>
                <w:sz w:val="18"/>
              </w:rPr>
              <w:t>Assessment</w:t>
            </w:r>
          </w:p>
        </w:tc>
        <w:tc>
          <w:tcPr>
            <w:tcW w:w="950" w:type="pct"/>
            <w:shd w:val="clear" w:color="auto" w:fill="auto"/>
            <w:tcMar>
              <w:top w:w="80" w:type="dxa"/>
              <w:left w:w="120" w:type="dxa"/>
              <w:bottom w:w="80" w:type="dxa"/>
              <w:right w:w="120" w:type="dxa"/>
            </w:tcMar>
          </w:tcPr>
          <w:p w14:paraId="76F55350" w14:textId="1B25A9A4" w:rsidR="00EB6BD5" w:rsidRPr="00EB6BD5" w:rsidRDefault="00EB6BD5" w:rsidP="00EB6BD5">
            <w:pPr>
              <w:spacing w:after="80"/>
              <w:rPr>
                <w:rFonts w:cs="Calibri"/>
                <w:sz w:val="18"/>
              </w:rPr>
            </w:pPr>
            <w:r w:rsidRPr="00EB6BD5">
              <w:rPr>
                <w:rFonts w:cs="Calibri"/>
                <w:sz w:val="18"/>
              </w:rPr>
              <w:t>Provisional Incident Case</w:t>
            </w:r>
          </w:p>
        </w:tc>
        <w:tc>
          <w:tcPr>
            <w:tcW w:w="1950" w:type="pct"/>
            <w:shd w:val="clear" w:color="auto" w:fill="auto"/>
            <w:tcMar>
              <w:top w:w="80" w:type="dxa"/>
              <w:left w:w="120" w:type="dxa"/>
              <w:bottom w:w="80" w:type="dxa"/>
              <w:right w:w="120" w:type="dxa"/>
            </w:tcMar>
          </w:tcPr>
          <w:p w14:paraId="3C8A1F3F" w14:textId="0EE9BA25" w:rsidR="00EB6BD5" w:rsidRPr="00EB6BD5" w:rsidRDefault="00EB6BD5" w:rsidP="00EB6BD5">
            <w:pPr>
              <w:spacing w:after="80"/>
              <w:rPr>
                <w:rFonts w:cs="Calibri"/>
                <w:sz w:val="18"/>
              </w:rPr>
            </w:pPr>
            <w:r w:rsidRPr="00EB6BD5">
              <w:rPr>
                <w:rFonts w:cs="Calibri"/>
                <w:sz w:val="18"/>
              </w:rPr>
              <w:t>Assign site assessment or urgent response while verification remains Pending</w:t>
            </w:r>
          </w:p>
        </w:tc>
        <w:tc>
          <w:tcPr>
            <w:tcW w:w="1300" w:type="pct"/>
            <w:shd w:val="clear" w:color="auto" w:fill="auto"/>
            <w:tcMar>
              <w:top w:w="80" w:type="dxa"/>
              <w:left w:w="120" w:type="dxa"/>
              <w:bottom w:w="80" w:type="dxa"/>
              <w:right w:w="120" w:type="dxa"/>
            </w:tcMar>
          </w:tcPr>
          <w:p w14:paraId="19DD7F0B" w14:textId="3796CE72" w:rsidR="00EB6BD5" w:rsidRPr="00EB6BD5" w:rsidRDefault="00EB6BD5" w:rsidP="00EB6BD5">
            <w:pPr>
              <w:spacing w:after="80"/>
              <w:rPr>
                <w:rFonts w:cs="Calibri"/>
                <w:sz w:val="18"/>
              </w:rPr>
            </w:pPr>
            <w:r w:rsidRPr="00EB6BD5">
              <w:rPr>
                <w:rFonts w:cs="Calibri"/>
                <w:sz w:val="18"/>
              </w:rPr>
              <w:t>Being assessed for reporter; not a confirmed public incident</w:t>
            </w:r>
          </w:p>
        </w:tc>
      </w:tr>
      <w:tr w:rsidR="00EB6BD5" w14:paraId="535EC101" w14:textId="77777777" w:rsidTr="00EB6BD5">
        <w:trPr>
          <w:cantSplit/>
        </w:trPr>
        <w:tc>
          <w:tcPr>
            <w:tcW w:w="800" w:type="pct"/>
            <w:shd w:val="clear" w:color="auto" w:fill="auto"/>
            <w:tcMar>
              <w:top w:w="80" w:type="dxa"/>
              <w:left w:w="120" w:type="dxa"/>
              <w:bottom w:w="80" w:type="dxa"/>
              <w:right w:w="120" w:type="dxa"/>
            </w:tcMar>
          </w:tcPr>
          <w:p w14:paraId="28481358" w14:textId="2F7ABD50" w:rsidR="00EB6BD5" w:rsidRPr="00EB6BD5" w:rsidRDefault="00EB6BD5" w:rsidP="00EB6BD5">
            <w:pPr>
              <w:spacing w:after="80"/>
              <w:rPr>
                <w:rFonts w:cs="Calibri"/>
                <w:sz w:val="18"/>
              </w:rPr>
            </w:pPr>
            <w:r w:rsidRPr="00EB6BD5">
              <w:rPr>
                <w:rFonts w:cs="Calibri"/>
                <w:sz w:val="18"/>
              </w:rPr>
              <w:t>Confirmation</w:t>
            </w:r>
          </w:p>
        </w:tc>
        <w:tc>
          <w:tcPr>
            <w:tcW w:w="950" w:type="pct"/>
            <w:shd w:val="clear" w:color="auto" w:fill="auto"/>
            <w:tcMar>
              <w:top w:w="80" w:type="dxa"/>
              <w:left w:w="120" w:type="dxa"/>
              <w:bottom w:w="80" w:type="dxa"/>
              <w:right w:w="120" w:type="dxa"/>
            </w:tcMar>
          </w:tcPr>
          <w:p w14:paraId="701AE87D" w14:textId="12BD6DFF" w:rsidR="00EB6BD5" w:rsidRPr="00EB6BD5" w:rsidRDefault="00EB6BD5" w:rsidP="00EB6BD5">
            <w:pPr>
              <w:spacing w:after="80"/>
              <w:rPr>
                <w:rFonts w:cs="Calibri"/>
                <w:sz w:val="18"/>
              </w:rPr>
            </w:pPr>
            <w:r w:rsidRPr="00EB6BD5">
              <w:rPr>
                <w:rFonts w:cs="Calibri"/>
                <w:sz w:val="18"/>
              </w:rPr>
              <w:t>Incident Case</w:t>
            </w:r>
          </w:p>
        </w:tc>
        <w:tc>
          <w:tcPr>
            <w:tcW w:w="1950" w:type="pct"/>
            <w:shd w:val="clear" w:color="auto" w:fill="auto"/>
            <w:tcMar>
              <w:top w:w="80" w:type="dxa"/>
              <w:left w:w="120" w:type="dxa"/>
              <w:bottom w:w="80" w:type="dxa"/>
              <w:right w:w="120" w:type="dxa"/>
            </w:tcMar>
          </w:tcPr>
          <w:p w14:paraId="5355F53A" w14:textId="08319181" w:rsidR="00EB6BD5" w:rsidRPr="00EB6BD5" w:rsidRDefault="00EB6BD5" w:rsidP="00EB6BD5">
            <w:pPr>
              <w:spacing w:after="80"/>
              <w:rPr>
                <w:rFonts w:cs="Calibri"/>
                <w:sz w:val="18"/>
              </w:rPr>
            </w:pPr>
            <w:r w:rsidRPr="00EB6BD5">
              <w:rPr>
                <w:rFonts w:cs="Calibri"/>
                <w:sz w:val="18"/>
              </w:rPr>
              <w:t>Set verification Confirmed and assign Lead Office / Case Owner</w:t>
            </w:r>
          </w:p>
        </w:tc>
        <w:tc>
          <w:tcPr>
            <w:tcW w:w="1300" w:type="pct"/>
            <w:shd w:val="clear" w:color="auto" w:fill="auto"/>
            <w:tcMar>
              <w:top w:w="80" w:type="dxa"/>
              <w:left w:w="120" w:type="dxa"/>
              <w:bottom w:w="80" w:type="dxa"/>
              <w:right w:w="120" w:type="dxa"/>
            </w:tcMar>
          </w:tcPr>
          <w:p w14:paraId="23AD889D" w14:textId="70A7A860" w:rsidR="00EB6BD5" w:rsidRPr="00EB6BD5" w:rsidRDefault="00EB6BD5" w:rsidP="00EB6BD5">
            <w:pPr>
              <w:spacing w:after="80"/>
              <w:rPr>
                <w:rFonts w:cs="Calibri"/>
                <w:sz w:val="18"/>
              </w:rPr>
            </w:pPr>
            <w:r w:rsidRPr="00EB6BD5">
              <w:rPr>
                <w:rFonts w:cs="Calibri"/>
                <w:sz w:val="18"/>
              </w:rPr>
              <w:t>Confirmed</w:t>
            </w:r>
          </w:p>
        </w:tc>
      </w:tr>
      <w:tr w:rsidR="00EB6BD5" w14:paraId="5DEEFB34" w14:textId="77777777" w:rsidTr="00EB6BD5">
        <w:trPr>
          <w:cantSplit/>
        </w:trPr>
        <w:tc>
          <w:tcPr>
            <w:tcW w:w="800" w:type="pct"/>
            <w:shd w:val="clear" w:color="auto" w:fill="auto"/>
            <w:tcMar>
              <w:top w:w="80" w:type="dxa"/>
              <w:left w:w="120" w:type="dxa"/>
              <w:bottom w:w="80" w:type="dxa"/>
              <w:right w:w="120" w:type="dxa"/>
            </w:tcMar>
          </w:tcPr>
          <w:p w14:paraId="751F38A0" w14:textId="6AF352A6" w:rsidR="00EB6BD5" w:rsidRPr="00EB6BD5" w:rsidRDefault="00EB6BD5" w:rsidP="00EB6BD5">
            <w:pPr>
              <w:spacing w:after="80"/>
              <w:rPr>
                <w:rFonts w:cs="Calibri"/>
                <w:sz w:val="18"/>
              </w:rPr>
            </w:pPr>
            <w:r w:rsidRPr="00EB6BD5">
              <w:rPr>
                <w:rFonts w:cs="Calibri"/>
                <w:sz w:val="18"/>
              </w:rPr>
              <w:t>Operations</w:t>
            </w:r>
          </w:p>
        </w:tc>
        <w:tc>
          <w:tcPr>
            <w:tcW w:w="950" w:type="pct"/>
            <w:shd w:val="clear" w:color="auto" w:fill="auto"/>
            <w:tcMar>
              <w:top w:w="80" w:type="dxa"/>
              <w:left w:w="120" w:type="dxa"/>
              <w:bottom w:w="80" w:type="dxa"/>
              <w:right w:w="120" w:type="dxa"/>
            </w:tcMar>
          </w:tcPr>
          <w:p w14:paraId="49CC363B" w14:textId="13B69A2D" w:rsidR="00EB6BD5" w:rsidRPr="00EB6BD5" w:rsidRDefault="00EB6BD5" w:rsidP="00EB6BD5">
            <w:pPr>
              <w:spacing w:after="80"/>
              <w:rPr>
                <w:rFonts w:cs="Calibri"/>
                <w:sz w:val="18"/>
              </w:rPr>
            </w:pPr>
            <w:r w:rsidRPr="00EB6BD5">
              <w:rPr>
                <w:rFonts w:cs="Calibri"/>
                <w:sz w:val="18"/>
              </w:rPr>
              <w:t>Response Actions and Units</w:t>
            </w:r>
          </w:p>
        </w:tc>
        <w:tc>
          <w:tcPr>
            <w:tcW w:w="1950" w:type="pct"/>
            <w:shd w:val="clear" w:color="auto" w:fill="auto"/>
            <w:tcMar>
              <w:top w:w="80" w:type="dxa"/>
              <w:left w:w="120" w:type="dxa"/>
              <w:bottom w:w="80" w:type="dxa"/>
              <w:right w:w="120" w:type="dxa"/>
            </w:tcMar>
          </w:tcPr>
          <w:p w14:paraId="3A4942AF" w14:textId="5F456B2A" w:rsidR="00EB6BD5" w:rsidRPr="00EB6BD5" w:rsidRDefault="00EB6BD5" w:rsidP="00EB6BD5">
            <w:pPr>
              <w:spacing w:after="80"/>
              <w:rPr>
                <w:rFonts w:cs="Calibri"/>
                <w:sz w:val="18"/>
              </w:rPr>
            </w:pPr>
            <w:r w:rsidRPr="00EB6BD5">
              <w:rPr>
                <w:rFonts w:cs="Calibri"/>
                <w:sz w:val="18"/>
              </w:rPr>
              <w:t>Assign, start, update, request support, or transfer lead after acceptance</w:t>
            </w:r>
          </w:p>
        </w:tc>
        <w:tc>
          <w:tcPr>
            <w:tcW w:w="1300" w:type="pct"/>
            <w:shd w:val="clear" w:color="auto" w:fill="auto"/>
            <w:tcMar>
              <w:top w:w="80" w:type="dxa"/>
              <w:left w:w="120" w:type="dxa"/>
              <w:bottom w:w="80" w:type="dxa"/>
              <w:right w:w="120" w:type="dxa"/>
            </w:tcMar>
          </w:tcPr>
          <w:p w14:paraId="279017D5" w14:textId="052D1AA7" w:rsidR="00EB6BD5" w:rsidRPr="00EB6BD5" w:rsidRDefault="00EB6BD5" w:rsidP="00EB6BD5">
            <w:pPr>
              <w:spacing w:after="80"/>
              <w:rPr>
                <w:rFonts w:cs="Calibri"/>
                <w:sz w:val="18"/>
              </w:rPr>
            </w:pPr>
            <w:r w:rsidRPr="00EB6BD5">
              <w:rPr>
                <w:rFonts w:cs="Calibri"/>
                <w:sz w:val="18"/>
              </w:rPr>
              <w:t>Response Ongoing when an action/unit exists</w:t>
            </w:r>
          </w:p>
        </w:tc>
      </w:tr>
      <w:tr w:rsidR="00EB6BD5" w14:paraId="58268CCF" w14:textId="77777777" w:rsidTr="00EB6BD5">
        <w:trPr>
          <w:cantSplit/>
        </w:trPr>
        <w:tc>
          <w:tcPr>
            <w:tcW w:w="800" w:type="pct"/>
            <w:shd w:val="clear" w:color="auto" w:fill="auto"/>
            <w:tcMar>
              <w:top w:w="80" w:type="dxa"/>
              <w:left w:w="120" w:type="dxa"/>
              <w:bottom w:w="80" w:type="dxa"/>
              <w:right w:w="120" w:type="dxa"/>
            </w:tcMar>
          </w:tcPr>
          <w:p w14:paraId="3427D5E7" w14:textId="2E643DD4" w:rsidR="00EB6BD5" w:rsidRPr="00EB6BD5" w:rsidRDefault="00EB6BD5" w:rsidP="00EB6BD5">
            <w:pPr>
              <w:spacing w:after="80"/>
              <w:rPr>
                <w:rFonts w:cs="Calibri"/>
                <w:sz w:val="18"/>
              </w:rPr>
            </w:pPr>
            <w:r w:rsidRPr="00EB6BD5">
              <w:rPr>
                <w:rFonts w:cs="Calibri"/>
                <w:sz w:val="18"/>
              </w:rPr>
              <w:t>Closure</w:t>
            </w:r>
          </w:p>
        </w:tc>
        <w:tc>
          <w:tcPr>
            <w:tcW w:w="950" w:type="pct"/>
            <w:shd w:val="clear" w:color="auto" w:fill="auto"/>
            <w:tcMar>
              <w:top w:w="80" w:type="dxa"/>
              <w:left w:w="120" w:type="dxa"/>
              <w:bottom w:w="80" w:type="dxa"/>
              <w:right w:w="120" w:type="dxa"/>
            </w:tcMar>
          </w:tcPr>
          <w:p w14:paraId="7745DADA" w14:textId="56A4BA97" w:rsidR="00EB6BD5" w:rsidRPr="00EB6BD5" w:rsidRDefault="00EB6BD5" w:rsidP="00EB6BD5">
            <w:pPr>
              <w:spacing w:after="80"/>
              <w:rPr>
                <w:rFonts w:cs="Calibri"/>
                <w:sz w:val="18"/>
              </w:rPr>
            </w:pPr>
            <w:r w:rsidRPr="00EB6BD5">
              <w:rPr>
                <w:rFonts w:cs="Calibri"/>
                <w:sz w:val="18"/>
              </w:rPr>
              <w:t>Incident Closure</w:t>
            </w:r>
          </w:p>
        </w:tc>
        <w:tc>
          <w:tcPr>
            <w:tcW w:w="1950" w:type="pct"/>
            <w:shd w:val="clear" w:color="auto" w:fill="auto"/>
            <w:tcMar>
              <w:top w:w="80" w:type="dxa"/>
              <w:left w:w="120" w:type="dxa"/>
              <w:bottom w:w="80" w:type="dxa"/>
              <w:right w:w="120" w:type="dxa"/>
            </w:tcMar>
          </w:tcPr>
          <w:p w14:paraId="4DE9D887" w14:textId="08972520" w:rsidR="00EB6BD5" w:rsidRPr="00EB6BD5" w:rsidRDefault="00EB6BD5" w:rsidP="00EB6BD5">
            <w:pPr>
              <w:spacing w:after="80"/>
              <w:rPr>
                <w:rFonts w:cs="Calibri"/>
                <w:sz w:val="18"/>
              </w:rPr>
            </w:pPr>
            <w:r w:rsidRPr="00EB6BD5">
              <w:rPr>
                <w:rFonts w:cs="Calibri"/>
                <w:sz w:val="18"/>
              </w:rPr>
              <w:t>Record action, category, official, time, evidence, and public summary</w:t>
            </w:r>
          </w:p>
        </w:tc>
        <w:tc>
          <w:tcPr>
            <w:tcW w:w="1300" w:type="pct"/>
            <w:shd w:val="clear" w:color="auto" w:fill="auto"/>
            <w:tcMar>
              <w:top w:w="80" w:type="dxa"/>
              <w:left w:w="120" w:type="dxa"/>
              <w:bottom w:w="80" w:type="dxa"/>
              <w:right w:w="120" w:type="dxa"/>
            </w:tcMar>
          </w:tcPr>
          <w:p w14:paraId="1F248C49" w14:textId="2977F02D" w:rsidR="00EB6BD5" w:rsidRPr="00EB6BD5" w:rsidRDefault="00EB6BD5" w:rsidP="00EB6BD5">
            <w:pPr>
              <w:spacing w:after="80"/>
              <w:rPr>
                <w:rFonts w:cs="Calibri"/>
                <w:sz w:val="18"/>
              </w:rPr>
            </w:pPr>
            <w:r w:rsidRPr="00EB6BD5">
              <w:rPr>
                <w:rFonts w:cs="Calibri"/>
                <w:sz w:val="18"/>
              </w:rPr>
              <w:t>Resolved</w:t>
            </w:r>
          </w:p>
        </w:tc>
      </w:tr>
      <w:tr w:rsidR="00EB6BD5" w14:paraId="59A06914" w14:textId="77777777" w:rsidTr="00EB6BD5">
        <w:trPr>
          <w:cantSplit/>
        </w:trPr>
        <w:tc>
          <w:tcPr>
            <w:tcW w:w="800" w:type="pct"/>
            <w:shd w:val="clear" w:color="auto" w:fill="auto"/>
            <w:tcMar>
              <w:top w:w="80" w:type="dxa"/>
              <w:left w:w="120" w:type="dxa"/>
              <w:bottom w:w="80" w:type="dxa"/>
              <w:right w:w="120" w:type="dxa"/>
            </w:tcMar>
          </w:tcPr>
          <w:p w14:paraId="59F4B531" w14:textId="7945C6FC" w:rsidR="00EB6BD5" w:rsidRPr="00EB6BD5" w:rsidRDefault="00EB6BD5" w:rsidP="00EB6BD5">
            <w:pPr>
              <w:spacing w:after="80"/>
              <w:rPr>
                <w:rFonts w:cs="Calibri"/>
                <w:sz w:val="18"/>
              </w:rPr>
            </w:pPr>
            <w:r w:rsidRPr="00EB6BD5">
              <w:rPr>
                <w:rFonts w:cs="Calibri"/>
                <w:sz w:val="18"/>
              </w:rPr>
              <w:lastRenderedPageBreak/>
              <w:t>Recurrence</w:t>
            </w:r>
          </w:p>
        </w:tc>
        <w:tc>
          <w:tcPr>
            <w:tcW w:w="950" w:type="pct"/>
            <w:shd w:val="clear" w:color="auto" w:fill="auto"/>
            <w:tcMar>
              <w:top w:w="80" w:type="dxa"/>
              <w:left w:w="120" w:type="dxa"/>
              <w:bottom w:w="80" w:type="dxa"/>
              <w:right w:w="120" w:type="dxa"/>
            </w:tcMar>
          </w:tcPr>
          <w:p w14:paraId="1BD80A65" w14:textId="04EFAD2F" w:rsidR="00EB6BD5" w:rsidRPr="00EB6BD5" w:rsidRDefault="00EB6BD5" w:rsidP="00EB6BD5">
            <w:pPr>
              <w:spacing w:after="80"/>
              <w:rPr>
                <w:rFonts w:cs="Calibri"/>
                <w:sz w:val="18"/>
              </w:rPr>
            </w:pPr>
            <w:r w:rsidRPr="00EB6BD5">
              <w:rPr>
                <w:rFonts w:cs="Calibri"/>
                <w:sz w:val="18"/>
              </w:rPr>
              <w:t>Same Incident Case</w:t>
            </w:r>
          </w:p>
        </w:tc>
        <w:tc>
          <w:tcPr>
            <w:tcW w:w="1950" w:type="pct"/>
            <w:shd w:val="clear" w:color="auto" w:fill="auto"/>
            <w:tcMar>
              <w:top w:w="80" w:type="dxa"/>
              <w:left w:w="120" w:type="dxa"/>
              <w:bottom w:w="80" w:type="dxa"/>
              <w:right w:w="120" w:type="dxa"/>
            </w:tcMar>
          </w:tcPr>
          <w:p w14:paraId="4A138641" w14:textId="79D38C75" w:rsidR="00EB6BD5" w:rsidRPr="00EB6BD5" w:rsidRDefault="00EB6BD5" w:rsidP="00EB6BD5">
            <w:pPr>
              <w:spacing w:after="80"/>
              <w:rPr>
                <w:rFonts w:cs="Calibri"/>
                <w:sz w:val="18"/>
              </w:rPr>
            </w:pPr>
            <w:r w:rsidRPr="00EB6BD5">
              <w:rPr>
                <w:rFonts w:cs="Calibri"/>
                <w:sz w:val="18"/>
              </w:rPr>
              <w:t>Reopen only when the same incident genuinely resumes or worsens</w:t>
            </w:r>
          </w:p>
        </w:tc>
        <w:tc>
          <w:tcPr>
            <w:tcW w:w="1300" w:type="pct"/>
            <w:shd w:val="clear" w:color="auto" w:fill="auto"/>
            <w:tcMar>
              <w:top w:w="80" w:type="dxa"/>
              <w:left w:w="120" w:type="dxa"/>
              <w:bottom w:w="80" w:type="dxa"/>
              <w:right w:w="120" w:type="dxa"/>
            </w:tcMar>
          </w:tcPr>
          <w:p w14:paraId="6A1242FA" w14:textId="43C06109" w:rsidR="00EB6BD5" w:rsidRPr="00EB6BD5" w:rsidRDefault="00EB6BD5" w:rsidP="00EB6BD5">
            <w:pPr>
              <w:spacing w:after="80"/>
              <w:rPr>
                <w:rFonts w:cs="Calibri"/>
                <w:sz w:val="18"/>
              </w:rPr>
            </w:pPr>
            <w:r w:rsidRPr="00EB6BD5">
              <w:rPr>
                <w:rFonts w:cs="Calibri"/>
                <w:sz w:val="18"/>
              </w:rPr>
              <w:t>Reopened / Response Ongoing</w:t>
            </w:r>
          </w:p>
        </w:tc>
      </w:tr>
    </w:tbl>
    <w:p w14:paraId="42FF5B0D" w14:textId="77777777" w:rsidR="00EB6BD5" w:rsidRDefault="00EB6BD5" w:rsidP="00EB6BD5"/>
    <w:p w14:paraId="22D3BB17" w14:textId="2FBD14FB" w:rsidR="00EB6BD5" w:rsidRDefault="00EB6BD5" w:rsidP="00EB6BD5">
      <w:pPr>
        <w:pStyle w:val="Heading2"/>
        <w:rPr>
          <w:b w:val="0"/>
        </w:rPr>
      </w:pPr>
      <w:bookmarkStart w:id="4" w:name="_Toc240324142"/>
      <w:r>
        <w:rPr>
          <w:b w:val="0"/>
        </w:rPr>
        <w:t>2.2 Review decision policy</w:t>
      </w:r>
      <w:bookmarkEnd w:id="4"/>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252"/>
        <w:gridCol w:w="4602"/>
        <w:gridCol w:w="2938"/>
      </w:tblGrid>
      <w:tr w:rsidR="00EB6BD5" w14:paraId="0C3B1772" w14:textId="77777777" w:rsidTr="00EB6BD5">
        <w:trPr>
          <w:cantSplit/>
        </w:trPr>
        <w:tc>
          <w:tcPr>
            <w:tcW w:w="1150" w:type="pct"/>
            <w:shd w:val="clear" w:color="auto" w:fill="auto"/>
            <w:tcMar>
              <w:top w:w="80" w:type="dxa"/>
              <w:left w:w="120" w:type="dxa"/>
              <w:bottom w:w="80" w:type="dxa"/>
              <w:right w:w="120" w:type="dxa"/>
            </w:tcMar>
          </w:tcPr>
          <w:p w14:paraId="57967523" w14:textId="14A69000" w:rsidR="00EB6BD5" w:rsidRPr="00EB6BD5" w:rsidRDefault="00EB6BD5" w:rsidP="00EB6BD5">
            <w:pPr>
              <w:spacing w:after="80"/>
              <w:rPr>
                <w:rFonts w:cs="Calibri"/>
                <w:b/>
                <w:color w:val="16324F"/>
                <w:sz w:val="18"/>
              </w:rPr>
            </w:pPr>
            <w:r w:rsidRPr="00EB6BD5">
              <w:rPr>
                <w:rFonts w:cs="Calibri"/>
                <w:b/>
                <w:color w:val="16324F"/>
                <w:sz w:val="18"/>
              </w:rPr>
              <w:t>Decision</w:t>
            </w:r>
          </w:p>
        </w:tc>
        <w:tc>
          <w:tcPr>
            <w:tcW w:w="2350" w:type="pct"/>
            <w:shd w:val="clear" w:color="auto" w:fill="auto"/>
            <w:tcMar>
              <w:top w:w="80" w:type="dxa"/>
              <w:left w:w="120" w:type="dxa"/>
              <w:bottom w:w="80" w:type="dxa"/>
              <w:right w:w="120" w:type="dxa"/>
            </w:tcMar>
          </w:tcPr>
          <w:p w14:paraId="42189821" w14:textId="54EF0FD7" w:rsidR="00EB6BD5" w:rsidRPr="00EB6BD5" w:rsidRDefault="00EB6BD5" w:rsidP="00EB6BD5">
            <w:pPr>
              <w:spacing w:after="80"/>
              <w:rPr>
                <w:rFonts w:cs="Calibri"/>
                <w:b/>
                <w:color w:val="16324F"/>
                <w:sz w:val="18"/>
              </w:rPr>
            </w:pPr>
            <w:r w:rsidRPr="00EB6BD5">
              <w:rPr>
                <w:rFonts w:cs="Calibri"/>
                <w:b/>
                <w:color w:val="16324F"/>
                <w:sz w:val="18"/>
              </w:rPr>
              <w:t>Use when</w:t>
            </w:r>
          </w:p>
        </w:tc>
        <w:tc>
          <w:tcPr>
            <w:tcW w:w="1500" w:type="pct"/>
            <w:shd w:val="clear" w:color="auto" w:fill="auto"/>
            <w:tcMar>
              <w:top w:w="80" w:type="dxa"/>
              <w:left w:w="120" w:type="dxa"/>
              <w:bottom w:w="80" w:type="dxa"/>
              <w:right w:w="120" w:type="dxa"/>
            </w:tcMar>
          </w:tcPr>
          <w:p w14:paraId="449110B7" w14:textId="723F7BA7" w:rsidR="00EB6BD5" w:rsidRPr="00EB6BD5" w:rsidRDefault="00EB6BD5" w:rsidP="00EB6BD5">
            <w:pPr>
              <w:spacing w:after="80"/>
              <w:rPr>
                <w:rFonts w:cs="Calibri"/>
                <w:b/>
                <w:color w:val="16324F"/>
                <w:sz w:val="18"/>
              </w:rPr>
            </w:pPr>
            <w:r w:rsidRPr="00EB6BD5">
              <w:rPr>
                <w:rFonts w:cs="Calibri"/>
                <w:b/>
                <w:color w:val="16324F"/>
                <w:sz w:val="18"/>
              </w:rPr>
              <w:t>Required result</w:t>
            </w:r>
          </w:p>
        </w:tc>
      </w:tr>
      <w:tr w:rsidR="00EB6BD5" w14:paraId="6939242D" w14:textId="77777777" w:rsidTr="00EB6BD5">
        <w:trPr>
          <w:cantSplit/>
        </w:trPr>
        <w:tc>
          <w:tcPr>
            <w:tcW w:w="1150" w:type="pct"/>
            <w:shd w:val="clear" w:color="auto" w:fill="auto"/>
            <w:tcMar>
              <w:top w:w="80" w:type="dxa"/>
              <w:left w:w="120" w:type="dxa"/>
              <w:bottom w:w="80" w:type="dxa"/>
              <w:right w:w="120" w:type="dxa"/>
            </w:tcMar>
          </w:tcPr>
          <w:p w14:paraId="51FF3785" w14:textId="087799A0" w:rsidR="00EB6BD5" w:rsidRPr="00EB6BD5" w:rsidRDefault="00EB6BD5" w:rsidP="00EB6BD5">
            <w:pPr>
              <w:spacing w:after="80"/>
              <w:rPr>
                <w:rFonts w:cs="Calibri"/>
                <w:sz w:val="18"/>
              </w:rPr>
            </w:pPr>
            <w:r w:rsidRPr="00EB6BD5">
              <w:rPr>
                <w:rFonts w:cs="Calibri"/>
                <w:sz w:val="18"/>
              </w:rPr>
              <w:t>Verify as New Incident</w:t>
            </w:r>
          </w:p>
        </w:tc>
        <w:tc>
          <w:tcPr>
            <w:tcW w:w="2350" w:type="pct"/>
            <w:shd w:val="clear" w:color="auto" w:fill="auto"/>
            <w:tcMar>
              <w:top w:w="80" w:type="dxa"/>
              <w:left w:w="120" w:type="dxa"/>
              <w:bottom w:w="80" w:type="dxa"/>
              <w:right w:w="120" w:type="dxa"/>
            </w:tcMar>
          </w:tcPr>
          <w:p w14:paraId="4701D19E" w14:textId="6F4D4E96" w:rsidR="00EB6BD5" w:rsidRPr="00EB6BD5" w:rsidRDefault="00EB6BD5" w:rsidP="00EB6BD5">
            <w:pPr>
              <w:spacing w:after="80"/>
              <w:rPr>
                <w:rFonts w:cs="Calibri"/>
                <w:sz w:val="18"/>
              </w:rPr>
            </w:pPr>
            <w:r w:rsidRPr="00EB6BD5">
              <w:rPr>
                <w:rFonts w:cs="Calibri"/>
                <w:sz w:val="18"/>
              </w:rPr>
              <w:t>Evidence reasonably establishes that the event exists. Evidence may be resident media, credible GPS context, corroborating reports, official information, clarification, or a combination.</w:t>
            </w:r>
          </w:p>
        </w:tc>
        <w:tc>
          <w:tcPr>
            <w:tcW w:w="1500" w:type="pct"/>
            <w:shd w:val="clear" w:color="auto" w:fill="auto"/>
            <w:tcMar>
              <w:top w:w="80" w:type="dxa"/>
              <w:left w:w="120" w:type="dxa"/>
              <w:bottom w:w="80" w:type="dxa"/>
              <w:right w:w="120" w:type="dxa"/>
            </w:tcMar>
          </w:tcPr>
          <w:p w14:paraId="2BD36E3F" w14:textId="03CCCAEE" w:rsidR="00EB6BD5" w:rsidRPr="00EB6BD5" w:rsidRDefault="00EB6BD5" w:rsidP="00EB6BD5">
            <w:pPr>
              <w:spacing w:after="80"/>
              <w:rPr>
                <w:rFonts w:cs="Calibri"/>
                <w:sz w:val="18"/>
              </w:rPr>
            </w:pPr>
            <w:r w:rsidRPr="00EB6BD5">
              <w:rPr>
                <w:rFonts w:cs="Calibri"/>
                <w:sz w:val="18"/>
              </w:rPr>
              <w:t>Create a Confirmed Incident Case and link the report as source evidence.</w:t>
            </w:r>
          </w:p>
        </w:tc>
      </w:tr>
      <w:tr w:rsidR="00EB6BD5" w14:paraId="17FC74F7" w14:textId="77777777" w:rsidTr="00EB6BD5">
        <w:trPr>
          <w:cantSplit/>
        </w:trPr>
        <w:tc>
          <w:tcPr>
            <w:tcW w:w="1150" w:type="pct"/>
            <w:shd w:val="clear" w:color="auto" w:fill="auto"/>
            <w:tcMar>
              <w:top w:w="80" w:type="dxa"/>
              <w:left w:w="120" w:type="dxa"/>
              <w:bottom w:w="80" w:type="dxa"/>
              <w:right w:w="120" w:type="dxa"/>
            </w:tcMar>
          </w:tcPr>
          <w:p w14:paraId="502DC284" w14:textId="6291B871" w:rsidR="00EB6BD5" w:rsidRPr="00EB6BD5" w:rsidRDefault="00EB6BD5" w:rsidP="00EB6BD5">
            <w:pPr>
              <w:spacing w:after="80"/>
              <w:rPr>
                <w:rFonts w:cs="Calibri"/>
                <w:sz w:val="18"/>
              </w:rPr>
            </w:pPr>
            <w:r w:rsidRPr="00EB6BD5">
              <w:rPr>
                <w:rFonts w:cs="Calibri"/>
                <w:sz w:val="18"/>
              </w:rPr>
              <w:t>Link to Existing Incident</w:t>
            </w:r>
          </w:p>
        </w:tc>
        <w:tc>
          <w:tcPr>
            <w:tcW w:w="2350" w:type="pct"/>
            <w:shd w:val="clear" w:color="auto" w:fill="auto"/>
            <w:tcMar>
              <w:top w:w="80" w:type="dxa"/>
              <w:left w:w="120" w:type="dxa"/>
              <w:bottom w:w="80" w:type="dxa"/>
              <w:right w:w="120" w:type="dxa"/>
            </w:tcMar>
          </w:tcPr>
          <w:p w14:paraId="068C1893" w14:textId="0B5DB8CC" w:rsidR="00EB6BD5" w:rsidRPr="00EB6BD5" w:rsidRDefault="00EB6BD5" w:rsidP="00EB6BD5">
            <w:pPr>
              <w:spacing w:after="80"/>
              <w:rPr>
                <w:rFonts w:cs="Calibri"/>
                <w:sz w:val="18"/>
              </w:rPr>
            </w:pPr>
            <w:r w:rsidRPr="00EB6BD5">
              <w:rPr>
                <w:rFonts w:cs="Calibri"/>
                <w:sz w:val="18"/>
              </w:rPr>
              <w:t>A managed Incident Case already represents the same event.</w:t>
            </w:r>
          </w:p>
        </w:tc>
        <w:tc>
          <w:tcPr>
            <w:tcW w:w="1500" w:type="pct"/>
            <w:shd w:val="clear" w:color="auto" w:fill="auto"/>
            <w:tcMar>
              <w:top w:w="80" w:type="dxa"/>
              <w:left w:w="120" w:type="dxa"/>
              <w:bottom w:w="80" w:type="dxa"/>
              <w:right w:w="120" w:type="dxa"/>
            </w:tcMar>
          </w:tcPr>
          <w:p w14:paraId="479771FB" w14:textId="2587133F" w:rsidR="00EB6BD5" w:rsidRPr="00EB6BD5" w:rsidRDefault="00EB6BD5" w:rsidP="00EB6BD5">
            <w:pPr>
              <w:spacing w:after="80"/>
              <w:rPr>
                <w:rFonts w:cs="Calibri"/>
                <w:sz w:val="18"/>
              </w:rPr>
            </w:pPr>
            <w:r w:rsidRPr="00EB6BD5">
              <w:rPr>
                <w:rFonts w:cs="Calibri"/>
                <w:sz w:val="18"/>
              </w:rPr>
              <w:t>Link as corroborating evidence. Preserve the report in the resident history and show that it contributed.</w:t>
            </w:r>
          </w:p>
        </w:tc>
      </w:tr>
      <w:tr w:rsidR="00EB6BD5" w14:paraId="2E11686E" w14:textId="77777777" w:rsidTr="00EB6BD5">
        <w:trPr>
          <w:cantSplit/>
        </w:trPr>
        <w:tc>
          <w:tcPr>
            <w:tcW w:w="1150" w:type="pct"/>
            <w:shd w:val="clear" w:color="auto" w:fill="auto"/>
            <w:tcMar>
              <w:top w:w="80" w:type="dxa"/>
              <w:left w:w="120" w:type="dxa"/>
              <w:bottom w:w="80" w:type="dxa"/>
              <w:right w:w="120" w:type="dxa"/>
            </w:tcMar>
          </w:tcPr>
          <w:p w14:paraId="4B1FE5D8" w14:textId="49FA2703" w:rsidR="00EB6BD5" w:rsidRPr="00EB6BD5" w:rsidRDefault="00EB6BD5" w:rsidP="00EB6BD5">
            <w:pPr>
              <w:spacing w:after="80"/>
              <w:rPr>
                <w:rFonts w:cs="Calibri"/>
                <w:sz w:val="18"/>
              </w:rPr>
            </w:pPr>
            <w:r w:rsidRPr="00EB6BD5">
              <w:rPr>
                <w:rFonts w:cs="Calibri"/>
                <w:sz w:val="18"/>
              </w:rPr>
              <w:t>Needs Field Assessment</w:t>
            </w:r>
          </w:p>
        </w:tc>
        <w:tc>
          <w:tcPr>
            <w:tcW w:w="2350" w:type="pct"/>
            <w:shd w:val="clear" w:color="auto" w:fill="auto"/>
            <w:tcMar>
              <w:top w:w="80" w:type="dxa"/>
              <w:left w:w="120" w:type="dxa"/>
              <w:bottom w:w="80" w:type="dxa"/>
              <w:right w:w="120" w:type="dxa"/>
            </w:tcMar>
          </w:tcPr>
          <w:p w14:paraId="21C17F90" w14:textId="1CB770BD" w:rsidR="00EB6BD5" w:rsidRPr="00EB6BD5" w:rsidRDefault="00EB6BD5" w:rsidP="00EB6BD5">
            <w:pPr>
              <w:spacing w:after="80"/>
              <w:rPr>
                <w:rFonts w:cs="Calibri"/>
                <w:sz w:val="18"/>
              </w:rPr>
            </w:pPr>
            <w:r w:rsidRPr="00EB6BD5">
              <w:rPr>
                <w:rFonts w:cs="Calibri"/>
                <w:sz w:val="18"/>
              </w:rPr>
              <w:t>Remote verification is insufficient, but potential harm justifies checking or acting.</w:t>
            </w:r>
          </w:p>
        </w:tc>
        <w:tc>
          <w:tcPr>
            <w:tcW w:w="1500" w:type="pct"/>
            <w:shd w:val="clear" w:color="auto" w:fill="auto"/>
            <w:tcMar>
              <w:top w:w="80" w:type="dxa"/>
              <w:left w:w="120" w:type="dxa"/>
              <w:bottom w:w="80" w:type="dxa"/>
              <w:right w:w="120" w:type="dxa"/>
            </w:tcMar>
          </w:tcPr>
          <w:p w14:paraId="174786F7" w14:textId="446CC38C" w:rsidR="00EB6BD5" w:rsidRPr="00EB6BD5" w:rsidRDefault="00EB6BD5" w:rsidP="00EB6BD5">
            <w:pPr>
              <w:spacing w:after="80"/>
              <w:rPr>
                <w:rFonts w:cs="Calibri"/>
                <w:sz w:val="18"/>
              </w:rPr>
            </w:pPr>
            <w:r w:rsidRPr="00EB6BD5">
              <w:rPr>
                <w:rFonts w:cs="Calibri"/>
                <w:sz w:val="18"/>
              </w:rPr>
              <w:t>Atomically create or link a provisional Incident Case, keep verification Pending, and create an assessment Response Action.</w:t>
            </w:r>
          </w:p>
        </w:tc>
      </w:tr>
      <w:tr w:rsidR="00EB6BD5" w14:paraId="12646ED6" w14:textId="77777777" w:rsidTr="00EB6BD5">
        <w:trPr>
          <w:cantSplit/>
        </w:trPr>
        <w:tc>
          <w:tcPr>
            <w:tcW w:w="1150" w:type="pct"/>
            <w:shd w:val="clear" w:color="auto" w:fill="auto"/>
            <w:tcMar>
              <w:top w:w="80" w:type="dxa"/>
              <w:left w:w="120" w:type="dxa"/>
              <w:bottom w:w="80" w:type="dxa"/>
              <w:right w:w="120" w:type="dxa"/>
            </w:tcMar>
          </w:tcPr>
          <w:p w14:paraId="6CE00E5D" w14:textId="1B96B73D" w:rsidR="00EB6BD5" w:rsidRPr="00EB6BD5" w:rsidRDefault="00EB6BD5" w:rsidP="00EB6BD5">
            <w:pPr>
              <w:spacing w:after="80"/>
              <w:rPr>
                <w:rFonts w:cs="Calibri"/>
                <w:sz w:val="18"/>
              </w:rPr>
            </w:pPr>
            <w:r w:rsidRPr="00EB6BD5">
              <w:rPr>
                <w:rFonts w:cs="Calibri"/>
                <w:sz w:val="18"/>
              </w:rPr>
              <w:t>Could Not Confirm</w:t>
            </w:r>
          </w:p>
        </w:tc>
        <w:tc>
          <w:tcPr>
            <w:tcW w:w="2350" w:type="pct"/>
            <w:shd w:val="clear" w:color="auto" w:fill="auto"/>
            <w:tcMar>
              <w:top w:w="80" w:type="dxa"/>
              <w:left w:w="120" w:type="dxa"/>
              <w:bottom w:w="80" w:type="dxa"/>
              <w:right w:w="120" w:type="dxa"/>
            </w:tcMar>
          </w:tcPr>
          <w:p w14:paraId="6A93EDC9" w14:textId="00006FCA" w:rsidR="00EB6BD5" w:rsidRPr="00EB6BD5" w:rsidRDefault="00EB6BD5" w:rsidP="00EB6BD5">
            <w:pPr>
              <w:spacing w:after="80"/>
              <w:rPr>
                <w:rFonts w:cs="Calibri"/>
                <w:sz w:val="18"/>
              </w:rPr>
            </w:pPr>
            <w:r w:rsidRPr="00EB6BD5">
              <w:rPr>
                <w:rFonts w:cs="Calibri"/>
                <w:sz w:val="18"/>
              </w:rPr>
              <w:t>Available information remains insufficient and assessment is not warranted or available.</w:t>
            </w:r>
          </w:p>
        </w:tc>
        <w:tc>
          <w:tcPr>
            <w:tcW w:w="1500" w:type="pct"/>
            <w:shd w:val="clear" w:color="auto" w:fill="auto"/>
            <w:tcMar>
              <w:top w:w="80" w:type="dxa"/>
              <w:left w:w="120" w:type="dxa"/>
              <w:bottom w:w="80" w:type="dxa"/>
              <w:right w:w="120" w:type="dxa"/>
            </w:tcMar>
          </w:tcPr>
          <w:p w14:paraId="4816165B" w14:textId="2BCD3695" w:rsidR="00EB6BD5" w:rsidRPr="00EB6BD5" w:rsidRDefault="00EB6BD5" w:rsidP="00EB6BD5">
            <w:pPr>
              <w:spacing w:after="80"/>
              <w:rPr>
                <w:rFonts w:cs="Calibri"/>
                <w:sz w:val="18"/>
              </w:rPr>
            </w:pPr>
            <w:r w:rsidRPr="00EB6BD5">
              <w:rPr>
                <w:rFonts w:cs="Calibri"/>
                <w:sz w:val="18"/>
              </w:rPr>
              <w:t>Keep the report and evidence; allow re-review if new information arrives. Do not label the resident dishonest.</w:t>
            </w:r>
          </w:p>
        </w:tc>
      </w:tr>
      <w:tr w:rsidR="00EB6BD5" w14:paraId="4667BC10" w14:textId="77777777" w:rsidTr="00EB6BD5">
        <w:trPr>
          <w:cantSplit/>
        </w:trPr>
        <w:tc>
          <w:tcPr>
            <w:tcW w:w="1150" w:type="pct"/>
            <w:shd w:val="clear" w:color="auto" w:fill="auto"/>
            <w:tcMar>
              <w:top w:w="80" w:type="dxa"/>
              <w:left w:w="120" w:type="dxa"/>
              <w:bottom w:w="80" w:type="dxa"/>
              <w:right w:w="120" w:type="dxa"/>
            </w:tcMar>
          </w:tcPr>
          <w:p w14:paraId="31FCD00D" w14:textId="7AB3AD52" w:rsidR="00EB6BD5" w:rsidRPr="00EB6BD5" w:rsidRDefault="00EB6BD5" w:rsidP="00EB6BD5">
            <w:pPr>
              <w:spacing w:after="80"/>
              <w:rPr>
                <w:rFonts w:cs="Calibri"/>
                <w:sz w:val="18"/>
              </w:rPr>
            </w:pPr>
            <w:r w:rsidRPr="00EB6BD5">
              <w:rPr>
                <w:rFonts w:cs="Calibri"/>
                <w:sz w:val="18"/>
              </w:rPr>
              <w:t>Reject Report</w:t>
            </w:r>
          </w:p>
        </w:tc>
        <w:tc>
          <w:tcPr>
            <w:tcW w:w="2350" w:type="pct"/>
            <w:shd w:val="clear" w:color="auto" w:fill="auto"/>
            <w:tcMar>
              <w:top w:w="80" w:type="dxa"/>
              <w:left w:w="120" w:type="dxa"/>
              <w:bottom w:w="80" w:type="dxa"/>
              <w:right w:w="120" w:type="dxa"/>
            </w:tcMar>
          </w:tcPr>
          <w:p w14:paraId="4AC64110" w14:textId="5A0D1D72" w:rsidR="00EB6BD5" w:rsidRPr="00EB6BD5" w:rsidRDefault="00EB6BD5" w:rsidP="00EB6BD5">
            <w:pPr>
              <w:spacing w:after="80"/>
              <w:rPr>
                <w:rFonts w:cs="Calibri"/>
                <w:sz w:val="18"/>
              </w:rPr>
            </w:pPr>
            <w:r w:rsidRPr="00EB6BD5">
              <w:rPr>
                <w:rFonts w:cs="Calibri"/>
                <w:sz w:val="18"/>
              </w:rPr>
              <w:t>The submission is outside the incident workflow: test/spam, unrelated, abusive misuse, obvious prank, or clearly established fabrication.</w:t>
            </w:r>
          </w:p>
        </w:tc>
        <w:tc>
          <w:tcPr>
            <w:tcW w:w="1500" w:type="pct"/>
            <w:shd w:val="clear" w:color="auto" w:fill="auto"/>
            <w:tcMar>
              <w:top w:w="80" w:type="dxa"/>
              <w:left w:w="120" w:type="dxa"/>
              <w:bottom w:w="80" w:type="dxa"/>
              <w:right w:w="120" w:type="dxa"/>
            </w:tcMar>
          </w:tcPr>
          <w:p w14:paraId="32BAE173" w14:textId="442F8597" w:rsidR="00EB6BD5" w:rsidRPr="00EB6BD5" w:rsidRDefault="00EB6BD5" w:rsidP="00EB6BD5">
            <w:pPr>
              <w:spacing w:after="80"/>
              <w:rPr>
                <w:rFonts w:cs="Calibri"/>
                <w:sz w:val="18"/>
              </w:rPr>
            </w:pPr>
            <w:r w:rsidRPr="00EB6BD5">
              <w:rPr>
                <w:rFonts w:cs="Calibri"/>
                <w:sz w:val="18"/>
              </w:rPr>
              <w:t>Require a reason code and optional note. Preserve an auditable record; do not hard-delete as the decision mechanism.</w:t>
            </w:r>
          </w:p>
        </w:tc>
      </w:tr>
    </w:tbl>
    <w:p w14:paraId="7A22FCE4" w14:textId="77777777" w:rsidR="00EB6BD5" w:rsidRDefault="00EB6BD5" w:rsidP="00EB6BD5"/>
    <w:p w14:paraId="15569573" w14:textId="35B0210A" w:rsidR="00EB6BD5" w:rsidRDefault="00EB6BD5" w:rsidP="00EB6BD5">
      <w:pPr>
        <w:pStyle w:val="Heading2"/>
        <w:rPr>
          <w:b w:val="0"/>
        </w:rPr>
      </w:pPr>
      <w:bookmarkStart w:id="5" w:name="_Toc240324143"/>
      <w:r>
        <w:rPr>
          <w:b w:val="0"/>
        </w:rPr>
        <w:t>2.3 Separate status dimensions</w:t>
      </w:r>
      <w:bookmarkEnd w:id="5"/>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448"/>
        <w:gridCol w:w="3427"/>
        <w:gridCol w:w="3917"/>
      </w:tblGrid>
      <w:tr w:rsidR="00EB6BD5" w14:paraId="2B9AC6E8" w14:textId="77777777" w:rsidTr="00EB6BD5">
        <w:trPr>
          <w:cantSplit/>
        </w:trPr>
        <w:tc>
          <w:tcPr>
            <w:tcW w:w="1250" w:type="pct"/>
            <w:shd w:val="clear" w:color="auto" w:fill="auto"/>
            <w:tcMar>
              <w:top w:w="80" w:type="dxa"/>
              <w:left w:w="120" w:type="dxa"/>
              <w:bottom w:w="80" w:type="dxa"/>
              <w:right w:w="120" w:type="dxa"/>
            </w:tcMar>
          </w:tcPr>
          <w:p w14:paraId="67269131" w14:textId="4D539340" w:rsidR="00EB6BD5" w:rsidRPr="00EB6BD5" w:rsidRDefault="00EB6BD5" w:rsidP="00EB6BD5">
            <w:pPr>
              <w:spacing w:after="80"/>
              <w:rPr>
                <w:rFonts w:cs="Calibri"/>
                <w:b/>
                <w:color w:val="16324F"/>
                <w:sz w:val="18"/>
              </w:rPr>
            </w:pPr>
            <w:r w:rsidRPr="00EB6BD5">
              <w:rPr>
                <w:rFonts w:cs="Calibri"/>
                <w:b/>
                <w:color w:val="16324F"/>
                <w:sz w:val="18"/>
              </w:rPr>
              <w:t>Dimension</w:t>
            </w:r>
          </w:p>
        </w:tc>
        <w:tc>
          <w:tcPr>
            <w:tcW w:w="1750" w:type="pct"/>
            <w:shd w:val="clear" w:color="auto" w:fill="auto"/>
            <w:tcMar>
              <w:top w:w="80" w:type="dxa"/>
              <w:left w:w="120" w:type="dxa"/>
              <w:bottom w:w="80" w:type="dxa"/>
              <w:right w:w="120" w:type="dxa"/>
            </w:tcMar>
          </w:tcPr>
          <w:p w14:paraId="4D9CE083" w14:textId="1A44D8D7" w:rsidR="00EB6BD5" w:rsidRPr="00EB6BD5" w:rsidRDefault="00EB6BD5" w:rsidP="00EB6BD5">
            <w:pPr>
              <w:spacing w:after="80"/>
              <w:rPr>
                <w:rFonts w:cs="Calibri"/>
                <w:b/>
                <w:color w:val="16324F"/>
                <w:sz w:val="18"/>
              </w:rPr>
            </w:pPr>
            <w:r w:rsidRPr="00EB6BD5">
              <w:rPr>
                <w:rFonts w:cs="Calibri"/>
                <w:b/>
                <w:color w:val="16324F"/>
                <w:sz w:val="18"/>
              </w:rPr>
              <w:t>Allowed values</w:t>
            </w:r>
          </w:p>
        </w:tc>
        <w:tc>
          <w:tcPr>
            <w:tcW w:w="2000" w:type="pct"/>
            <w:shd w:val="clear" w:color="auto" w:fill="auto"/>
            <w:tcMar>
              <w:top w:w="80" w:type="dxa"/>
              <w:left w:w="120" w:type="dxa"/>
              <w:bottom w:w="80" w:type="dxa"/>
              <w:right w:w="120" w:type="dxa"/>
            </w:tcMar>
          </w:tcPr>
          <w:p w14:paraId="165DE805" w14:textId="5E3F7ABC" w:rsidR="00EB6BD5" w:rsidRPr="00EB6BD5" w:rsidRDefault="00EB6BD5" w:rsidP="00EB6BD5">
            <w:pPr>
              <w:spacing w:after="80"/>
              <w:rPr>
                <w:rFonts w:cs="Calibri"/>
                <w:b/>
                <w:color w:val="16324F"/>
                <w:sz w:val="18"/>
              </w:rPr>
            </w:pPr>
            <w:r w:rsidRPr="00EB6BD5">
              <w:rPr>
                <w:rFonts w:cs="Calibri"/>
                <w:b/>
                <w:color w:val="16324F"/>
                <w:sz w:val="18"/>
              </w:rPr>
              <w:t>Rule</w:t>
            </w:r>
          </w:p>
        </w:tc>
      </w:tr>
      <w:tr w:rsidR="00EB6BD5" w14:paraId="1544CA20" w14:textId="77777777" w:rsidTr="00EB6BD5">
        <w:trPr>
          <w:cantSplit/>
        </w:trPr>
        <w:tc>
          <w:tcPr>
            <w:tcW w:w="1250" w:type="pct"/>
            <w:shd w:val="clear" w:color="auto" w:fill="auto"/>
            <w:tcMar>
              <w:top w:w="80" w:type="dxa"/>
              <w:left w:w="120" w:type="dxa"/>
              <w:bottom w:w="80" w:type="dxa"/>
              <w:right w:w="120" w:type="dxa"/>
            </w:tcMar>
          </w:tcPr>
          <w:p w14:paraId="6BCD89DF" w14:textId="445454D7" w:rsidR="00EB6BD5" w:rsidRPr="00EB6BD5" w:rsidRDefault="00EB6BD5" w:rsidP="00EB6BD5">
            <w:pPr>
              <w:spacing w:after="80"/>
              <w:rPr>
                <w:rFonts w:cs="Calibri"/>
                <w:sz w:val="18"/>
              </w:rPr>
            </w:pPr>
            <w:r w:rsidRPr="00EB6BD5">
              <w:rPr>
                <w:rFonts w:cs="Calibri"/>
                <w:sz w:val="18"/>
              </w:rPr>
              <w:t>Report Review</w:t>
            </w:r>
          </w:p>
        </w:tc>
        <w:tc>
          <w:tcPr>
            <w:tcW w:w="1750" w:type="pct"/>
            <w:shd w:val="clear" w:color="auto" w:fill="auto"/>
            <w:tcMar>
              <w:top w:w="80" w:type="dxa"/>
              <w:left w:w="120" w:type="dxa"/>
              <w:bottom w:w="80" w:type="dxa"/>
              <w:right w:w="120" w:type="dxa"/>
            </w:tcMar>
          </w:tcPr>
          <w:p w14:paraId="472F16D0" w14:textId="72478E13" w:rsidR="00EB6BD5" w:rsidRPr="00EB6BD5" w:rsidRDefault="00EB6BD5" w:rsidP="00EB6BD5">
            <w:pPr>
              <w:spacing w:after="80"/>
              <w:rPr>
                <w:rFonts w:cs="Calibri"/>
                <w:sz w:val="18"/>
              </w:rPr>
            </w:pPr>
            <w:r w:rsidRPr="00EB6BD5">
              <w:rPr>
                <w:rFonts w:cs="Calibri"/>
                <w:sz w:val="18"/>
              </w:rPr>
              <w:t>Pending; Verified; Linked; Assessment Needed; Could Not Confirm; Rejected</w:t>
            </w:r>
          </w:p>
        </w:tc>
        <w:tc>
          <w:tcPr>
            <w:tcW w:w="2000" w:type="pct"/>
            <w:shd w:val="clear" w:color="auto" w:fill="auto"/>
            <w:tcMar>
              <w:top w:w="80" w:type="dxa"/>
              <w:left w:w="120" w:type="dxa"/>
              <w:bottom w:w="80" w:type="dxa"/>
              <w:right w:w="120" w:type="dxa"/>
            </w:tcMar>
          </w:tcPr>
          <w:p w14:paraId="748B0B7E" w14:textId="3E22642A" w:rsidR="00EB6BD5" w:rsidRPr="00EB6BD5" w:rsidRDefault="00EB6BD5" w:rsidP="00EB6BD5">
            <w:pPr>
              <w:spacing w:after="80"/>
              <w:rPr>
                <w:rFonts w:cs="Calibri"/>
                <w:sz w:val="18"/>
              </w:rPr>
            </w:pPr>
            <w:r w:rsidRPr="00EB6BD5">
              <w:rPr>
                <w:rFonts w:cs="Calibri"/>
                <w:sz w:val="18"/>
              </w:rPr>
              <w:t>Describes the official decision about a submission, not incident operations.</w:t>
            </w:r>
          </w:p>
        </w:tc>
      </w:tr>
      <w:tr w:rsidR="00EB6BD5" w14:paraId="614C99A9" w14:textId="77777777" w:rsidTr="00EB6BD5">
        <w:trPr>
          <w:cantSplit/>
        </w:trPr>
        <w:tc>
          <w:tcPr>
            <w:tcW w:w="1250" w:type="pct"/>
            <w:shd w:val="clear" w:color="auto" w:fill="auto"/>
            <w:tcMar>
              <w:top w:w="80" w:type="dxa"/>
              <w:left w:w="120" w:type="dxa"/>
              <w:bottom w:w="80" w:type="dxa"/>
              <w:right w:w="120" w:type="dxa"/>
            </w:tcMar>
          </w:tcPr>
          <w:p w14:paraId="0B0AF017" w14:textId="48698370" w:rsidR="00EB6BD5" w:rsidRPr="00EB6BD5" w:rsidRDefault="00EB6BD5" w:rsidP="00EB6BD5">
            <w:pPr>
              <w:spacing w:after="80"/>
              <w:rPr>
                <w:rFonts w:cs="Calibri"/>
                <w:sz w:val="18"/>
              </w:rPr>
            </w:pPr>
            <w:r w:rsidRPr="00EB6BD5">
              <w:rPr>
                <w:rFonts w:cs="Calibri"/>
                <w:sz w:val="18"/>
              </w:rPr>
              <w:t>Incident Verification</w:t>
            </w:r>
          </w:p>
        </w:tc>
        <w:tc>
          <w:tcPr>
            <w:tcW w:w="1750" w:type="pct"/>
            <w:shd w:val="clear" w:color="auto" w:fill="auto"/>
            <w:tcMar>
              <w:top w:w="80" w:type="dxa"/>
              <w:left w:w="120" w:type="dxa"/>
              <w:bottom w:w="80" w:type="dxa"/>
              <w:right w:w="120" w:type="dxa"/>
            </w:tcMar>
          </w:tcPr>
          <w:p w14:paraId="3DA95A41" w14:textId="12E433E9" w:rsidR="00EB6BD5" w:rsidRPr="00EB6BD5" w:rsidRDefault="00EB6BD5" w:rsidP="00EB6BD5">
            <w:pPr>
              <w:spacing w:after="80"/>
              <w:rPr>
                <w:rFonts w:cs="Calibri"/>
                <w:sz w:val="18"/>
              </w:rPr>
            </w:pPr>
            <w:r w:rsidRPr="00EB6BD5">
              <w:rPr>
                <w:rFonts w:cs="Calibri"/>
                <w:sz w:val="18"/>
              </w:rPr>
              <w:t>Pending; Confirmed</w:t>
            </w:r>
          </w:p>
        </w:tc>
        <w:tc>
          <w:tcPr>
            <w:tcW w:w="2000" w:type="pct"/>
            <w:shd w:val="clear" w:color="auto" w:fill="auto"/>
            <w:tcMar>
              <w:top w:w="80" w:type="dxa"/>
              <w:left w:w="120" w:type="dxa"/>
              <w:bottom w:w="80" w:type="dxa"/>
              <w:right w:w="120" w:type="dxa"/>
            </w:tcMar>
          </w:tcPr>
          <w:p w14:paraId="24F8366C" w14:textId="57A82B6A" w:rsidR="00EB6BD5" w:rsidRPr="00EB6BD5" w:rsidRDefault="00EB6BD5" w:rsidP="00EB6BD5">
            <w:pPr>
              <w:spacing w:after="80"/>
              <w:rPr>
                <w:rFonts w:cs="Calibri"/>
                <w:sz w:val="18"/>
              </w:rPr>
            </w:pPr>
            <w:r w:rsidRPr="00EB6BD5">
              <w:rPr>
                <w:rFonts w:cs="Calibri"/>
                <w:sz w:val="18"/>
              </w:rPr>
              <w:t>May remain Pending while assessment or urgent response is in progress.</w:t>
            </w:r>
          </w:p>
        </w:tc>
      </w:tr>
      <w:tr w:rsidR="00EB6BD5" w14:paraId="788AC328" w14:textId="77777777" w:rsidTr="00EB6BD5">
        <w:trPr>
          <w:cantSplit/>
        </w:trPr>
        <w:tc>
          <w:tcPr>
            <w:tcW w:w="1250" w:type="pct"/>
            <w:shd w:val="clear" w:color="auto" w:fill="auto"/>
            <w:tcMar>
              <w:top w:w="80" w:type="dxa"/>
              <w:left w:w="120" w:type="dxa"/>
              <w:bottom w:w="80" w:type="dxa"/>
              <w:right w:w="120" w:type="dxa"/>
            </w:tcMar>
          </w:tcPr>
          <w:p w14:paraId="52AFCCB9" w14:textId="69965D11" w:rsidR="00EB6BD5" w:rsidRPr="00EB6BD5" w:rsidRDefault="00EB6BD5" w:rsidP="00EB6BD5">
            <w:pPr>
              <w:spacing w:after="80"/>
              <w:rPr>
                <w:rFonts w:cs="Calibri"/>
                <w:sz w:val="18"/>
              </w:rPr>
            </w:pPr>
            <w:r w:rsidRPr="00EB6BD5">
              <w:rPr>
                <w:rFonts w:cs="Calibri"/>
                <w:sz w:val="18"/>
              </w:rPr>
              <w:t>Incident State</w:t>
            </w:r>
          </w:p>
        </w:tc>
        <w:tc>
          <w:tcPr>
            <w:tcW w:w="1750" w:type="pct"/>
            <w:shd w:val="clear" w:color="auto" w:fill="auto"/>
            <w:tcMar>
              <w:top w:w="80" w:type="dxa"/>
              <w:left w:w="120" w:type="dxa"/>
              <w:bottom w:w="80" w:type="dxa"/>
              <w:right w:w="120" w:type="dxa"/>
            </w:tcMar>
          </w:tcPr>
          <w:p w14:paraId="3D4DB75D" w14:textId="487D5407" w:rsidR="00EB6BD5" w:rsidRPr="00EB6BD5" w:rsidRDefault="00EB6BD5" w:rsidP="00EB6BD5">
            <w:pPr>
              <w:spacing w:after="80"/>
              <w:rPr>
                <w:rFonts w:cs="Calibri"/>
                <w:sz w:val="18"/>
              </w:rPr>
            </w:pPr>
            <w:r w:rsidRPr="00EB6BD5">
              <w:rPr>
                <w:rFonts w:cs="Calibri"/>
                <w:sz w:val="18"/>
              </w:rPr>
              <w:t>Active; Resolved; Reopened</w:t>
            </w:r>
          </w:p>
        </w:tc>
        <w:tc>
          <w:tcPr>
            <w:tcW w:w="2000" w:type="pct"/>
            <w:shd w:val="clear" w:color="auto" w:fill="auto"/>
            <w:tcMar>
              <w:top w:w="80" w:type="dxa"/>
              <w:left w:w="120" w:type="dxa"/>
              <w:bottom w:w="80" w:type="dxa"/>
              <w:right w:w="120" w:type="dxa"/>
            </w:tcMar>
          </w:tcPr>
          <w:p w14:paraId="698042AD" w14:textId="0B0D7E3E" w:rsidR="00EB6BD5" w:rsidRPr="00EB6BD5" w:rsidRDefault="00EB6BD5" w:rsidP="00EB6BD5">
            <w:pPr>
              <w:spacing w:after="80"/>
              <w:rPr>
                <w:rFonts w:cs="Calibri"/>
                <w:sz w:val="18"/>
              </w:rPr>
            </w:pPr>
            <w:r w:rsidRPr="00EB6BD5">
              <w:rPr>
                <w:rFonts w:cs="Calibri"/>
                <w:sz w:val="18"/>
              </w:rPr>
              <w:t>Resolved requires a complete closure record. Reopened retains the same case history.</w:t>
            </w:r>
          </w:p>
        </w:tc>
      </w:tr>
      <w:tr w:rsidR="00EB6BD5" w14:paraId="14277B54" w14:textId="77777777" w:rsidTr="00EB6BD5">
        <w:trPr>
          <w:cantSplit/>
        </w:trPr>
        <w:tc>
          <w:tcPr>
            <w:tcW w:w="1250" w:type="pct"/>
            <w:shd w:val="clear" w:color="auto" w:fill="auto"/>
            <w:tcMar>
              <w:top w:w="80" w:type="dxa"/>
              <w:left w:w="120" w:type="dxa"/>
              <w:bottom w:w="80" w:type="dxa"/>
              <w:right w:w="120" w:type="dxa"/>
            </w:tcMar>
          </w:tcPr>
          <w:p w14:paraId="7E6DCD57" w14:textId="1FB0C101" w:rsidR="00EB6BD5" w:rsidRPr="00EB6BD5" w:rsidRDefault="00EB6BD5" w:rsidP="00EB6BD5">
            <w:pPr>
              <w:spacing w:after="80"/>
              <w:rPr>
                <w:rFonts w:cs="Calibri"/>
                <w:sz w:val="18"/>
              </w:rPr>
            </w:pPr>
            <w:r w:rsidRPr="00EB6BD5">
              <w:rPr>
                <w:rFonts w:cs="Calibri"/>
                <w:sz w:val="18"/>
              </w:rPr>
              <w:t>Response</w:t>
            </w:r>
          </w:p>
        </w:tc>
        <w:tc>
          <w:tcPr>
            <w:tcW w:w="1750" w:type="pct"/>
            <w:shd w:val="clear" w:color="auto" w:fill="auto"/>
            <w:tcMar>
              <w:top w:w="80" w:type="dxa"/>
              <w:left w:w="120" w:type="dxa"/>
              <w:bottom w:w="80" w:type="dxa"/>
              <w:right w:w="120" w:type="dxa"/>
            </w:tcMar>
          </w:tcPr>
          <w:p w14:paraId="556B6D87" w14:textId="5AE90AD8" w:rsidR="00EB6BD5" w:rsidRPr="00EB6BD5" w:rsidRDefault="00EB6BD5" w:rsidP="00EB6BD5">
            <w:pPr>
              <w:spacing w:after="80"/>
              <w:rPr>
                <w:rFonts w:cs="Calibri"/>
                <w:sz w:val="18"/>
              </w:rPr>
            </w:pPr>
            <w:r w:rsidRPr="00EB6BD5">
              <w:rPr>
                <w:rFonts w:cs="Calibri"/>
                <w:sz w:val="18"/>
              </w:rPr>
              <w:t>Awaiting Action; Assigned; In Progress; Completed</w:t>
            </w:r>
          </w:p>
        </w:tc>
        <w:tc>
          <w:tcPr>
            <w:tcW w:w="2000" w:type="pct"/>
            <w:shd w:val="clear" w:color="auto" w:fill="auto"/>
            <w:tcMar>
              <w:top w:w="80" w:type="dxa"/>
              <w:left w:w="120" w:type="dxa"/>
              <w:bottom w:w="80" w:type="dxa"/>
              <w:right w:w="120" w:type="dxa"/>
            </w:tcMar>
          </w:tcPr>
          <w:p w14:paraId="1555B5AD" w14:textId="3951E53F" w:rsidR="00EB6BD5" w:rsidRPr="00EB6BD5" w:rsidRDefault="00EB6BD5" w:rsidP="00EB6BD5">
            <w:pPr>
              <w:spacing w:after="80"/>
              <w:rPr>
                <w:rFonts w:cs="Calibri"/>
                <w:sz w:val="18"/>
              </w:rPr>
            </w:pPr>
            <w:r w:rsidRPr="00EB6BD5">
              <w:rPr>
                <w:rFonts w:cs="Calibri"/>
                <w:sz w:val="18"/>
              </w:rPr>
              <w:t>Assigned or In Progress must be backed by an actual Response Action and responsible office/unit.</w:t>
            </w:r>
          </w:p>
        </w:tc>
      </w:tr>
      <w:tr w:rsidR="00EB6BD5" w14:paraId="04871594" w14:textId="77777777" w:rsidTr="00EB6BD5">
        <w:trPr>
          <w:cantSplit/>
        </w:trPr>
        <w:tc>
          <w:tcPr>
            <w:tcW w:w="1250" w:type="pct"/>
            <w:shd w:val="clear" w:color="auto" w:fill="auto"/>
            <w:tcMar>
              <w:top w:w="80" w:type="dxa"/>
              <w:left w:w="120" w:type="dxa"/>
              <w:bottom w:w="80" w:type="dxa"/>
              <w:right w:w="120" w:type="dxa"/>
            </w:tcMar>
          </w:tcPr>
          <w:p w14:paraId="49B2F1F3" w14:textId="15D4877E" w:rsidR="00EB6BD5" w:rsidRPr="00EB6BD5" w:rsidRDefault="00EB6BD5" w:rsidP="00EB6BD5">
            <w:pPr>
              <w:spacing w:after="80"/>
              <w:rPr>
                <w:rFonts w:cs="Calibri"/>
                <w:sz w:val="18"/>
              </w:rPr>
            </w:pPr>
            <w:r w:rsidRPr="00EB6BD5">
              <w:rPr>
                <w:rFonts w:cs="Calibri"/>
                <w:sz w:val="18"/>
              </w:rPr>
              <w:t>Support/Transfer request</w:t>
            </w:r>
          </w:p>
        </w:tc>
        <w:tc>
          <w:tcPr>
            <w:tcW w:w="1750" w:type="pct"/>
            <w:shd w:val="clear" w:color="auto" w:fill="auto"/>
            <w:tcMar>
              <w:top w:w="80" w:type="dxa"/>
              <w:left w:w="120" w:type="dxa"/>
              <w:bottom w:w="80" w:type="dxa"/>
              <w:right w:w="120" w:type="dxa"/>
            </w:tcMar>
          </w:tcPr>
          <w:p w14:paraId="70F8C619" w14:textId="155EABF1" w:rsidR="00EB6BD5" w:rsidRPr="00EB6BD5" w:rsidRDefault="00EB6BD5" w:rsidP="00EB6BD5">
            <w:pPr>
              <w:spacing w:after="80"/>
              <w:rPr>
                <w:rFonts w:cs="Calibri"/>
                <w:sz w:val="18"/>
              </w:rPr>
            </w:pPr>
            <w:r w:rsidRPr="00EB6BD5">
              <w:rPr>
                <w:rFonts w:cs="Calibri"/>
                <w:sz w:val="18"/>
              </w:rPr>
              <w:t>Awaiting MDRRMO; Accepted; Returned; Clarification Requested</w:t>
            </w:r>
          </w:p>
        </w:tc>
        <w:tc>
          <w:tcPr>
            <w:tcW w:w="2000" w:type="pct"/>
            <w:shd w:val="clear" w:color="auto" w:fill="auto"/>
            <w:tcMar>
              <w:top w:w="80" w:type="dxa"/>
              <w:left w:w="120" w:type="dxa"/>
              <w:bottom w:w="80" w:type="dxa"/>
              <w:right w:w="120" w:type="dxa"/>
            </w:tcMar>
          </w:tcPr>
          <w:p w14:paraId="12D4B096" w14:textId="6BF6F4BF" w:rsidR="00EB6BD5" w:rsidRPr="00EB6BD5" w:rsidRDefault="00EB6BD5" w:rsidP="00EB6BD5">
            <w:pPr>
              <w:spacing w:after="80"/>
              <w:rPr>
                <w:rFonts w:cs="Calibri"/>
                <w:sz w:val="18"/>
              </w:rPr>
            </w:pPr>
            <w:r w:rsidRPr="00EB6BD5">
              <w:rPr>
                <w:rFonts w:cs="Calibri"/>
                <w:sz w:val="18"/>
              </w:rPr>
              <w:t>Transfer changes lead only after MDRRMO accepts in the same transaction.</w:t>
            </w:r>
          </w:p>
        </w:tc>
      </w:tr>
    </w:tbl>
    <w:p w14:paraId="5C2CF46B" w14:textId="77777777" w:rsidR="00EB6BD5" w:rsidRDefault="00EB6BD5" w:rsidP="00EB6BD5"/>
    <w:p w14:paraId="45793C8E" w14:textId="57150075" w:rsidR="00EB6BD5" w:rsidRDefault="00EB6BD5" w:rsidP="00EB6BD5">
      <w:pPr>
        <w:pStyle w:val="Heading2"/>
        <w:rPr>
          <w:b w:val="0"/>
        </w:rPr>
      </w:pPr>
      <w:bookmarkStart w:id="6" w:name="_Toc240324144"/>
      <w:r>
        <w:rPr>
          <w:b w:val="0"/>
        </w:rPr>
        <w:lastRenderedPageBreak/>
        <w:t>2.4 Evidence hierarchy and remote review</w:t>
      </w:r>
      <w:bookmarkEnd w:id="6"/>
    </w:p>
    <w:p w14:paraId="57BC80AF" w14:textId="53A6AF69" w:rsidR="00EB6BD5" w:rsidRDefault="00EB6BD5" w:rsidP="00EB6BD5">
      <w:r>
        <w:t>The review screen should present evidence without implying that any single signal is decisive. GPS accuracy is an uncertainty radius, media metadata may be absent or altered, crowd confirmations may be mistaken, and unsuccessful contact is merely one unavailable source. Officials make a reasoned decision and record what evidence was considered.</w:t>
      </w:r>
    </w:p>
    <w:p w14:paraId="02014EFF" w14:textId="074046B6" w:rsidR="00EB6BD5" w:rsidRDefault="00EB6BD5" w:rsidP="00EB6BD5">
      <w:pPr>
        <w:pStyle w:val="ListBullet"/>
      </w:pPr>
      <w:r>
        <w:t>Resident statement: description, incident type, submission time, device fix time, and current pin.</w:t>
      </w:r>
    </w:p>
    <w:p w14:paraId="4573CA04" w14:textId="0619D24D" w:rsidR="00EB6BD5" w:rsidRDefault="00EB6BD5" w:rsidP="00EB6BD5">
      <w:pPr>
        <w:pStyle w:val="ListBullet"/>
      </w:pPr>
      <w:r>
        <w:t>Location quality: original device coordinates, reported accuracy in meters, current operational pin, and audited adjustment distance.</w:t>
      </w:r>
    </w:p>
    <w:p w14:paraId="1189D823" w14:textId="703575F4" w:rsidR="00EB6BD5" w:rsidRDefault="00EB6BD5" w:rsidP="00EB6BD5">
      <w:pPr>
        <w:pStyle w:val="ListBullet"/>
      </w:pPr>
      <w:r>
        <w:t>Media: photos/videos, upload receipt time, capture metadata when available, and file-integrity/validation status.</w:t>
      </w:r>
    </w:p>
    <w:p w14:paraId="2FE90B42" w14:textId="1A61A644" w:rsidR="00EB6BD5" w:rsidRDefault="00EB6BD5" w:rsidP="00EB6BD5">
      <w:pPr>
        <w:pStyle w:val="ListBullet"/>
      </w:pPr>
      <w:r>
        <w:t>Corroboration: nearby candidate reports/incidents within configurable type/time/distance windows, presented as suggestions for human review.</w:t>
      </w:r>
    </w:p>
    <w:p w14:paraId="011C98E3" w14:textId="4121E6A6" w:rsidR="00EB6BD5" w:rsidRDefault="00EB6BD5" w:rsidP="00EB6BD5">
      <w:pPr>
        <w:pStyle w:val="ListBullet"/>
      </w:pPr>
      <w:r>
        <w:t>Official information: source type, reference or URL, observation time, and official note.</w:t>
      </w:r>
    </w:p>
    <w:p w14:paraId="57529F1E" w14:textId="17AF2661" w:rsidR="00EB6BD5" w:rsidRDefault="00EB6BD5" w:rsidP="00EB6BD5">
      <w:pPr>
        <w:pStyle w:val="ListBullet"/>
      </w:pPr>
      <w:r>
        <w:t>Reporter clarification: optional, purpose-limited, audited, and never mandatory for every report.</w:t>
      </w:r>
    </w:p>
    <w:p w14:paraId="43DD99BE" w14:textId="275FEB16" w:rsidR="00EB6BD5" w:rsidRDefault="00EB6BD5" w:rsidP="00EB6BD5">
      <w:pPr>
        <w:pStyle w:val="Heading1"/>
        <w:rPr>
          <w:b w:val="0"/>
        </w:rPr>
      </w:pPr>
      <w:bookmarkStart w:id="7" w:name="_Toc240324145"/>
      <w:r>
        <w:rPr>
          <w:b w:val="0"/>
        </w:rPr>
        <w:t>3. Target domain and data model</w:t>
      </w:r>
      <w:bookmarkEnd w:id="7"/>
    </w:p>
    <w:p w14:paraId="63068BB1" w14:textId="0D29E3A4" w:rsidR="00EB6BD5" w:rsidRDefault="00EB6BD5" w:rsidP="00EB6BD5">
      <w:r>
        <w:t>Use normalized tables and transactional database functions for consequential workflow changes. Keep the existing reports table as the submission source during migration if that reduces risk, but stop treating it as the Incident Case.</w:t>
      </w:r>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154"/>
        <w:gridCol w:w="2840"/>
        <w:gridCol w:w="4798"/>
      </w:tblGrid>
      <w:tr w:rsidR="00EB6BD5" w14:paraId="551D95C7" w14:textId="77777777" w:rsidTr="00EB6BD5">
        <w:trPr>
          <w:cantSplit/>
        </w:trPr>
        <w:tc>
          <w:tcPr>
            <w:tcW w:w="1100" w:type="pct"/>
            <w:shd w:val="clear" w:color="auto" w:fill="auto"/>
            <w:tcMar>
              <w:top w:w="80" w:type="dxa"/>
              <w:left w:w="120" w:type="dxa"/>
              <w:bottom w:w="80" w:type="dxa"/>
              <w:right w:w="120" w:type="dxa"/>
            </w:tcMar>
          </w:tcPr>
          <w:p w14:paraId="70C81C07" w14:textId="5DA3B788" w:rsidR="00EB6BD5" w:rsidRPr="00EB6BD5" w:rsidRDefault="00EB6BD5" w:rsidP="00EB6BD5">
            <w:pPr>
              <w:spacing w:after="40"/>
              <w:rPr>
                <w:rFonts w:cs="Calibri"/>
                <w:b/>
                <w:color w:val="16324F"/>
                <w:sz w:val="17"/>
              </w:rPr>
            </w:pPr>
            <w:r w:rsidRPr="00EB6BD5">
              <w:rPr>
                <w:rFonts w:cs="Calibri"/>
                <w:b/>
                <w:color w:val="16324F"/>
                <w:sz w:val="17"/>
              </w:rPr>
              <w:t>Entity</w:t>
            </w:r>
          </w:p>
        </w:tc>
        <w:tc>
          <w:tcPr>
            <w:tcW w:w="1450" w:type="pct"/>
            <w:shd w:val="clear" w:color="auto" w:fill="auto"/>
            <w:tcMar>
              <w:top w:w="80" w:type="dxa"/>
              <w:left w:w="120" w:type="dxa"/>
              <w:bottom w:w="80" w:type="dxa"/>
              <w:right w:w="120" w:type="dxa"/>
            </w:tcMar>
          </w:tcPr>
          <w:p w14:paraId="47E81EBF" w14:textId="6CC4C8E6" w:rsidR="00EB6BD5" w:rsidRPr="00EB6BD5" w:rsidRDefault="00EB6BD5" w:rsidP="00EB6BD5">
            <w:pPr>
              <w:spacing w:after="40"/>
              <w:rPr>
                <w:rFonts w:cs="Calibri"/>
                <w:b/>
                <w:color w:val="16324F"/>
                <w:sz w:val="17"/>
              </w:rPr>
            </w:pPr>
            <w:r w:rsidRPr="00EB6BD5">
              <w:rPr>
                <w:rFonts w:cs="Calibri"/>
                <w:b/>
                <w:color w:val="16324F"/>
                <w:sz w:val="17"/>
              </w:rPr>
              <w:t>Purpose</w:t>
            </w:r>
          </w:p>
        </w:tc>
        <w:tc>
          <w:tcPr>
            <w:tcW w:w="2450" w:type="pct"/>
            <w:shd w:val="clear" w:color="auto" w:fill="auto"/>
            <w:tcMar>
              <w:top w:w="80" w:type="dxa"/>
              <w:left w:w="120" w:type="dxa"/>
              <w:bottom w:w="80" w:type="dxa"/>
              <w:right w:w="120" w:type="dxa"/>
            </w:tcMar>
          </w:tcPr>
          <w:p w14:paraId="2EF055F0" w14:textId="545C205B" w:rsidR="00EB6BD5" w:rsidRPr="00EB6BD5" w:rsidRDefault="00EB6BD5" w:rsidP="00EB6BD5">
            <w:pPr>
              <w:spacing w:after="40"/>
              <w:rPr>
                <w:rFonts w:cs="Calibri"/>
                <w:b/>
                <w:color w:val="16324F"/>
                <w:sz w:val="17"/>
              </w:rPr>
            </w:pPr>
            <w:r w:rsidRPr="00EB6BD5">
              <w:rPr>
                <w:rFonts w:cs="Calibri"/>
                <w:b/>
                <w:color w:val="16324F"/>
                <w:sz w:val="17"/>
              </w:rPr>
              <w:t>Minimum fields / constraints</w:t>
            </w:r>
          </w:p>
        </w:tc>
      </w:tr>
      <w:tr w:rsidR="00EB6BD5" w14:paraId="39B64D4D" w14:textId="77777777" w:rsidTr="00EB6BD5">
        <w:trPr>
          <w:cantSplit/>
        </w:trPr>
        <w:tc>
          <w:tcPr>
            <w:tcW w:w="1100" w:type="pct"/>
            <w:shd w:val="clear" w:color="auto" w:fill="auto"/>
            <w:tcMar>
              <w:top w:w="80" w:type="dxa"/>
              <w:left w:w="120" w:type="dxa"/>
              <w:bottom w:w="80" w:type="dxa"/>
              <w:right w:w="120" w:type="dxa"/>
            </w:tcMar>
          </w:tcPr>
          <w:p w14:paraId="6B07D8F8" w14:textId="6D522630" w:rsidR="00EB6BD5" w:rsidRPr="00EB6BD5" w:rsidRDefault="00EB6BD5" w:rsidP="00EB6BD5">
            <w:pPr>
              <w:spacing w:after="40"/>
              <w:rPr>
                <w:rFonts w:cs="Calibri"/>
                <w:sz w:val="17"/>
              </w:rPr>
            </w:pPr>
            <w:r w:rsidRPr="00EB6BD5">
              <w:rPr>
                <w:rFonts w:cs="Calibri"/>
                <w:sz w:val="17"/>
              </w:rPr>
              <w:t>resident_reports</w:t>
            </w:r>
          </w:p>
        </w:tc>
        <w:tc>
          <w:tcPr>
            <w:tcW w:w="1450" w:type="pct"/>
            <w:shd w:val="clear" w:color="auto" w:fill="auto"/>
            <w:tcMar>
              <w:top w:w="80" w:type="dxa"/>
              <w:left w:w="120" w:type="dxa"/>
              <w:bottom w:w="80" w:type="dxa"/>
              <w:right w:w="120" w:type="dxa"/>
            </w:tcMar>
          </w:tcPr>
          <w:p w14:paraId="271B8E97" w14:textId="038FE532" w:rsidR="00EB6BD5" w:rsidRPr="00EB6BD5" w:rsidRDefault="00EB6BD5" w:rsidP="00EB6BD5">
            <w:pPr>
              <w:spacing w:after="40"/>
              <w:rPr>
                <w:rFonts w:cs="Calibri"/>
                <w:sz w:val="17"/>
              </w:rPr>
            </w:pPr>
            <w:r w:rsidRPr="00EB6BD5">
              <w:rPr>
                <w:rFonts w:cs="Calibri"/>
                <w:sz w:val="17"/>
              </w:rPr>
              <w:t>Source submission and immutable provenance</w:t>
            </w:r>
          </w:p>
        </w:tc>
        <w:tc>
          <w:tcPr>
            <w:tcW w:w="2450" w:type="pct"/>
            <w:shd w:val="clear" w:color="auto" w:fill="auto"/>
            <w:tcMar>
              <w:top w:w="80" w:type="dxa"/>
              <w:left w:w="120" w:type="dxa"/>
              <w:bottom w:w="80" w:type="dxa"/>
              <w:right w:w="120" w:type="dxa"/>
            </w:tcMar>
          </w:tcPr>
          <w:p w14:paraId="673A114B" w14:textId="4258560D" w:rsidR="00EB6BD5" w:rsidRPr="00EB6BD5" w:rsidRDefault="00EB6BD5" w:rsidP="00EB6BD5">
            <w:pPr>
              <w:spacing w:after="40"/>
              <w:rPr>
                <w:rFonts w:cs="Calibri"/>
                <w:sz w:val="17"/>
              </w:rPr>
            </w:pPr>
            <w:r w:rsidRPr="00EB6BD5">
              <w:rPr>
                <w:rFonts w:cs="Calibri"/>
                <w:sz w:val="17"/>
              </w:rPr>
              <w:t>Reporter; statement; category; device point/fix time/accuracy; submitted time; current review state; idempotency key. Resident may read own report.</w:t>
            </w:r>
          </w:p>
        </w:tc>
      </w:tr>
      <w:tr w:rsidR="00EB6BD5" w14:paraId="608E391E" w14:textId="77777777" w:rsidTr="00EB6BD5">
        <w:trPr>
          <w:cantSplit/>
        </w:trPr>
        <w:tc>
          <w:tcPr>
            <w:tcW w:w="1100" w:type="pct"/>
            <w:shd w:val="clear" w:color="auto" w:fill="auto"/>
            <w:tcMar>
              <w:top w:w="80" w:type="dxa"/>
              <w:left w:w="120" w:type="dxa"/>
              <w:bottom w:w="80" w:type="dxa"/>
              <w:right w:w="120" w:type="dxa"/>
            </w:tcMar>
          </w:tcPr>
          <w:p w14:paraId="21C061C2" w14:textId="51EA14FA" w:rsidR="00EB6BD5" w:rsidRPr="00EB6BD5" w:rsidRDefault="00EB6BD5" w:rsidP="00EB6BD5">
            <w:pPr>
              <w:spacing w:after="40"/>
              <w:rPr>
                <w:rFonts w:cs="Calibri"/>
                <w:sz w:val="17"/>
              </w:rPr>
            </w:pPr>
            <w:r w:rsidRPr="00EB6BD5">
              <w:rPr>
                <w:rFonts w:cs="Calibri"/>
                <w:sz w:val="17"/>
              </w:rPr>
              <w:t>report_review_decisions</w:t>
            </w:r>
          </w:p>
        </w:tc>
        <w:tc>
          <w:tcPr>
            <w:tcW w:w="1450" w:type="pct"/>
            <w:shd w:val="clear" w:color="auto" w:fill="auto"/>
            <w:tcMar>
              <w:top w:w="80" w:type="dxa"/>
              <w:left w:w="120" w:type="dxa"/>
              <w:bottom w:w="80" w:type="dxa"/>
              <w:right w:w="120" w:type="dxa"/>
            </w:tcMar>
          </w:tcPr>
          <w:p w14:paraId="6C7320B2" w14:textId="1C339603" w:rsidR="00EB6BD5" w:rsidRPr="00EB6BD5" w:rsidRDefault="00EB6BD5" w:rsidP="00EB6BD5">
            <w:pPr>
              <w:spacing w:after="40"/>
              <w:rPr>
                <w:rFonts w:cs="Calibri"/>
                <w:sz w:val="17"/>
              </w:rPr>
            </w:pPr>
            <w:r w:rsidRPr="00EB6BD5">
              <w:rPr>
                <w:rFonts w:cs="Calibri"/>
                <w:sz w:val="17"/>
              </w:rPr>
              <w:t>Append-only decision history</w:t>
            </w:r>
          </w:p>
        </w:tc>
        <w:tc>
          <w:tcPr>
            <w:tcW w:w="2450" w:type="pct"/>
            <w:shd w:val="clear" w:color="auto" w:fill="auto"/>
            <w:tcMar>
              <w:top w:w="80" w:type="dxa"/>
              <w:left w:w="120" w:type="dxa"/>
              <w:bottom w:w="80" w:type="dxa"/>
              <w:right w:w="120" w:type="dxa"/>
            </w:tcMar>
          </w:tcPr>
          <w:p w14:paraId="17BA48F9" w14:textId="020EA6BE" w:rsidR="00EB6BD5" w:rsidRPr="00EB6BD5" w:rsidRDefault="00EB6BD5" w:rsidP="00EB6BD5">
            <w:pPr>
              <w:spacing w:after="40"/>
              <w:rPr>
                <w:rFonts w:cs="Calibri"/>
                <w:sz w:val="17"/>
              </w:rPr>
            </w:pPr>
            <w:r w:rsidRPr="00EB6BD5">
              <w:rPr>
                <w:rFonts w:cs="Calibri"/>
                <w:sz w:val="17"/>
              </w:rPr>
              <w:t>Report; reviewer; office snapshot; decision; reason/note; evidence basis; created time. Latest decision drives current projection.</w:t>
            </w:r>
          </w:p>
        </w:tc>
      </w:tr>
      <w:tr w:rsidR="00EB6BD5" w14:paraId="140766C4" w14:textId="77777777" w:rsidTr="00EB6BD5">
        <w:trPr>
          <w:cantSplit/>
        </w:trPr>
        <w:tc>
          <w:tcPr>
            <w:tcW w:w="1100" w:type="pct"/>
            <w:shd w:val="clear" w:color="auto" w:fill="auto"/>
            <w:tcMar>
              <w:top w:w="80" w:type="dxa"/>
              <w:left w:w="120" w:type="dxa"/>
              <w:bottom w:w="80" w:type="dxa"/>
              <w:right w:w="120" w:type="dxa"/>
            </w:tcMar>
          </w:tcPr>
          <w:p w14:paraId="4B322ABC" w14:textId="071F7C9A" w:rsidR="00EB6BD5" w:rsidRPr="00EB6BD5" w:rsidRDefault="00EB6BD5" w:rsidP="00EB6BD5">
            <w:pPr>
              <w:spacing w:after="40"/>
              <w:rPr>
                <w:rFonts w:cs="Calibri"/>
                <w:sz w:val="17"/>
              </w:rPr>
            </w:pPr>
            <w:r w:rsidRPr="00EB6BD5">
              <w:rPr>
                <w:rFonts w:cs="Calibri"/>
                <w:sz w:val="17"/>
              </w:rPr>
              <w:t>incident_cases</w:t>
            </w:r>
          </w:p>
        </w:tc>
        <w:tc>
          <w:tcPr>
            <w:tcW w:w="1450" w:type="pct"/>
            <w:shd w:val="clear" w:color="auto" w:fill="auto"/>
            <w:tcMar>
              <w:top w:w="80" w:type="dxa"/>
              <w:left w:w="120" w:type="dxa"/>
              <w:bottom w:w="80" w:type="dxa"/>
              <w:right w:w="120" w:type="dxa"/>
            </w:tcMar>
          </w:tcPr>
          <w:p w14:paraId="5E9E4B48" w14:textId="5DFBCE8D" w:rsidR="00EB6BD5" w:rsidRPr="00EB6BD5" w:rsidRDefault="00EB6BD5" w:rsidP="00EB6BD5">
            <w:pPr>
              <w:spacing w:after="40"/>
              <w:rPr>
                <w:rFonts w:cs="Calibri"/>
                <w:sz w:val="17"/>
              </w:rPr>
            </w:pPr>
            <w:r w:rsidRPr="00EB6BD5">
              <w:rPr>
                <w:rFonts w:cs="Calibri"/>
                <w:sz w:val="17"/>
              </w:rPr>
              <w:t>Operationally managed event</w:t>
            </w:r>
          </w:p>
        </w:tc>
        <w:tc>
          <w:tcPr>
            <w:tcW w:w="2450" w:type="pct"/>
            <w:shd w:val="clear" w:color="auto" w:fill="auto"/>
            <w:tcMar>
              <w:top w:w="80" w:type="dxa"/>
              <w:left w:w="120" w:type="dxa"/>
              <w:bottom w:w="80" w:type="dxa"/>
              <w:right w:w="120" w:type="dxa"/>
            </w:tcMar>
          </w:tcPr>
          <w:p w14:paraId="79BAF2F4" w14:textId="202FE74F" w:rsidR="00EB6BD5" w:rsidRPr="00EB6BD5" w:rsidRDefault="00EB6BD5" w:rsidP="00EB6BD5">
            <w:pPr>
              <w:spacing w:after="40"/>
              <w:rPr>
                <w:rFonts w:cs="Calibri"/>
                <w:sz w:val="17"/>
              </w:rPr>
            </w:pPr>
            <w:r w:rsidRPr="00EB6BD5">
              <w:rPr>
                <w:rFonts w:cs="Calibri"/>
                <w:sz w:val="17"/>
              </w:rPr>
              <w:t>Case number; type; location; priority; verification; state; response; Lead Office; Case Owner; version; public summary; timestamps.</w:t>
            </w:r>
          </w:p>
        </w:tc>
      </w:tr>
      <w:tr w:rsidR="00EB6BD5" w14:paraId="16CD1A1A" w14:textId="77777777" w:rsidTr="00EB6BD5">
        <w:trPr>
          <w:cantSplit/>
        </w:trPr>
        <w:tc>
          <w:tcPr>
            <w:tcW w:w="1100" w:type="pct"/>
            <w:shd w:val="clear" w:color="auto" w:fill="auto"/>
            <w:tcMar>
              <w:top w:w="80" w:type="dxa"/>
              <w:left w:w="120" w:type="dxa"/>
              <w:bottom w:w="80" w:type="dxa"/>
              <w:right w:w="120" w:type="dxa"/>
            </w:tcMar>
          </w:tcPr>
          <w:p w14:paraId="7AFE24DF" w14:textId="68C9820F" w:rsidR="00EB6BD5" w:rsidRPr="00EB6BD5" w:rsidRDefault="00EB6BD5" w:rsidP="00EB6BD5">
            <w:pPr>
              <w:spacing w:after="40"/>
              <w:rPr>
                <w:rFonts w:cs="Calibri"/>
                <w:sz w:val="17"/>
              </w:rPr>
            </w:pPr>
            <w:r w:rsidRPr="00EB6BD5">
              <w:rPr>
                <w:rFonts w:cs="Calibri"/>
                <w:sz w:val="17"/>
              </w:rPr>
              <w:t>incident_report_links</w:t>
            </w:r>
          </w:p>
        </w:tc>
        <w:tc>
          <w:tcPr>
            <w:tcW w:w="1450" w:type="pct"/>
            <w:shd w:val="clear" w:color="auto" w:fill="auto"/>
            <w:tcMar>
              <w:top w:w="80" w:type="dxa"/>
              <w:left w:w="120" w:type="dxa"/>
              <w:bottom w:w="80" w:type="dxa"/>
              <w:right w:w="120" w:type="dxa"/>
            </w:tcMar>
          </w:tcPr>
          <w:p w14:paraId="02D97DA5" w14:textId="158F7AC7" w:rsidR="00EB6BD5" w:rsidRPr="00EB6BD5" w:rsidRDefault="00EB6BD5" w:rsidP="00EB6BD5">
            <w:pPr>
              <w:spacing w:after="40"/>
              <w:rPr>
                <w:rFonts w:cs="Calibri"/>
                <w:sz w:val="17"/>
              </w:rPr>
            </w:pPr>
            <w:r w:rsidRPr="00EB6BD5">
              <w:rPr>
                <w:rFonts w:cs="Calibri"/>
                <w:sz w:val="17"/>
              </w:rPr>
              <w:t>Many reports supporting one incident</w:t>
            </w:r>
          </w:p>
        </w:tc>
        <w:tc>
          <w:tcPr>
            <w:tcW w:w="2450" w:type="pct"/>
            <w:shd w:val="clear" w:color="auto" w:fill="auto"/>
            <w:tcMar>
              <w:top w:w="80" w:type="dxa"/>
              <w:left w:w="120" w:type="dxa"/>
              <w:bottom w:w="80" w:type="dxa"/>
              <w:right w:w="120" w:type="dxa"/>
            </w:tcMar>
          </w:tcPr>
          <w:p w14:paraId="6CB5D584" w14:textId="3C65EB67" w:rsidR="00EB6BD5" w:rsidRPr="00EB6BD5" w:rsidRDefault="00EB6BD5" w:rsidP="00EB6BD5">
            <w:pPr>
              <w:spacing w:after="40"/>
              <w:rPr>
                <w:rFonts w:cs="Calibri"/>
                <w:sz w:val="17"/>
              </w:rPr>
            </w:pPr>
            <w:r w:rsidRPr="00EB6BD5">
              <w:rPr>
                <w:rFonts w:cs="Calibri"/>
                <w:sz w:val="17"/>
              </w:rPr>
              <w:t>Incident; report; link type; linked by/at; note. Enforce one incident per report for MVP; introduce a split workflow later if one submission covers multiple events.</w:t>
            </w:r>
          </w:p>
        </w:tc>
      </w:tr>
      <w:tr w:rsidR="00EB6BD5" w14:paraId="05E965A4" w14:textId="77777777" w:rsidTr="00EB6BD5">
        <w:trPr>
          <w:cantSplit/>
        </w:trPr>
        <w:tc>
          <w:tcPr>
            <w:tcW w:w="1100" w:type="pct"/>
            <w:shd w:val="clear" w:color="auto" w:fill="auto"/>
            <w:tcMar>
              <w:top w:w="80" w:type="dxa"/>
              <w:left w:w="120" w:type="dxa"/>
              <w:bottom w:w="80" w:type="dxa"/>
              <w:right w:w="120" w:type="dxa"/>
            </w:tcMar>
          </w:tcPr>
          <w:p w14:paraId="556F0646" w14:textId="2D04905B" w:rsidR="00EB6BD5" w:rsidRPr="00EB6BD5" w:rsidRDefault="00EB6BD5" w:rsidP="00EB6BD5">
            <w:pPr>
              <w:spacing w:after="40"/>
              <w:rPr>
                <w:rFonts w:cs="Calibri"/>
                <w:sz w:val="17"/>
              </w:rPr>
            </w:pPr>
            <w:r w:rsidRPr="00EB6BD5">
              <w:rPr>
                <w:rFonts w:cs="Calibri"/>
                <w:sz w:val="17"/>
              </w:rPr>
              <w:t>report_contact_attempts</w:t>
            </w:r>
          </w:p>
        </w:tc>
        <w:tc>
          <w:tcPr>
            <w:tcW w:w="1450" w:type="pct"/>
            <w:shd w:val="clear" w:color="auto" w:fill="auto"/>
            <w:tcMar>
              <w:top w:w="80" w:type="dxa"/>
              <w:left w:w="120" w:type="dxa"/>
              <w:bottom w:w="80" w:type="dxa"/>
              <w:right w:w="120" w:type="dxa"/>
            </w:tcMar>
          </w:tcPr>
          <w:p w14:paraId="1F50996D" w14:textId="2322C6E8" w:rsidR="00EB6BD5" w:rsidRPr="00EB6BD5" w:rsidRDefault="00EB6BD5" w:rsidP="00EB6BD5">
            <w:pPr>
              <w:spacing w:after="40"/>
              <w:rPr>
                <w:rFonts w:cs="Calibri"/>
                <w:sz w:val="17"/>
              </w:rPr>
            </w:pPr>
            <w:r w:rsidRPr="00EB6BD5">
              <w:rPr>
                <w:rFonts w:cs="Calibri"/>
                <w:sz w:val="17"/>
              </w:rPr>
              <w:t>Purpose-limited contact access audit</w:t>
            </w:r>
          </w:p>
        </w:tc>
        <w:tc>
          <w:tcPr>
            <w:tcW w:w="2450" w:type="pct"/>
            <w:shd w:val="clear" w:color="auto" w:fill="auto"/>
            <w:tcMar>
              <w:top w:w="80" w:type="dxa"/>
              <w:left w:w="120" w:type="dxa"/>
              <w:bottom w:w="80" w:type="dxa"/>
              <w:right w:w="120" w:type="dxa"/>
            </w:tcMar>
          </w:tcPr>
          <w:p w14:paraId="721AB6F2" w14:textId="08356F94" w:rsidR="00EB6BD5" w:rsidRPr="00EB6BD5" w:rsidRDefault="00EB6BD5" w:rsidP="00EB6BD5">
            <w:pPr>
              <w:spacing w:after="40"/>
              <w:rPr>
                <w:rFonts w:cs="Calibri"/>
                <w:sz w:val="17"/>
              </w:rPr>
            </w:pPr>
            <w:r w:rsidRPr="00EB6BD5">
              <w:rPr>
                <w:rFonts w:cs="Calibri"/>
                <w:sz w:val="17"/>
              </w:rPr>
              <w:t>Official and office snapshot; reason; reveal time; dialer handoff; manually recorded outcome/time/note. Never duplicate the phone number in the log.</w:t>
            </w:r>
          </w:p>
        </w:tc>
      </w:tr>
      <w:tr w:rsidR="00EB6BD5" w14:paraId="3B37A5F0" w14:textId="77777777" w:rsidTr="00EB6BD5">
        <w:trPr>
          <w:cantSplit/>
        </w:trPr>
        <w:tc>
          <w:tcPr>
            <w:tcW w:w="1100" w:type="pct"/>
            <w:shd w:val="clear" w:color="auto" w:fill="auto"/>
            <w:tcMar>
              <w:top w:w="80" w:type="dxa"/>
              <w:left w:w="120" w:type="dxa"/>
              <w:bottom w:w="80" w:type="dxa"/>
              <w:right w:w="120" w:type="dxa"/>
            </w:tcMar>
          </w:tcPr>
          <w:p w14:paraId="65ED04A4" w14:textId="05062436" w:rsidR="00EB6BD5" w:rsidRPr="00EB6BD5" w:rsidRDefault="00EB6BD5" w:rsidP="00EB6BD5">
            <w:pPr>
              <w:spacing w:after="40"/>
              <w:rPr>
                <w:rFonts w:cs="Calibri"/>
                <w:sz w:val="17"/>
              </w:rPr>
            </w:pPr>
            <w:r w:rsidRPr="00EB6BD5">
              <w:rPr>
                <w:rFonts w:cs="Calibri"/>
                <w:sz w:val="17"/>
              </w:rPr>
              <w:t>incident_support_requests</w:t>
            </w:r>
          </w:p>
        </w:tc>
        <w:tc>
          <w:tcPr>
            <w:tcW w:w="1450" w:type="pct"/>
            <w:shd w:val="clear" w:color="auto" w:fill="auto"/>
            <w:tcMar>
              <w:top w:w="80" w:type="dxa"/>
              <w:left w:w="120" w:type="dxa"/>
              <w:bottom w:w="80" w:type="dxa"/>
              <w:right w:w="120" w:type="dxa"/>
            </w:tcMar>
          </w:tcPr>
          <w:p w14:paraId="50D7ED08" w14:textId="57A7DBDF" w:rsidR="00EB6BD5" w:rsidRPr="00EB6BD5" w:rsidRDefault="00EB6BD5" w:rsidP="00EB6BD5">
            <w:pPr>
              <w:spacing w:after="40"/>
              <w:rPr>
                <w:rFonts w:cs="Calibri"/>
                <w:sz w:val="17"/>
              </w:rPr>
            </w:pPr>
            <w:r w:rsidRPr="00EB6BD5">
              <w:rPr>
                <w:rFonts w:cs="Calibri"/>
                <w:sz w:val="17"/>
              </w:rPr>
              <w:t>Municipal support or lead transfer handshake</w:t>
            </w:r>
          </w:p>
        </w:tc>
        <w:tc>
          <w:tcPr>
            <w:tcW w:w="2450" w:type="pct"/>
            <w:shd w:val="clear" w:color="auto" w:fill="auto"/>
            <w:tcMar>
              <w:top w:w="80" w:type="dxa"/>
              <w:left w:w="120" w:type="dxa"/>
              <w:bottom w:w="80" w:type="dxa"/>
              <w:right w:w="120" w:type="dxa"/>
            </w:tcMar>
          </w:tcPr>
          <w:p w14:paraId="06AD2380" w14:textId="5DAAD2F3" w:rsidR="00EB6BD5" w:rsidRPr="00EB6BD5" w:rsidRDefault="00EB6BD5" w:rsidP="00EB6BD5">
            <w:pPr>
              <w:spacing w:after="40"/>
              <w:rPr>
                <w:rFonts w:cs="Calibri"/>
                <w:sz w:val="17"/>
              </w:rPr>
            </w:pPr>
            <w:r w:rsidRPr="00EB6BD5">
              <w:rPr>
                <w:rFonts w:cs="Calibri"/>
                <w:sz w:val="17"/>
              </w:rPr>
              <w:t>Kind; from/to office; requested capabilities; status; requester; acknowledgement actor/time; reply note.</w:t>
            </w:r>
          </w:p>
        </w:tc>
      </w:tr>
      <w:tr w:rsidR="00EB6BD5" w14:paraId="5E3653A2" w14:textId="77777777" w:rsidTr="00EB6BD5">
        <w:trPr>
          <w:cantSplit/>
        </w:trPr>
        <w:tc>
          <w:tcPr>
            <w:tcW w:w="1100" w:type="pct"/>
            <w:shd w:val="clear" w:color="auto" w:fill="auto"/>
            <w:tcMar>
              <w:top w:w="80" w:type="dxa"/>
              <w:left w:w="120" w:type="dxa"/>
              <w:bottom w:w="80" w:type="dxa"/>
              <w:right w:w="120" w:type="dxa"/>
            </w:tcMar>
          </w:tcPr>
          <w:p w14:paraId="60E5CA1E" w14:textId="7D6BA56A" w:rsidR="00EB6BD5" w:rsidRPr="00EB6BD5" w:rsidRDefault="00EB6BD5" w:rsidP="00EB6BD5">
            <w:pPr>
              <w:spacing w:after="40"/>
              <w:rPr>
                <w:rFonts w:cs="Calibri"/>
                <w:sz w:val="17"/>
              </w:rPr>
            </w:pPr>
            <w:r w:rsidRPr="00EB6BD5">
              <w:rPr>
                <w:rFonts w:cs="Calibri"/>
                <w:sz w:val="17"/>
              </w:rPr>
              <w:t>incident_response_actions</w:t>
            </w:r>
          </w:p>
        </w:tc>
        <w:tc>
          <w:tcPr>
            <w:tcW w:w="1450" w:type="pct"/>
            <w:shd w:val="clear" w:color="auto" w:fill="auto"/>
            <w:tcMar>
              <w:top w:w="80" w:type="dxa"/>
              <w:left w:w="120" w:type="dxa"/>
              <w:bottom w:w="80" w:type="dxa"/>
              <w:right w:w="120" w:type="dxa"/>
            </w:tcMar>
          </w:tcPr>
          <w:p w14:paraId="6A87CA3F" w14:textId="25B5DE5A" w:rsidR="00EB6BD5" w:rsidRPr="00EB6BD5" w:rsidRDefault="00EB6BD5" w:rsidP="00EB6BD5">
            <w:pPr>
              <w:spacing w:after="40"/>
              <w:rPr>
                <w:rFonts w:cs="Calibri"/>
                <w:sz w:val="17"/>
              </w:rPr>
            </w:pPr>
            <w:r w:rsidRPr="00EB6BD5">
              <w:rPr>
                <w:rFonts w:cs="Calibri"/>
                <w:sz w:val="17"/>
              </w:rPr>
              <w:t>Lightweight operational work item</w:t>
            </w:r>
          </w:p>
        </w:tc>
        <w:tc>
          <w:tcPr>
            <w:tcW w:w="2450" w:type="pct"/>
            <w:shd w:val="clear" w:color="auto" w:fill="auto"/>
            <w:tcMar>
              <w:top w:w="80" w:type="dxa"/>
              <w:left w:w="120" w:type="dxa"/>
              <w:bottom w:w="80" w:type="dxa"/>
              <w:right w:w="120" w:type="dxa"/>
            </w:tcMar>
          </w:tcPr>
          <w:p w14:paraId="7666BB8F" w14:textId="4D1FEC80" w:rsidR="00EB6BD5" w:rsidRPr="00EB6BD5" w:rsidRDefault="00EB6BD5" w:rsidP="00EB6BD5">
            <w:pPr>
              <w:spacing w:after="40"/>
              <w:rPr>
                <w:rFonts w:cs="Calibri"/>
                <w:sz w:val="17"/>
              </w:rPr>
            </w:pPr>
            <w:r w:rsidRPr="00EB6BD5">
              <w:rPr>
                <w:rFonts w:cs="Calibri"/>
                <w:sz w:val="17"/>
              </w:rPr>
              <w:t>Action type/text; responsible office/unit; assigned by; state; assignment/start/completion times; optional notes.</w:t>
            </w:r>
          </w:p>
        </w:tc>
      </w:tr>
      <w:tr w:rsidR="00EB6BD5" w14:paraId="00C634C1" w14:textId="77777777" w:rsidTr="00EB6BD5">
        <w:trPr>
          <w:cantSplit/>
        </w:trPr>
        <w:tc>
          <w:tcPr>
            <w:tcW w:w="1100" w:type="pct"/>
            <w:shd w:val="clear" w:color="auto" w:fill="auto"/>
            <w:tcMar>
              <w:top w:w="80" w:type="dxa"/>
              <w:left w:w="120" w:type="dxa"/>
              <w:bottom w:w="80" w:type="dxa"/>
              <w:right w:w="120" w:type="dxa"/>
            </w:tcMar>
          </w:tcPr>
          <w:p w14:paraId="65336343" w14:textId="5CC0C11E" w:rsidR="00EB6BD5" w:rsidRPr="00EB6BD5" w:rsidRDefault="00EB6BD5" w:rsidP="00EB6BD5">
            <w:pPr>
              <w:spacing w:after="40"/>
              <w:rPr>
                <w:rFonts w:cs="Calibri"/>
                <w:sz w:val="17"/>
              </w:rPr>
            </w:pPr>
            <w:r w:rsidRPr="00EB6BD5">
              <w:rPr>
                <w:rFonts w:cs="Calibri"/>
                <w:sz w:val="17"/>
              </w:rPr>
              <w:t>response_units</w:t>
            </w:r>
          </w:p>
        </w:tc>
        <w:tc>
          <w:tcPr>
            <w:tcW w:w="1450" w:type="pct"/>
            <w:shd w:val="clear" w:color="auto" w:fill="auto"/>
            <w:tcMar>
              <w:top w:w="80" w:type="dxa"/>
              <w:left w:w="120" w:type="dxa"/>
              <w:bottom w:w="80" w:type="dxa"/>
              <w:right w:w="120" w:type="dxa"/>
            </w:tcMar>
          </w:tcPr>
          <w:p w14:paraId="7F73F361" w14:textId="69BD74D6" w:rsidR="00EB6BD5" w:rsidRPr="00EB6BD5" w:rsidRDefault="00EB6BD5" w:rsidP="00EB6BD5">
            <w:pPr>
              <w:spacing w:after="40"/>
              <w:rPr>
                <w:rFonts w:cs="Calibri"/>
                <w:sz w:val="17"/>
              </w:rPr>
            </w:pPr>
            <w:r w:rsidRPr="00EB6BD5">
              <w:rPr>
                <w:rFonts w:cs="Calibri"/>
                <w:sz w:val="17"/>
              </w:rPr>
              <w:t>Small controlled unit catalog</w:t>
            </w:r>
          </w:p>
        </w:tc>
        <w:tc>
          <w:tcPr>
            <w:tcW w:w="2450" w:type="pct"/>
            <w:shd w:val="clear" w:color="auto" w:fill="auto"/>
            <w:tcMar>
              <w:top w:w="80" w:type="dxa"/>
              <w:left w:w="120" w:type="dxa"/>
              <w:bottom w:w="80" w:type="dxa"/>
              <w:right w:w="120" w:type="dxa"/>
            </w:tcMar>
          </w:tcPr>
          <w:p w14:paraId="1E4CBB9D" w14:textId="243826E3" w:rsidR="00EB6BD5" w:rsidRPr="00EB6BD5" w:rsidRDefault="00EB6BD5" w:rsidP="00EB6BD5">
            <w:pPr>
              <w:spacing w:after="40"/>
              <w:rPr>
                <w:rFonts w:cs="Calibri"/>
                <w:sz w:val="17"/>
              </w:rPr>
            </w:pPr>
            <w:r w:rsidRPr="00EB6BD5">
              <w:rPr>
                <w:rFonts w:cs="Calibri"/>
                <w:sz w:val="17"/>
              </w:rPr>
              <w:t>Barangay Response Team; Municipal Rescue Team; Ambulance; Engineering; Evacuation Team; BFP; PNP; Other/External; scope; active flag.</w:t>
            </w:r>
          </w:p>
        </w:tc>
      </w:tr>
      <w:tr w:rsidR="00EB6BD5" w14:paraId="1AA5E536" w14:textId="77777777" w:rsidTr="00EB6BD5">
        <w:trPr>
          <w:cantSplit/>
        </w:trPr>
        <w:tc>
          <w:tcPr>
            <w:tcW w:w="1100" w:type="pct"/>
            <w:shd w:val="clear" w:color="auto" w:fill="auto"/>
            <w:tcMar>
              <w:top w:w="80" w:type="dxa"/>
              <w:left w:w="120" w:type="dxa"/>
              <w:bottom w:w="80" w:type="dxa"/>
              <w:right w:w="120" w:type="dxa"/>
            </w:tcMar>
          </w:tcPr>
          <w:p w14:paraId="4EE284DD" w14:textId="19389095" w:rsidR="00EB6BD5" w:rsidRPr="00EB6BD5" w:rsidRDefault="00EB6BD5" w:rsidP="00EB6BD5">
            <w:pPr>
              <w:spacing w:after="40"/>
              <w:rPr>
                <w:rFonts w:cs="Calibri"/>
                <w:sz w:val="17"/>
              </w:rPr>
            </w:pPr>
            <w:r w:rsidRPr="00EB6BD5">
              <w:rPr>
                <w:rFonts w:cs="Calibri"/>
                <w:sz w:val="17"/>
              </w:rPr>
              <w:lastRenderedPageBreak/>
              <w:t>incident_timeline_events</w:t>
            </w:r>
          </w:p>
        </w:tc>
        <w:tc>
          <w:tcPr>
            <w:tcW w:w="1450" w:type="pct"/>
            <w:shd w:val="clear" w:color="auto" w:fill="auto"/>
            <w:tcMar>
              <w:top w:w="80" w:type="dxa"/>
              <w:left w:w="120" w:type="dxa"/>
              <w:bottom w:w="80" w:type="dxa"/>
              <w:right w:w="120" w:type="dxa"/>
            </w:tcMar>
          </w:tcPr>
          <w:p w14:paraId="630FE754" w14:textId="2A0F6DDC" w:rsidR="00EB6BD5" w:rsidRPr="00EB6BD5" w:rsidRDefault="00EB6BD5" w:rsidP="00EB6BD5">
            <w:pPr>
              <w:spacing w:after="40"/>
              <w:rPr>
                <w:rFonts w:cs="Calibri"/>
                <w:sz w:val="17"/>
              </w:rPr>
            </w:pPr>
            <w:r w:rsidRPr="00EB6BD5">
              <w:rPr>
                <w:rFonts w:cs="Calibri"/>
                <w:sz w:val="17"/>
              </w:rPr>
              <w:t>Human-readable operational history</w:t>
            </w:r>
          </w:p>
        </w:tc>
        <w:tc>
          <w:tcPr>
            <w:tcW w:w="2450" w:type="pct"/>
            <w:shd w:val="clear" w:color="auto" w:fill="auto"/>
            <w:tcMar>
              <w:top w:w="80" w:type="dxa"/>
              <w:left w:w="120" w:type="dxa"/>
              <w:bottom w:w="80" w:type="dxa"/>
              <w:right w:w="120" w:type="dxa"/>
            </w:tcMar>
          </w:tcPr>
          <w:p w14:paraId="742A6D09" w14:textId="2CF66092" w:rsidR="00EB6BD5" w:rsidRPr="00EB6BD5" w:rsidRDefault="00EB6BD5" w:rsidP="00EB6BD5">
            <w:pPr>
              <w:spacing w:after="40"/>
              <w:rPr>
                <w:rFonts w:cs="Calibri"/>
                <w:sz w:val="17"/>
              </w:rPr>
            </w:pPr>
            <w:r w:rsidRPr="00EB6BD5">
              <w:rPr>
                <w:rFonts w:cs="Calibri"/>
                <w:sz w:val="17"/>
              </w:rPr>
              <w:t>Event type; occurred time; actor; public-safe text; internal text; source object. Separate from technical audit logs.</w:t>
            </w:r>
          </w:p>
        </w:tc>
      </w:tr>
      <w:tr w:rsidR="00EB6BD5" w14:paraId="7B61AA93" w14:textId="77777777" w:rsidTr="00EB6BD5">
        <w:trPr>
          <w:cantSplit/>
        </w:trPr>
        <w:tc>
          <w:tcPr>
            <w:tcW w:w="1100" w:type="pct"/>
            <w:shd w:val="clear" w:color="auto" w:fill="auto"/>
            <w:tcMar>
              <w:top w:w="80" w:type="dxa"/>
              <w:left w:w="120" w:type="dxa"/>
              <w:bottom w:w="80" w:type="dxa"/>
              <w:right w:w="120" w:type="dxa"/>
            </w:tcMar>
          </w:tcPr>
          <w:p w14:paraId="695714AB" w14:textId="02E39E1B" w:rsidR="00EB6BD5" w:rsidRPr="00EB6BD5" w:rsidRDefault="00EB6BD5" w:rsidP="00EB6BD5">
            <w:pPr>
              <w:spacing w:after="40"/>
              <w:rPr>
                <w:rFonts w:cs="Calibri"/>
                <w:sz w:val="17"/>
              </w:rPr>
            </w:pPr>
            <w:r w:rsidRPr="00EB6BD5">
              <w:rPr>
                <w:rFonts w:cs="Calibri"/>
                <w:sz w:val="17"/>
              </w:rPr>
              <w:t>incident_closures</w:t>
            </w:r>
          </w:p>
        </w:tc>
        <w:tc>
          <w:tcPr>
            <w:tcW w:w="1450" w:type="pct"/>
            <w:shd w:val="clear" w:color="auto" w:fill="auto"/>
            <w:tcMar>
              <w:top w:w="80" w:type="dxa"/>
              <w:left w:w="120" w:type="dxa"/>
              <w:bottom w:w="80" w:type="dxa"/>
              <w:right w:w="120" w:type="dxa"/>
            </w:tcMar>
          </w:tcPr>
          <w:p w14:paraId="4CC0CBF9" w14:textId="713515D9" w:rsidR="00EB6BD5" w:rsidRPr="00EB6BD5" w:rsidRDefault="00EB6BD5" w:rsidP="00EB6BD5">
            <w:pPr>
              <w:spacing w:after="40"/>
              <w:rPr>
                <w:rFonts w:cs="Calibri"/>
                <w:sz w:val="17"/>
              </w:rPr>
            </w:pPr>
            <w:r w:rsidRPr="00EB6BD5">
              <w:rPr>
                <w:rFonts w:cs="Calibri"/>
                <w:sz w:val="17"/>
              </w:rPr>
              <w:t>Required resolution package</w:t>
            </w:r>
          </w:p>
        </w:tc>
        <w:tc>
          <w:tcPr>
            <w:tcW w:w="2450" w:type="pct"/>
            <w:shd w:val="clear" w:color="auto" w:fill="auto"/>
            <w:tcMar>
              <w:top w:w="80" w:type="dxa"/>
              <w:left w:w="120" w:type="dxa"/>
              <w:bottom w:w="80" w:type="dxa"/>
              <w:right w:w="120" w:type="dxa"/>
            </w:tcMar>
          </w:tcPr>
          <w:p w14:paraId="1B5DDFDC" w14:textId="1C940DD6" w:rsidR="00EB6BD5" w:rsidRPr="00EB6BD5" w:rsidRDefault="00EB6BD5" w:rsidP="00EB6BD5">
            <w:pPr>
              <w:spacing w:after="40"/>
              <w:rPr>
                <w:rFonts w:cs="Calibri"/>
                <w:sz w:val="17"/>
              </w:rPr>
            </w:pPr>
            <w:r w:rsidRPr="00EB6BD5">
              <w:rPr>
                <w:rFonts w:cs="Calibri"/>
                <w:sz w:val="17"/>
              </w:rPr>
              <w:t>Action taken; resolution category; closing official/time; optional evidence; public summary. One active closure per resolved state.</w:t>
            </w:r>
          </w:p>
        </w:tc>
      </w:tr>
      <w:tr w:rsidR="00EB6BD5" w14:paraId="543D1BFD" w14:textId="77777777" w:rsidTr="00EB6BD5">
        <w:trPr>
          <w:cantSplit/>
        </w:trPr>
        <w:tc>
          <w:tcPr>
            <w:tcW w:w="1100" w:type="pct"/>
            <w:shd w:val="clear" w:color="auto" w:fill="auto"/>
            <w:tcMar>
              <w:top w:w="80" w:type="dxa"/>
              <w:left w:w="120" w:type="dxa"/>
              <w:bottom w:w="80" w:type="dxa"/>
              <w:right w:w="120" w:type="dxa"/>
            </w:tcMar>
          </w:tcPr>
          <w:p w14:paraId="6CD9B752" w14:textId="76E399CA" w:rsidR="00EB6BD5" w:rsidRPr="00EB6BD5" w:rsidRDefault="00EB6BD5" w:rsidP="00EB6BD5">
            <w:pPr>
              <w:spacing w:after="40"/>
              <w:rPr>
                <w:rFonts w:cs="Calibri"/>
                <w:sz w:val="17"/>
              </w:rPr>
            </w:pPr>
            <w:r w:rsidRPr="00EB6BD5">
              <w:rPr>
                <w:rFonts w:cs="Calibri"/>
                <w:sz w:val="17"/>
              </w:rPr>
              <w:t>community_confirmations</w:t>
            </w:r>
          </w:p>
        </w:tc>
        <w:tc>
          <w:tcPr>
            <w:tcW w:w="1450" w:type="pct"/>
            <w:shd w:val="clear" w:color="auto" w:fill="auto"/>
            <w:tcMar>
              <w:top w:w="80" w:type="dxa"/>
              <w:left w:w="120" w:type="dxa"/>
              <w:bottom w:w="80" w:type="dxa"/>
              <w:right w:w="120" w:type="dxa"/>
            </w:tcMar>
          </w:tcPr>
          <w:p w14:paraId="775AB09C" w14:textId="148FCC6D" w:rsidR="00EB6BD5" w:rsidRPr="00EB6BD5" w:rsidRDefault="00EB6BD5" w:rsidP="00EB6BD5">
            <w:pPr>
              <w:spacing w:after="40"/>
              <w:rPr>
                <w:rFonts w:cs="Calibri"/>
                <w:sz w:val="17"/>
              </w:rPr>
            </w:pPr>
            <w:r w:rsidRPr="00EB6BD5">
              <w:rPr>
                <w:rFonts w:cs="Calibri"/>
                <w:sz w:val="17"/>
              </w:rPr>
              <w:t>Non-official corroboration signal</w:t>
            </w:r>
          </w:p>
        </w:tc>
        <w:tc>
          <w:tcPr>
            <w:tcW w:w="2450" w:type="pct"/>
            <w:shd w:val="clear" w:color="auto" w:fill="auto"/>
            <w:tcMar>
              <w:top w:w="80" w:type="dxa"/>
              <w:left w:w="120" w:type="dxa"/>
              <w:bottom w:w="80" w:type="dxa"/>
              <w:right w:w="120" w:type="dxa"/>
            </w:tcMar>
          </w:tcPr>
          <w:p w14:paraId="6D363932" w14:textId="6BA236C1" w:rsidR="00EB6BD5" w:rsidRPr="00EB6BD5" w:rsidRDefault="00EB6BD5" w:rsidP="00EB6BD5">
            <w:pPr>
              <w:spacing w:after="40"/>
              <w:rPr>
                <w:rFonts w:cs="Calibri"/>
                <w:sz w:val="17"/>
              </w:rPr>
            </w:pPr>
            <w:r w:rsidRPr="00EB6BD5">
              <w:rPr>
                <w:rFonts w:cs="Calibri"/>
                <w:sz w:val="17"/>
              </w:rPr>
              <w:t>Report; resident; observed time; optional approximate observation point/note; unique resident/report. Never auto-confirms an incident.</w:t>
            </w:r>
          </w:p>
        </w:tc>
      </w:tr>
      <w:tr w:rsidR="00EB6BD5" w14:paraId="5FFBE597" w14:textId="77777777" w:rsidTr="00EB6BD5">
        <w:trPr>
          <w:cantSplit/>
        </w:trPr>
        <w:tc>
          <w:tcPr>
            <w:tcW w:w="1100" w:type="pct"/>
            <w:shd w:val="clear" w:color="auto" w:fill="auto"/>
            <w:tcMar>
              <w:top w:w="80" w:type="dxa"/>
              <w:left w:w="120" w:type="dxa"/>
              <w:bottom w:w="80" w:type="dxa"/>
              <w:right w:w="120" w:type="dxa"/>
            </w:tcMar>
          </w:tcPr>
          <w:p w14:paraId="4767973F" w14:textId="491B7D0E" w:rsidR="00EB6BD5" w:rsidRPr="00EB6BD5" w:rsidRDefault="00EB6BD5" w:rsidP="00EB6BD5">
            <w:pPr>
              <w:spacing w:after="40"/>
              <w:rPr>
                <w:rFonts w:cs="Calibri"/>
                <w:sz w:val="17"/>
              </w:rPr>
            </w:pPr>
            <w:r w:rsidRPr="00EB6BD5">
              <w:rPr>
                <w:rFonts w:cs="Calibri"/>
                <w:sz w:val="17"/>
              </w:rPr>
              <w:t>operational_offices</w:t>
            </w:r>
          </w:p>
        </w:tc>
        <w:tc>
          <w:tcPr>
            <w:tcW w:w="1450" w:type="pct"/>
            <w:shd w:val="clear" w:color="auto" w:fill="auto"/>
            <w:tcMar>
              <w:top w:w="80" w:type="dxa"/>
              <w:left w:w="120" w:type="dxa"/>
              <w:bottom w:w="80" w:type="dxa"/>
              <w:right w:w="120" w:type="dxa"/>
            </w:tcMar>
          </w:tcPr>
          <w:p w14:paraId="6C2219A9" w14:textId="3E994E23" w:rsidR="00EB6BD5" w:rsidRPr="00EB6BD5" w:rsidRDefault="00EB6BD5" w:rsidP="00EB6BD5">
            <w:pPr>
              <w:spacing w:after="40"/>
              <w:rPr>
                <w:rFonts w:cs="Calibri"/>
                <w:sz w:val="17"/>
              </w:rPr>
            </w:pPr>
            <w:r w:rsidRPr="00EB6BD5">
              <w:rPr>
                <w:rFonts w:cs="Calibri"/>
                <w:sz w:val="17"/>
              </w:rPr>
              <w:t>Stable authorization and accountability scope</w:t>
            </w:r>
          </w:p>
        </w:tc>
        <w:tc>
          <w:tcPr>
            <w:tcW w:w="2450" w:type="pct"/>
            <w:shd w:val="clear" w:color="auto" w:fill="auto"/>
            <w:tcMar>
              <w:top w:w="80" w:type="dxa"/>
              <w:left w:w="120" w:type="dxa"/>
              <w:bottom w:w="80" w:type="dxa"/>
              <w:right w:w="120" w:type="dxa"/>
            </w:tcMar>
          </w:tcPr>
          <w:p w14:paraId="733F5710" w14:textId="1A577C91" w:rsidR="00EB6BD5" w:rsidRPr="00EB6BD5" w:rsidRDefault="00EB6BD5" w:rsidP="00EB6BD5">
            <w:pPr>
              <w:spacing w:after="40"/>
              <w:rPr>
                <w:rFonts w:cs="Calibri"/>
                <w:sz w:val="17"/>
              </w:rPr>
            </w:pPr>
            <w:r w:rsidRPr="00EB6BD5">
              <w:rPr>
                <w:rFonts w:cs="Calibri"/>
                <w:sz w:val="17"/>
              </w:rPr>
              <w:t>Office type; barangay/municipality scope; active flag. Seed the MDRRMO and each participating barangay body after validating official LGU naming.</w:t>
            </w:r>
          </w:p>
        </w:tc>
      </w:tr>
    </w:tbl>
    <w:p w14:paraId="1DCF2595" w14:textId="77777777" w:rsidR="00EB6BD5" w:rsidRDefault="00EB6BD5" w:rsidP="00EB6BD5"/>
    <w:p w14:paraId="607A89EB" w14:textId="5809EA4A" w:rsidR="00EB6BD5" w:rsidRDefault="00EB6BD5" w:rsidP="00EB6BD5">
      <w:pPr>
        <w:pStyle w:val="Heading2"/>
        <w:rPr>
          <w:b w:val="0"/>
        </w:rPr>
      </w:pPr>
      <w:bookmarkStart w:id="8" w:name="_Toc240324146"/>
      <w:r>
        <w:rPr>
          <w:b w:val="0"/>
        </w:rPr>
        <w:t>3.1 Database invariants</w:t>
      </w:r>
      <w:bookmarkEnd w:id="8"/>
    </w:p>
    <w:p w14:paraId="0AB475F9" w14:textId="481E90FF" w:rsidR="00EB6BD5" w:rsidRDefault="00EB6BD5" w:rsidP="00EB6BD5">
      <w:pPr>
        <w:pStyle w:val="ListBullet"/>
      </w:pPr>
      <w:r>
        <w:t>Assessment Needed must create or link a provisional Incident Case and create an assessment action in one atomic operation.</w:t>
      </w:r>
    </w:p>
    <w:p w14:paraId="3188F7ED" w14:textId="6E9BFCE9" w:rsidR="00EB6BD5" w:rsidRDefault="00EB6BD5" w:rsidP="00EB6BD5">
      <w:pPr>
        <w:pStyle w:val="ListBullet"/>
      </w:pPr>
      <w:r>
        <w:t>Verified, Linked, Assessment Needed, Could Not Confirm, and Rejected decisions require server-derived reviewer identity, office, and time; rejection always requires a reason code.</w:t>
      </w:r>
    </w:p>
    <w:p w14:paraId="1CFE9E35" w14:textId="6F080C86" w:rsidR="00EB6BD5" w:rsidRDefault="00EB6BD5" w:rsidP="00EB6BD5">
      <w:pPr>
        <w:pStyle w:val="ListBullet"/>
      </w:pPr>
      <w:r>
        <w:t>Confirmed incidents require a confirmation actor/time and at least one linked report or official evidence source.</w:t>
      </w:r>
    </w:p>
    <w:p w14:paraId="722FF639" w14:textId="3505CDDC" w:rsidR="00EB6BD5" w:rsidRDefault="00EB6BD5" w:rsidP="00EB6BD5">
      <w:pPr>
        <w:pStyle w:val="ListBullet"/>
      </w:pPr>
      <w:r>
        <w:t>Response Assigned/In Progress is derived or transactionally synchronized from real actions and assignments; the UI cannot set it as an unsupported label.</w:t>
      </w:r>
    </w:p>
    <w:p w14:paraId="25FDDE07" w14:textId="173B8ABD" w:rsidR="00EB6BD5" w:rsidRDefault="00EB6BD5" w:rsidP="00EB6BD5">
      <w:pPr>
        <w:pStyle w:val="ListBullet"/>
      </w:pPr>
      <w:r>
        <w:t>Resolved requires a closure record; Reopened requires reason, actor, and time and invalidates the former closure only as the active closure, never its history.</w:t>
      </w:r>
    </w:p>
    <w:p w14:paraId="374B063A" w14:textId="543AA50D" w:rsidR="00EB6BD5" w:rsidRDefault="00EB6BD5" w:rsidP="00EB6BD5">
      <w:pPr>
        <w:pStyle w:val="ListBullet"/>
      </w:pPr>
      <w:r>
        <w:t>Lead Office changes only through an accepted transfer. Requesting support does not change lead.</w:t>
      </w:r>
    </w:p>
    <w:p w14:paraId="2E6723CA" w14:textId="45D4DA6B" w:rsidR="00EB6BD5" w:rsidRDefault="00EB6BD5" w:rsidP="00EB6BD5">
      <w:pPr>
        <w:pStyle w:val="ListBullet"/>
      </w:pPr>
      <w:r>
        <w:t>Use optimistic version checks and row locks in workflow functions so two officials cannot independently verify and link the same report.</w:t>
      </w:r>
    </w:p>
    <w:p w14:paraId="5D06FE81" w14:textId="705E7E11" w:rsidR="00EB6BD5" w:rsidRDefault="00EB6BD5" w:rsidP="00EB6BD5">
      <w:pPr>
        <w:pStyle w:val="Heading1"/>
        <w:rPr>
          <w:b w:val="0"/>
        </w:rPr>
      </w:pPr>
      <w:bookmarkStart w:id="9" w:name="_Toc240324147"/>
      <w:r>
        <w:rPr>
          <w:b w:val="0"/>
        </w:rPr>
        <w:t>4. Roles, visibility, and authorization</w:t>
      </w:r>
      <w:bookmarkEnd w:id="9"/>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1468"/>
        <w:gridCol w:w="3036"/>
        <w:gridCol w:w="3036"/>
        <w:gridCol w:w="2252"/>
      </w:tblGrid>
      <w:tr w:rsidR="00EB6BD5" w14:paraId="4A10744C" w14:textId="77777777" w:rsidTr="00EB6BD5">
        <w:trPr>
          <w:cantSplit/>
        </w:trPr>
        <w:tc>
          <w:tcPr>
            <w:tcW w:w="750" w:type="pct"/>
            <w:shd w:val="clear" w:color="auto" w:fill="auto"/>
            <w:tcMar>
              <w:top w:w="80" w:type="dxa"/>
              <w:left w:w="120" w:type="dxa"/>
              <w:bottom w:w="80" w:type="dxa"/>
              <w:right w:w="120" w:type="dxa"/>
            </w:tcMar>
          </w:tcPr>
          <w:p w14:paraId="5B61D5D5" w14:textId="286D6EC7" w:rsidR="00EB6BD5" w:rsidRPr="00EB6BD5" w:rsidRDefault="00EB6BD5" w:rsidP="00EB6BD5">
            <w:pPr>
              <w:spacing w:after="40"/>
              <w:rPr>
                <w:rFonts w:cs="Calibri"/>
                <w:b/>
                <w:color w:val="16324F"/>
                <w:sz w:val="17"/>
              </w:rPr>
            </w:pPr>
            <w:r w:rsidRPr="00EB6BD5">
              <w:rPr>
                <w:rFonts w:cs="Calibri"/>
                <w:b/>
                <w:color w:val="16324F"/>
                <w:sz w:val="17"/>
              </w:rPr>
              <w:t>Actor</w:t>
            </w:r>
          </w:p>
        </w:tc>
        <w:tc>
          <w:tcPr>
            <w:tcW w:w="1550" w:type="pct"/>
            <w:shd w:val="clear" w:color="auto" w:fill="auto"/>
            <w:tcMar>
              <w:top w:w="80" w:type="dxa"/>
              <w:left w:w="120" w:type="dxa"/>
              <w:bottom w:w="80" w:type="dxa"/>
              <w:right w:w="120" w:type="dxa"/>
            </w:tcMar>
          </w:tcPr>
          <w:p w14:paraId="5355416B" w14:textId="093F80B8" w:rsidR="00EB6BD5" w:rsidRPr="00EB6BD5" w:rsidRDefault="00EB6BD5" w:rsidP="00EB6BD5">
            <w:pPr>
              <w:spacing w:after="40"/>
              <w:rPr>
                <w:rFonts w:cs="Calibri"/>
                <w:b/>
                <w:color w:val="16324F"/>
                <w:sz w:val="17"/>
              </w:rPr>
            </w:pPr>
            <w:r w:rsidRPr="00EB6BD5">
              <w:rPr>
                <w:rFonts w:cs="Calibri"/>
                <w:b/>
                <w:color w:val="16324F"/>
                <w:sz w:val="17"/>
              </w:rPr>
              <w:t>May see</w:t>
            </w:r>
          </w:p>
        </w:tc>
        <w:tc>
          <w:tcPr>
            <w:tcW w:w="1550" w:type="pct"/>
            <w:shd w:val="clear" w:color="auto" w:fill="auto"/>
            <w:tcMar>
              <w:top w:w="80" w:type="dxa"/>
              <w:left w:w="120" w:type="dxa"/>
              <w:bottom w:w="80" w:type="dxa"/>
              <w:right w:w="120" w:type="dxa"/>
            </w:tcMar>
          </w:tcPr>
          <w:p w14:paraId="08BB7513" w14:textId="6439BDB3" w:rsidR="00EB6BD5" w:rsidRPr="00EB6BD5" w:rsidRDefault="00EB6BD5" w:rsidP="00EB6BD5">
            <w:pPr>
              <w:spacing w:after="40"/>
              <w:rPr>
                <w:rFonts w:cs="Calibri"/>
                <w:b/>
                <w:color w:val="16324F"/>
                <w:sz w:val="17"/>
              </w:rPr>
            </w:pPr>
            <w:r w:rsidRPr="00EB6BD5">
              <w:rPr>
                <w:rFonts w:cs="Calibri"/>
                <w:b/>
                <w:color w:val="16324F"/>
                <w:sz w:val="17"/>
              </w:rPr>
              <w:t>May do</w:t>
            </w:r>
          </w:p>
        </w:tc>
        <w:tc>
          <w:tcPr>
            <w:tcW w:w="1150" w:type="pct"/>
            <w:shd w:val="clear" w:color="auto" w:fill="auto"/>
            <w:tcMar>
              <w:top w:w="80" w:type="dxa"/>
              <w:left w:w="120" w:type="dxa"/>
              <w:bottom w:w="80" w:type="dxa"/>
              <w:right w:w="120" w:type="dxa"/>
            </w:tcMar>
          </w:tcPr>
          <w:p w14:paraId="1A870D28" w14:textId="162F7856" w:rsidR="00EB6BD5" w:rsidRPr="00EB6BD5" w:rsidRDefault="00EB6BD5" w:rsidP="00EB6BD5">
            <w:pPr>
              <w:spacing w:after="40"/>
              <w:rPr>
                <w:rFonts w:cs="Calibri"/>
                <w:b/>
                <w:color w:val="16324F"/>
                <w:sz w:val="17"/>
              </w:rPr>
            </w:pPr>
            <w:r w:rsidRPr="00EB6BD5">
              <w:rPr>
                <w:rFonts w:cs="Calibri"/>
                <w:b/>
                <w:color w:val="16324F"/>
                <w:sz w:val="17"/>
              </w:rPr>
              <w:t>Must not do</w:t>
            </w:r>
          </w:p>
        </w:tc>
      </w:tr>
      <w:tr w:rsidR="00EB6BD5" w14:paraId="3A4F5025" w14:textId="77777777" w:rsidTr="00EB6BD5">
        <w:trPr>
          <w:cantSplit/>
        </w:trPr>
        <w:tc>
          <w:tcPr>
            <w:tcW w:w="750" w:type="pct"/>
            <w:shd w:val="clear" w:color="auto" w:fill="auto"/>
            <w:tcMar>
              <w:top w:w="80" w:type="dxa"/>
              <w:left w:w="120" w:type="dxa"/>
              <w:bottom w:w="80" w:type="dxa"/>
              <w:right w:w="120" w:type="dxa"/>
            </w:tcMar>
          </w:tcPr>
          <w:p w14:paraId="744A6D5C" w14:textId="36283BD5" w:rsidR="00EB6BD5" w:rsidRPr="00EB6BD5" w:rsidRDefault="00EB6BD5" w:rsidP="00EB6BD5">
            <w:pPr>
              <w:spacing w:after="40"/>
              <w:rPr>
                <w:rFonts w:cs="Calibri"/>
                <w:sz w:val="17"/>
              </w:rPr>
            </w:pPr>
            <w:r w:rsidRPr="00EB6BD5">
              <w:rPr>
                <w:rFonts w:cs="Calibri"/>
                <w:sz w:val="17"/>
              </w:rPr>
              <w:t>Resident reporter</w:t>
            </w:r>
          </w:p>
        </w:tc>
        <w:tc>
          <w:tcPr>
            <w:tcW w:w="1550" w:type="pct"/>
            <w:shd w:val="clear" w:color="auto" w:fill="auto"/>
            <w:tcMar>
              <w:top w:w="80" w:type="dxa"/>
              <w:left w:w="120" w:type="dxa"/>
              <w:bottom w:w="80" w:type="dxa"/>
              <w:right w:w="120" w:type="dxa"/>
            </w:tcMar>
          </w:tcPr>
          <w:p w14:paraId="665255E2" w14:textId="408C23E2" w:rsidR="00EB6BD5" w:rsidRPr="00EB6BD5" w:rsidRDefault="00EB6BD5" w:rsidP="00EB6BD5">
            <w:pPr>
              <w:spacing w:after="40"/>
              <w:rPr>
                <w:rFonts w:cs="Calibri"/>
                <w:sz w:val="17"/>
              </w:rPr>
            </w:pPr>
            <w:r w:rsidRPr="00EB6BD5">
              <w:rPr>
                <w:rFonts w:cs="Calibri"/>
                <w:sz w:val="17"/>
              </w:rPr>
              <w:t>Own report immediately, including pending local queue marker; resident-safe incident updates</w:t>
            </w:r>
          </w:p>
        </w:tc>
        <w:tc>
          <w:tcPr>
            <w:tcW w:w="1550" w:type="pct"/>
            <w:shd w:val="clear" w:color="auto" w:fill="auto"/>
            <w:tcMar>
              <w:top w:w="80" w:type="dxa"/>
              <w:left w:w="120" w:type="dxa"/>
              <w:bottom w:w="80" w:type="dxa"/>
              <w:right w:w="120" w:type="dxa"/>
            </w:tcMar>
          </w:tcPr>
          <w:p w14:paraId="7FB5BBDB" w14:textId="5B497635" w:rsidR="00EB6BD5" w:rsidRPr="00EB6BD5" w:rsidRDefault="00EB6BD5" w:rsidP="00EB6BD5">
            <w:pPr>
              <w:spacing w:after="40"/>
              <w:rPr>
                <w:rFonts w:cs="Calibri"/>
                <w:sz w:val="17"/>
              </w:rPr>
            </w:pPr>
            <w:r w:rsidRPr="00EB6BD5">
              <w:rPr>
                <w:rFonts w:cs="Calibri"/>
                <w:sz w:val="17"/>
              </w:rPr>
              <w:t>Submit; retry offline delivery; add clarification/evidence when requested; view contribution history</w:t>
            </w:r>
          </w:p>
        </w:tc>
        <w:tc>
          <w:tcPr>
            <w:tcW w:w="1150" w:type="pct"/>
            <w:shd w:val="clear" w:color="auto" w:fill="auto"/>
            <w:tcMar>
              <w:top w:w="80" w:type="dxa"/>
              <w:left w:w="120" w:type="dxa"/>
              <w:bottom w:w="80" w:type="dxa"/>
              <w:right w:w="120" w:type="dxa"/>
            </w:tcMar>
          </w:tcPr>
          <w:p w14:paraId="79F4AAF4" w14:textId="2C48B8AE" w:rsidR="00EB6BD5" w:rsidRPr="00EB6BD5" w:rsidRDefault="00EB6BD5" w:rsidP="00EB6BD5">
            <w:pPr>
              <w:spacing w:after="40"/>
              <w:rPr>
                <w:rFonts w:cs="Calibri"/>
                <w:sz w:val="17"/>
              </w:rPr>
            </w:pPr>
            <w:r w:rsidRPr="00EB6BD5">
              <w:rPr>
                <w:rFonts w:cs="Calibri"/>
                <w:sz w:val="17"/>
              </w:rPr>
              <w:t>See other reporters contact data or treat a raw report as an official incident</w:t>
            </w:r>
          </w:p>
        </w:tc>
      </w:tr>
      <w:tr w:rsidR="00EB6BD5" w14:paraId="18B1B5B7" w14:textId="77777777" w:rsidTr="00EB6BD5">
        <w:trPr>
          <w:cantSplit/>
        </w:trPr>
        <w:tc>
          <w:tcPr>
            <w:tcW w:w="750" w:type="pct"/>
            <w:shd w:val="clear" w:color="auto" w:fill="auto"/>
            <w:tcMar>
              <w:top w:w="80" w:type="dxa"/>
              <w:left w:w="120" w:type="dxa"/>
              <w:bottom w:w="80" w:type="dxa"/>
              <w:right w:w="120" w:type="dxa"/>
            </w:tcMar>
          </w:tcPr>
          <w:p w14:paraId="0FC27EE0" w14:textId="7CE1B47D" w:rsidR="00EB6BD5" w:rsidRPr="00EB6BD5" w:rsidRDefault="00EB6BD5" w:rsidP="00EB6BD5">
            <w:pPr>
              <w:spacing w:after="40"/>
              <w:rPr>
                <w:rFonts w:cs="Calibri"/>
                <w:sz w:val="17"/>
              </w:rPr>
            </w:pPr>
            <w:r w:rsidRPr="00EB6BD5">
              <w:rPr>
                <w:rFonts w:cs="Calibri"/>
                <w:sz w:val="17"/>
              </w:rPr>
              <w:t>Other residents</w:t>
            </w:r>
          </w:p>
        </w:tc>
        <w:tc>
          <w:tcPr>
            <w:tcW w:w="1550" w:type="pct"/>
            <w:shd w:val="clear" w:color="auto" w:fill="auto"/>
            <w:tcMar>
              <w:top w:w="80" w:type="dxa"/>
              <w:left w:w="120" w:type="dxa"/>
              <w:bottom w:w="80" w:type="dxa"/>
              <w:right w:w="120" w:type="dxa"/>
            </w:tcMar>
          </w:tcPr>
          <w:p w14:paraId="338A0C47" w14:textId="79D611F9" w:rsidR="00EB6BD5" w:rsidRPr="00EB6BD5" w:rsidRDefault="00EB6BD5" w:rsidP="00EB6BD5">
            <w:pPr>
              <w:spacing w:after="40"/>
              <w:rPr>
                <w:rFonts w:cs="Calibri"/>
                <w:sz w:val="17"/>
              </w:rPr>
            </w:pPr>
            <w:r w:rsidRPr="00EB6BD5">
              <w:rPr>
                <w:rFonts w:cs="Calibri"/>
                <w:sz w:val="17"/>
              </w:rPr>
              <w:t>Confirmed public Incident markers and public updates; optional moderated Community Reports layer only in a later phase</w:t>
            </w:r>
          </w:p>
        </w:tc>
        <w:tc>
          <w:tcPr>
            <w:tcW w:w="1550" w:type="pct"/>
            <w:shd w:val="clear" w:color="auto" w:fill="auto"/>
            <w:tcMar>
              <w:top w:w="80" w:type="dxa"/>
              <w:left w:w="120" w:type="dxa"/>
              <w:bottom w:w="80" w:type="dxa"/>
              <w:right w:w="120" w:type="dxa"/>
            </w:tcMar>
          </w:tcPr>
          <w:p w14:paraId="5205BC69" w14:textId="247C7352" w:rsidR="00EB6BD5" w:rsidRPr="00EB6BD5" w:rsidRDefault="00EB6BD5" w:rsidP="00EB6BD5">
            <w:pPr>
              <w:spacing w:after="40"/>
              <w:rPr>
                <w:rFonts w:cs="Calibri"/>
                <w:sz w:val="17"/>
              </w:rPr>
            </w:pPr>
            <w:r w:rsidRPr="00EB6BD5">
              <w:rPr>
                <w:rFonts w:cs="Calibri"/>
                <w:sz w:val="17"/>
              </w:rPr>
              <w:t>Comment or submit a structured community confirmation</w:t>
            </w:r>
          </w:p>
        </w:tc>
        <w:tc>
          <w:tcPr>
            <w:tcW w:w="1150" w:type="pct"/>
            <w:shd w:val="clear" w:color="auto" w:fill="auto"/>
            <w:tcMar>
              <w:top w:w="80" w:type="dxa"/>
              <w:left w:w="120" w:type="dxa"/>
              <w:bottom w:w="80" w:type="dxa"/>
              <w:right w:w="120" w:type="dxa"/>
            </w:tcMar>
          </w:tcPr>
          <w:p w14:paraId="4119DFF6" w14:textId="5560DFFD" w:rsidR="00EB6BD5" w:rsidRPr="00EB6BD5" w:rsidRDefault="00EB6BD5" w:rsidP="00EB6BD5">
            <w:pPr>
              <w:spacing w:after="40"/>
              <w:rPr>
                <w:rFonts w:cs="Calibri"/>
                <w:sz w:val="17"/>
              </w:rPr>
            </w:pPr>
            <w:r w:rsidRPr="00EB6BD5">
              <w:rPr>
                <w:rFonts w:cs="Calibri"/>
                <w:sz w:val="17"/>
              </w:rPr>
              <w:t>See raw official notes, exact sensitive locations, or pending claims as established facts</w:t>
            </w:r>
          </w:p>
        </w:tc>
      </w:tr>
      <w:tr w:rsidR="00EB6BD5" w14:paraId="39F8FF93" w14:textId="77777777" w:rsidTr="00EB6BD5">
        <w:trPr>
          <w:cantSplit/>
        </w:trPr>
        <w:tc>
          <w:tcPr>
            <w:tcW w:w="750" w:type="pct"/>
            <w:shd w:val="clear" w:color="auto" w:fill="auto"/>
            <w:tcMar>
              <w:top w:w="80" w:type="dxa"/>
              <w:left w:w="120" w:type="dxa"/>
              <w:bottom w:w="80" w:type="dxa"/>
              <w:right w:w="120" w:type="dxa"/>
            </w:tcMar>
          </w:tcPr>
          <w:p w14:paraId="7494DCAF" w14:textId="007DC687" w:rsidR="00EB6BD5" w:rsidRPr="00EB6BD5" w:rsidRDefault="00EB6BD5" w:rsidP="00EB6BD5">
            <w:pPr>
              <w:spacing w:after="40"/>
              <w:rPr>
                <w:rFonts w:cs="Calibri"/>
                <w:sz w:val="17"/>
              </w:rPr>
            </w:pPr>
            <w:r w:rsidRPr="00EB6BD5">
              <w:rPr>
                <w:rFonts w:cs="Calibri"/>
                <w:sz w:val="17"/>
              </w:rPr>
              <w:t>BDRRMO / barangay body</w:t>
            </w:r>
          </w:p>
        </w:tc>
        <w:tc>
          <w:tcPr>
            <w:tcW w:w="1550" w:type="pct"/>
            <w:shd w:val="clear" w:color="auto" w:fill="auto"/>
            <w:tcMar>
              <w:top w:w="80" w:type="dxa"/>
              <w:left w:w="120" w:type="dxa"/>
              <w:bottom w:w="80" w:type="dxa"/>
              <w:right w:w="120" w:type="dxa"/>
            </w:tcMar>
          </w:tcPr>
          <w:p w14:paraId="0DE3100D" w14:textId="7435E5CF" w:rsidR="00EB6BD5" w:rsidRPr="00EB6BD5" w:rsidRDefault="00EB6BD5" w:rsidP="00EB6BD5">
            <w:pPr>
              <w:spacing w:after="40"/>
              <w:rPr>
                <w:rFonts w:cs="Calibri"/>
                <w:sz w:val="17"/>
              </w:rPr>
            </w:pPr>
            <w:r w:rsidRPr="00EB6BD5">
              <w:rPr>
                <w:rFonts w:cs="Calibri"/>
                <w:sz w:val="17"/>
              </w:rPr>
              <w:t>Scoped pending reports, evidence, local incidents, prior contacts, local resources</w:t>
            </w:r>
          </w:p>
        </w:tc>
        <w:tc>
          <w:tcPr>
            <w:tcW w:w="1550" w:type="pct"/>
            <w:shd w:val="clear" w:color="auto" w:fill="auto"/>
            <w:tcMar>
              <w:top w:w="80" w:type="dxa"/>
              <w:left w:w="120" w:type="dxa"/>
              <w:bottom w:w="80" w:type="dxa"/>
              <w:right w:w="120" w:type="dxa"/>
            </w:tcMar>
          </w:tcPr>
          <w:p w14:paraId="5AEB7A8B" w14:textId="52BE1BF4" w:rsidR="00EB6BD5" w:rsidRPr="00EB6BD5" w:rsidRDefault="00EB6BD5" w:rsidP="00EB6BD5">
            <w:pPr>
              <w:spacing w:after="40"/>
              <w:rPr>
                <w:rFonts w:cs="Calibri"/>
                <w:sz w:val="17"/>
              </w:rPr>
            </w:pPr>
            <w:r w:rsidRPr="00EB6BD5">
              <w:rPr>
                <w:rFonts w:cs="Calibri"/>
                <w:sz w:val="17"/>
              </w:rPr>
              <w:t>Review; contact with reason; create/link incidents; own/coordinate local cases; actions; request support; request transfer</w:t>
            </w:r>
          </w:p>
        </w:tc>
        <w:tc>
          <w:tcPr>
            <w:tcW w:w="1150" w:type="pct"/>
            <w:shd w:val="clear" w:color="auto" w:fill="auto"/>
            <w:tcMar>
              <w:top w:w="80" w:type="dxa"/>
              <w:left w:w="120" w:type="dxa"/>
              <w:bottom w:w="80" w:type="dxa"/>
              <w:right w:w="120" w:type="dxa"/>
            </w:tcMar>
          </w:tcPr>
          <w:p w14:paraId="16C90CB3" w14:textId="62433847" w:rsidR="00EB6BD5" w:rsidRPr="00EB6BD5" w:rsidRDefault="00EB6BD5" w:rsidP="00EB6BD5">
            <w:pPr>
              <w:spacing w:after="40"/>
              <w:rPr>
                <w:rFonts w:cs="Calibri"/>
                <w:sz w:val="17"/>
              </w:rPr>
            </w:pPr>
            <w:r w:rsidRPr="00EB6BD5">
              <w:rPr>
                <w:rFonts w:cs="Calibri"/>
                <w:sz w:val="17"/>
              </w:rPr>
              <w:t>Read outside scope without an authorized incident/support relationship or bypass MDRRMO acknowledgement</w:t>
            </w:r>
          </w:p>
        </w:tc>
      </w:tr>
      <w:tr w:rsidR="00EB6BD5" w14:paraId="3EC7CA21" w14:textId="77777777" w:rsidTr="00EB6BD5">
        <w:trPr>
          <w:cantSplit/>
        </w:trPr>
        <w:tc>
          <w:tcPr>
            <w:tcW w:w="750" w:type="pct"/>
            <w:shd w:val="clear" w:color="auto" w:fill="auto"/>
            <w:tcMar>
              <w:top w:w="80" w:type="dxa"/>
              <w:left w:w="120" w:type="dxa"/>
              <w:bottom w:w="80" w:type="dxa"/>
              <w:right w:w="120" w:type="dxa"/>
            </w:tcMar>
          </w:tcPr>
          <w:p w14:paraId="20718E5C" w14:textId="47D2F76D" w:rsidR="00EB6BD5" w:rsidRPr="00EB6BD5" w:rsidRDefault="00EB6BD5" w:rsidP="00EB6BD5">
            <w:pPr>
              <w:spacing w:after="40"/>
              <w:rPr>
                <w:rFonts w:cs="Calibri"/>
                <w:sz w:val="17"/>
              </w:rPr>
            </w:pPr>
            <w:r w:rsidRPr="00EB6BD5">
              <w:rPr>
                <w:rFonts w:cs="Calibri"/>
                <w:sz w:val="17"/>
              </w:rPr>
              <w:lastRenderedPageBreak/>
              <w:t>MDRRMO</w:t>
            </w:r>
          </w:p>
        </w:tc>
        <w:tc>
          <w:tcPr>
            <w:tcW w:w="1550" w:type="pct"/>
            <w:shd w:val="clear" w:color="auto" w:fill="auto"/>
            <w:tcMar>
              <w:top w:w="80" w:type="dxa"/>
              <w:left w:w="120" w:type="dxa"/>
              <w:bottom w:w="80" w:type="dxa"/>
              <w:right w:w="120" w:type="dxa"/>
            </w:tcMar>
          </w:tcPr>
          <w:p w14:paraId="3F6F1EBD" w14:textId="036ADF34" w:rsidR="00EB6BD5" w:rsidRPr="00EB6BD5" w:rsidRDefault="00EB6BD5" w:rsidP="00EB6BD5">
            <w:pPr>
              <w:spacing w:after="40"/>
              <w:rPr>
                <w:rFonts w:cs="Calibri"/>
                <w:sz w:val="17"/>
              </w:rPr>
            </w:pPr>
            <w:r w:rsidRPr="00EB6BD5">
              <w:rPr>
                <w:rFonts w:cs="Calibri"/>
                <w:sz w:val="17"/>
              </w:rPr>
              <w:t>Municipality-wide cases, support/transfer requests, prior contact history, resources</w:t>
            </w:r>
          </w:p>
        </w:tc>
        <w:tc>
          <w:tcPr>
            <w:tcW w:w="1550" w:type="pct"/>
            <w:shd w:val="clear" w:color="auto" w:fill="auto"/>
            <w:tcMar>
              <w:top w:w="80" w:type="dxa"/>
              <w:left w:w="120" w:type="dxa"/>
              <w:bottom w:w="80" w:type="dxa"/>
              <w:right w:w="120" w:type="dxa"/>
            </w:tcMar>
          </w:tcPr>
          <w:p w14:paraId="24FAFECC" w14:textId="36016FC2" w:rsidR="00EB6BD5" w:rsidRPr="00EB6BD5" w:rsidRDefault="00EB6BD5" w:rsidP="00EB6BD5">
            <w:pPr>
              <w:spacing w:after="40"/>
              <w:rPr>
                <w:rFonts w:cs="Calibri"/>
                <w:sz w:val="17"/>
              </w:rPr>
            </w:pPr>
            <w:r w:rsidRPr="00EB6BD5">
              <w:rPr>
                <w:rFonts w:cs="Calibri"/>
                <w:sz w:val="17"/>
              </w:rPr>
              <w:t>Accept/return/request clarification; support; take lead after accepting transfer; operational contact when necessary</w:t>
            </w:r>
          </w:p>
        </w:tc>
        <w:tc>
          <w:tcPr>
            <w:tcW w:w="1150" w:type="pct"/>
            <w:shd w:val="clear" w:color="auto" w:fill="auto"/>
            <w:tcMar>
              <w:top w:w="80" w:type="dxa"/>
              <w:left w:w="120" w:type="dxa"/>
              <w:bottom w:w="80" w:type="dxa"/>
              <w:right w:w="120" w:type="dxa"/>
            </w:tcMar>
          </w:tcPr>
          <w:p w14:paraId="4C0D8C2F" w14:textId="70294336" w:rsidR="00EB6BD5" w:rsidRPr="00EB6BD5" w:rsidRDefault="00EB6BD5" w:rsidP="00EB6BD5">
            <w:pPr>
              <w:spacing w:after="40"/>
              <w:rPr>
                <w:rFonts w:cs="Calibri"/>
                <w:sz w:val="17"/>
              </w:rPr>
            </w:pPr>
            <w:r w:rsidRPr="00EB6BD5">
              <w:rPr>
                <w:rFonts w:cs="Calibri"/>
                <w:sz w:val="17"/>
              </w:rPr>
              <w:t>Re-verify every barangay decision by routine or silently seize lead</w:t>
            </w:r>
          </w:p>
        </w:tc>
      </w:tr>
      <w:tr w:rsidR="00EB6BD5" w14:paraId="00238B22" w14:textId="77777777" w:rsidTr="00EB6BD5">
        <w:trPr>
          <w:cantSplit/>
        </w:trPr>
        <w:tc>
          <w:tcPr>
            <w:tcW w:w="750" w:type="pct"/>
            <w:shd w:val="clear" w:color="auto" w:fill="auto"/>
            <w:tcMar>
              <w:top w:w="80" w:type="dxa"/>
              <w:left w:w="120" w:type="dxa"/>
              <w:bottom w:w="80" w:type="dxa"/>
              <w:right w:w="120" w:type="dxa"/>
            </w:tcMar>
          </w:tcPr>
          <w:p w14:paraId="11A232C7" w14:textId="7A04515F" w:rsidR="00EB6BD5" w:rsidRPr="00EB6BD5" w:rsidRDefault="00EB6BD5" w:rsidP="00EB6BD5">
            <w:pPr>
              <w:spacing w:after="40"/>
              <w:rPr>
                <w:rFonts w:cs="Calibri"/>
                <w:sz w:val="17"/>
              </w:rPr>
            </w:pPr>
            <w:r w:rsidRPr="00EB6BD5">
              <w:rPr>
                <w:rFonts w:cs="Calibri"/>
                <w:sz w:val="17"/>
              </w:rPr>
              <w:t>Mayor</w:t>
            </w:r>
          </w:p>
        </w:tc>
        <w:tc>
          <w:tcPr>
            <w:tcW w:w="1550" w:type="pct"/>
            <w:shd w:val="clear" w:color="auto" w:fill="auto"/>
            <w:tcMar>
              <w:top w:w="80" w:type="dxa"/>
              <w:left w:w="120" w:type="dxa"/>
              <w:bottom w:w="80" w:type="dxa"/>
              <w:right w:w="120" w:type="dxa"/>
            </w:tcMar>
          </w:tcPr>
          <w:p w14:paraId="1682A728" w14:textId="12B292F0" w:rsidR="00EB6BD5" w:rsidRPr="00EB6BD5" w:rsidRDefault="00EB6BD5" w:rsidP="00EB6BD5">
            <w:pPr>
              <w:spacing w:after="40"/>
              <w:rPr>
                <w:rFonts w:cs="Calibri"/>
                <w:sz w:val="17"/>
              </w:rPr>
            </w:pPr>
            <w:r w:rsidRPr="00EB6BD5">
              <w:rPr>
                <w:rFonts w:cs="Calibri"/>
                <w:sz w:val="17"/>
              </w:rPr>
              <w:t>Confirmed active incidents, serious priorities, assessment/response counts, support activity, readiness, daily resolutions</w:t>
            </w:r>
          </w:p>
        </w:tc>
        <w:tc>
          <w:tcPr>
            <w:tcW w:w="1550" w:type="pct"/>
            <w:shd w:val="clear" w:color="auto" w:fill="auto"/>
            <w:tcMar>
              <w:top w:w="80" w:type="dxa"/>
              <w:left w:w="120" w:type="dxa"/>
              <w:bottom w:w="80" w:type="dxa"/>
              <w:right w:w="120" w:type="dxa"/>
            </w:tcMar>
          </w:tcPr>
          <w:p w14:paraId="2D53591D" w14:textId="67BBCA8A" w:rsidR="00EB6BD5" w:rsidRPr="00EB6BD5" w:rsidRDefault="00EB6BD5" w:rsidP="00EB6BD5">
            <w:pPr>
              <w:spacing w:after="40"/>
              <w:rPr>
                <w:rFonts w:cs="Calibri"/>
                <w:sz w:val="17"/>
              </w:rPr>
            </w:pPr>
            <w:r w:rsidRPr="00EB6BD5">
              <w:rPr>
                <w:rFonts w:cs="Calibri"/>
                <w:sz w:val="17"/>
              </w:rPr>
              <w:t>Read and navigate distinct filtered decision-support views</w:t>
            </w:r>
          </w:p>
        </w:tc>
        <w:tc>
          <w:tcPr>
            <w:tcW w:w="1150" w:type="pct"/>
            <w:shd w:val="clear" w:color="auto" w:fill="auto"/>
            <w:tcMar>
              <w:top w:w="80" w:type="dxa"/>
              <w:left w:w="120" w:type="dxa"/>
              <w:bottom w:w="80" w:type="dxa"/>
              <w:right w:w="120" w:type="dxa"/>
            </w:tcMar>
          </w:tcPr>
          <w:p w14:paraId="718E6E1F" w14:textId="2A5609AB" w:rsidR="00EB6BD5" w:rsidRPr="00EB6BD5" w:rsidRDefault="00EB6BD5" w:rsidP="00EB6BD5">
            <w:pPr>
              <w:spacing w:after="40"/>
              <w:rPr>
                <w:rFonts w:cs="Calibri"/>
                <w:sz w:val="17"/>
              </w:rPr>
            </w:pPr>
            <w:r w:rsidRPr="00EB6BD5">
              <w:rPr>
                <w:rFonts w:cs="Calibri"/>
                <w:sz w:val="17"/>
              </w:rPr>
              <w:t>Verify reports; reveal/contact reporters; assign response; transfer lead; close incidents; edit evacuation priority</w:t>
            </w:r>
          </w:p>
        </w:tc>
      </w:tr>
      <w:tr w:rsidR="00EB6BD5" w14:paraId="1ABB8F19" w14:textId="77777777" w:rsidTr="00EB6BD5">
        <w:trPr>
          <w:cantSplit/>
        </w:trPr>
        <w:tc>
          <w:tcPr>
            <w:tcW w:w="750" w:type="pct"/>
            <w:shd w:val="clear" w:color="auto" w:fill="auto"/>
            <w:tcMar>
              <w:top w:w="80" w:type="dxa"/>
              <w:left w:w="120" w:type="dxa"/>
              <w:bottom w:w="80" w:type="dxa"/>
              <w:right w:w="120" w:type="dxa"/>
            </w:tcMar>
          </w:tcPr>
          <w:p w14:paraId="6E9D522B" w14:textId="41BDB06D" w:rsidR="00EB6BD5" w:rsidRPr="00EB6BD5" w:rsidRDefault="00EB6BD5" w:rsidP="00EB6BD5">
            <w:pPr>
              <w:spacing w:after="40"/>
              <w:rPr>
                <w:rFonts w:cs="Calibri"/>
                <w:sz w:val="17"/>
              </w:rPr>
            </w:pPr>
            <w:r w:rsidRPr="00EB6BD5">
              <w:rPr>
                <w:rFonts w:cs="Calibri"/>
                <w:sz w:val="17"/>
              </w:rPr>
              <w:t>System administrator</w:t>
            </w:r>
          </w:p>
        </w:tc>
        <w:tc>
          <w:tcPr>
            <w:tcW w:w="1550" w:type="pct"/>
            <w:shd w:val="clear" w:color="auto" w:fill="auto"/>
            <w:tcMar>
              <w:top w:w="80" w:type="dxa"/>
              <w:left w:w="120" w:type="dxa"/>
              <w:bottom w:w="80" w:type="dxa"/>
              <w:right w:w="120" w:type="dxa"/>
            </w:tcMar>
          </w:tcPr>
          <w:p w14:paraId="24662C04" w14:textId="25260E21" w:rsidR="00EB6BD5" w:rsidRPr="00EB6BD5" w:rsidRDefault="00EB6BD5" w:rsidP="00EB6BD5">
            <w:pPr>
              <w:spacing w:after="40"/>
              <w:rPr>
                <w:rFonts w:cs="Calibri"/>
                <w:sz w:val="17"/>
              </w:rPr>
            </w:pPr>
            <w:r w:rsidRPr="00EB6BD5">
              <w:rPr>
                <w:rFonts w:cs="Calibri"/>
                <w:sz w:val="17"/>
              </w:rPr>
              <w:t>Technical configuration and audit only as authorized</w:t>
            </w:r>
          </w:p>
        </w:tc>
        <w:tc>
          <w:tcPr>
            <w:tcW w:w="1550" w:type="pct"/>
            <w:shd w:val="clear" w:color="auto" w:fill="auto"/>
            <w:tcMar>
              <w:top w:w="80" w:type="dxa"/>
              <w:left w:w="120" w:type="dxa"/>
              <w:bottom w:w="80" w:type="dxa"/>
              <w:right w:w="120" w:type="dxa"/>
            </w:tcMar>
          </w:tcPr>
          <w:p w14:paraId="7EB368FF" w14:textId="3FF8DB3C" w:rsidR="00EB6BD5" w:rsidRPr="00EB6BD5" w:rsidRDefault="00EB6BD5" w:rsidP="00EB6BD5">
            <w:pPr>
              <w:spacing w:after="40"/>
              <w:rPr>
                <w:rFonts w:cs="Calibri"/>
                <w:sz w:val="17"/>
              </w:rPr>
            </w:pPr>
            <w:r w:rsidRPr="00EB6BD5">
              <w:rPr>
                <w:rFonts w:cs="Calibri"/>
                <w:sz w:val="17"/>
              </w:rPr>
              <w:t>Manage accounts and controlled catalogs under explicit policy</w:t>
            </w:r>
          </w:p>
        </w:tc>
        <w:tc>
          <w:tcPr>
            <w:tcW w:w="1150" w:type="pct"/>
            <w:shd w:val="clear" w:color="auto" w:fill="auto"/>
            <w:tcMar>
              <w:top w:w="80" w:type="dxa"/>
              <w:left w:w="120" w:type="dxa"/>
              <w:bottom w:w="80" w:type="dxa"/>
              <w:right w:w="120" w:type="dxa"/>
            </w:tcMar>
          </w:tcPr>
          <w:p w14:paraId="43CFECC8" w14:textId="48FF5F11" w:rsidR="00EB6BD5" w:rsidRPr="00EB6BD5" w:rsidRDefault="00EB6BD5" w:rsidP="00EB6BD5">
            <w:pPr>
              <w:spacing w:after="40"/>
              <w:rPr>
                <w:rFonts w:cs="Calibri"/>
                <w:sz w:val="17"/>
              </w:rPr>
            </w:pPr>
            <w:r w:rsidRPr="00EB6BD5">
              <w:rPr>
                <w:rFonts w:cs="Calibri"/>
                <w:sz w:val="17"/>
              </w:rPr>
              <w:t>Act as an operational official merely because of technical privilege</w:t>
            </w:r>
          </w:p>
        </w:tc>
      </w:tr>
    </w:tbl>
    <w:p w14:paraId="3AD4C69C" w14:textId="77777777" w:rsidR="00EB6BD5" w:rsidRDefault="00EB6BD5" w:rsidP="00EB6BD5"/>
    <w:tbl>
      <w:tblPr>
        <w:tblW w:w="9792" w:type="dxa"/>
        <w:tblBorders>
          <w:top w:val="single" w:sz="4" w:space="0" w:color="2E74B5"/>
          <w:left w:val="single" w:sz="4" w:space="0" w:color="2E74B5"/>
          <w:bottom w:val="single" w:sz="4" w:space="0" w:color="2E74B5"/>
          <w:right w:val="single" w:sz="4" w:space="0" w:color="2E74B5"/>
        </w:tblBorders>
        <w:shd w:val="clear" w:color="auto" w:fill="EAF2F8"/>
        <w:tblLayout w:type="fixed"/>
        <w:tblLook w:val="0000" w:firstRow="0" w:lastRow="0" w:firstColumn="0" w:lastColumn="0" w:noHBand="0" w:noVBand="0"/>
      </w:tblPr>
      <w:tblGrid>
        <w:gridCol w:w="9792"/>
      </w:tblGrid>
      <w:tr w:rsidR="00EB6BD5" w14:paraId="16A2283B" w14:textId="77777777" w:rsidTr="00EB6BD5">
        <w:tblPrEx>
          <w:tblCellMar>
            <w:top w:w="0" w:type="dxa"/>
            <w:bottom w:w="0" w:type="dxa"/>
          </w:tblCellMar>
        </w:tblPrEx>
        <w:tc>
          <w:tcPr>
            <w:tcW w:w="9792" w:type="dxa"/>
            <w:shd w:val="clear" w:color="auto" w:fill="EAF2F8"/>
            <w:tcMar>
              <w:top w:w="160" w:type="dxa"/>
              <w:left w:w="200" w:type="dxa"/>
              <w:bottom w:w="160" w:type="dxa"/>
              <w:right w:w="200" w:type="dxa"/>
            </w:tcMar>
          </w:tcPr>
          <w:p w14:paraId="7A2CFCBE" w14:textId="77777777" w:rsidR="00EB6BD5" w:rsidRPr="00EB6BD5" w:rsidRDefault="00EB6BD5" w:rsidP="00EB6BD5">
            <w:pPr>
              <w:spacing w:after="60"/>
              <w:rPr>
                <w:rFonts w:cs="Calibri"/>
                <w:b/>
                <w:color w:val="2E74B5"/>
                <w:sz w:val="21"/>
              </w:rPr>
            </w:pPr>
            <w:r w:rsidRPr="00EB6BD5">
              <w:rPr>
                <w:rFonts w:cs="Calibri"/>
                <w:b/>
                <w:color w:val="2E74B5"/>
                <w:sz w:val="21"/>
              </w:rPr>
              <w:t>SECURITY DESIGN</w:t>
            </w:r>
          </w:p>
          <w:p w14:paraId="4B8DB694" w14:textId="2AE906BA" w:rsidR="00EB6BD5" w:rsidRPr="00EB6BD5" w:rsidRDefault="00EB6BD5" w:rsidP="00EB6BD5">
            <w:pPr>
              <w:spacing w:after="60"/>
              <w:rPr>
                <w:rFonts w:cs="Calibri"/>
                <w:sz w:val="21"/>
              </w:rPr>
            </w:pPr>
            <w:r w:rsidRPr="00EB6BD5">
              <w:rPr>
                <w:rFonts w:cs="Calibri"/>
                <w:sz w:val="21"/>
              </w:rPr>
              <w:t>Enforce these rules in RLS, grants, and tightly scoped transactional functions. Role-aware screens and client filters are usability controls, not authorization.</w:t>
            </w:r>
          </w:p>
        </w:tc>
      </w:tr>
    </w:tbl>
    <w:p w14:paraId="75F7B2E5" w14:textId="77777777" w:rsidR="00EB6BD5" w:rsidRDefault="00EB6BD5" w:rsidP="00EB6BD5"/>
    <w:p w14:paraId="356E9F19" w14:textId="6FDA53AD" w:rsidR="00EB6BD5" w:rsidRDefault="00EB6BD5" w:rsidP="00EB6BD5">
      <w:pPr>
        <w:pStyle w:val="Heading1"/>
        <w:rPr>
          <w:b w:val="0"/>
        </w:rPr>
      </w:pPr>
      <w:bookmarkStart w:id="10" w:name="_Toc240324148"/>
      <w:r>
        <w:rPr>
          <w:b w:val="0"/>
        </w:rPr>
        <w:t>5. Application modules and change map</w:t>
      </w:r>
      <w:bookmarkEnd w:id="10"/>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1367"/>
        <w:gridCol w:w="3532"/>
        <w:gridCol w:w="4893"/>
      </w:tblGrid>
      <w:tr w:rsidR="00EB6BD5" w14:paraId="7A093A5A" w14:textId="77777777" w:rsidTr="00EB6BD5">
        <w:trPr>
          <w:cantSplit/>
        </w:trPr>
        <w:tc>
          <w:tcPr>
            <w:tcW w:w="850" w:type="pct"/>
            <w:shd w:val="clear" w:color="auto" w:fill="auto"/>
            <w:tcMar>
              <w:top w:w="80" w:type="dxa"/>
              <w:left w:w="120" w:type="dxa"/>
              <w:bottom w:w="80" w:type="dxa"/>
              <w:right w:w="120" w:type="dxa"/>
            </w:tcMar>
          </w:tcPr>
          <w:p w14:paraId="7187314D" w14:textId="0A9BF13E" w:rsidR="00EB6BD5" w:rsidRPr="00EB6BD5" w:rsidRDefault="00EB6BD5" w:rsidP="00EB6BD5">
            <w:pPr>
              <w:spacing w:after="40"/>
              <w:rPr>
                <w:rFonts w:cs="Calibri"/>
                <w:b/>
                <w:color w:val="16324F"/>
                <w:sz w:val="17"/>
              </w:rPr>
            </w:pPr>
            <w:r w:rsidRPr="00EB6BD5">
              <w:rPr>
                <w:rFonts w:cs="Calibri"/>
                <w:b/>
                <w:color w:val="16324F"/>
                <w:sz w:val="17"/>
              </w:rPr>
              <w:t>Workstream</w:t>
            </w:r>
          </w:p>
        </w:tc>
        <w:tc>
          <w:tcPr>
            <w:tcW w:w="1500" w:type="pct"/>
            <w:shd w:val="clear" w:color="auto" w:fill="auto"/>
            <w:tcMar>
              <w:top w:w="80" w:type="dxa"/>
              <w:left w:w="120" w:type="dxa"/>
              <w:bottom w:w="80" w:type="dxa"/>
              <w:right w:w="120" w:type="dxa"/>
            </w:tcMar>
          </w:tcPr>
          <w:p w14:paraId="6A7B3E39" w14:textId="1B8288E7" w:rsidR="00EB6BD5" w:rsidRPr="00EB6BD5" w:rsidRDefault="00EB6BD5" w:rsidP="00EB6BD5">
            <w:pPr>
              <w:spacing w:after="40"/>
              <w:rPr>
                <w:rFonts w:cs="Calibri"/>
                <w:b/>
                <w:color w:val="16324F"/>
                <w:sz w:val="17"/>
              </w:rPr>
            </w:pPr>
            <w:r w:rsidRPr="00EB6BD5">
              <w:rPr>
                <w:rFonts w:cs="Calibri"/>
                <w:b/>
                <w:color w:val="16324F"/>
                <w:sz w:val="17"/>
              </w:rPr>
              <w:t>Current touchpoints</w:t>
            </w:r>
          </w:p>
        </w:tc>
        <w:tc>
          <w:tcPr>
            <w:tcW w:w="2650" w:type="pct"/>
            <w:shd w:val="clear" w:color="auto" w:fill="auto"/>
            <w:tcMar>
              <w:top w:w="80" w:type="dxa"/>
              <w:left w:w="120" w:type="dxa"/>
              <w:bottom w:w="80" w:type="dxa"/>
              <w:right w:w="120" w:type="dxa"/>
            </w:tcMar>
          </w:tcPr>
          <w:p w14:paraId="150EF63D" w14:textId="79CAD44A" w:rsidR="00EB6BD5" w:rsidRPr="00EB6BD5" w:rsidRDefault="00EB6BD5" w:rsidP="00EB6BD5">
            <w:pPr>
              <w:spacing w:after="40"/>
              <w:rPr>
                <w:rFonts w:cs="Calibri"/>
                <w:b/>
                <w:color w:val="16324F"/>
                <w:sz w:val="17"/>
              </w:rPr>
            </w:pPr>
            <w:r w:rsidRPr="00EB6BD5">
              <w:rPr>
                <w:rFonts w:cs="Calibri"/>
                <w:b/>
                <w:color w:val="16324F"/>
                <w:sz w:val="17"/>
              </w:rPr>
              <w:t>Planned responsibility</w:t>
            </w:r>
          </w:p>
        </w:tc>
      </w:tr>
      <w:tr w:rsidR="00EB6BD5" w14:paraId="542917E9" w14:textId="77777777" w:rsidTr="00EB6BD5">
        <w:trPr>
          <w:cantSplit/>
        </w:trPr>
        <w:tc>
          <w:tcPr>
            <w:tcW w:w="850" w:type="pct"/>
            <w:shd w:val="clear" w:color="auto" w:fill="auto"/>
            <w:tcMar>
              <w:top w:w="80" w:type="dxa"/>
              <w:left w:w="120" w:type="dxa"/>
              <w:bottom w:w="80" w:type="dxa"/>
              <w:right w:w="120" w:type="dxa"/>
            </w:tcMar>
          </w:tcPr>
          <w:p w14:paraId="4F1097BD" w14:textId="753F1AEF" w:rsidR="00EB6BD5" w:rsidRPr="00EB6BD5" w:rsidRDefault="00EB6BD5" w:rsidP="00EB6BD5">
            <w:pPr>
              <w:spacing w:after="40"/>
              <w:rPr>
                <w:rFonts w:cs="Calibri"/>
                <w:sz w:val="17"/>
              </w:rPr>
            </w:pPr>
            <w:r w:rsidRPr="00EB6BD5">
              <w:rPr>
                <w:rFonts w:cs="Calibri"/>
                <w:sz w:val="17"/>
              </w:rPr>
              <w:t>Report domain</w:t>
            </w:r>
          </w:p>
        </w:tc>
        <w:tc>
          <w:tcPr>
            <w:tcW w:w="1500" w:type="pct"/>
            <w:shd w:val="clear" w:color="auto" w:fill="auto"/>
            <w:tcMar>
              <w:top w:w="80" w:type="dxa"/>
              <w:left w:w="120" w:type="dxa"/>
              <w:bottom w:w="80" w:type="dxa"/>
              <w:right w:w="120" w:type="dxa"/>
            </w:tcMar>
          </w:tcPr>
          <w:p w14:paraId="4A9A100A" w14:textId="10F92D00" w:rsidR="00EB6BD5" w:rsidRPr="00EB6BD5" w:rsidRDefault="00EB6BD5" w:rsidP="00EB6BD5">
            <w:pPr>
              <w:spacing w:after="40"/>
              <w:rPr>
                <w:rFonts w:cs="Calibri"/>
                <w:sz w:val="17"/>
              </w:rPr>
            </w:pPr>
            <w:r w:rsidRPr="00EB6BD5">
              <w:rPr>
                <w:rFonts w:cs="Calibri"/>
                <w:sz w:val="17"/>
              </w:rPr>
              <w:t>lib/reports.ts; lib/officialReports.ts; create-report and create-official-report functions</w:t>
            </w:r>
          </w:p>
        </w:tc>
        <w:tc>
          <w:tcPr>
            <w:tcW w:w="2650" w:type="pct"/>
            <w:shd w:val="clear" w:color="auto" w:fill="auto"/>
            <w:tcMar>
              <w:top w:w="80" w:type="dxa"/>
              <w:left w:w="120" w:type="dxa"/>
              <w:bottom w:w="80" w:type="dxa"/>
              <w:right w:w="120" w:type="dxa"/>
            </w:tcMar>
          </w:tcPr>
          <w:p w14:paraId="13663C6F" w14:textId="42401B50" w:rsidR="00EB6BD5" w:rsidRPr="00EB6BD5" w:rsidRDefault="00EB6BD5" w:rsidP="00EB6BD5">
            <w:pPr>
              <w:spacing w:after="40"/>
              <w:rPr>
                <w:rFonts w:cs="Calibri"/>
                <w:sz w:val="17"/>
              </w:rPr>
            </w:pPr>
            <w:r w:rsidRPr="00EB6BD5">
              <w:rPr>
                <w:rFonts w:cs="Calibri"/>
                <w:sz w:val="17"/>
              </w:rPr>
              <w:t>Separate submission/read models from review commands; preserve idempotent resident creation; official submissions may create confirmed incidents only under authorized policy.</w:t>
            </w:r>
          </w:p>
        </w:tc>
      </w:tr>
      <w:tr w:rsidR="00EB6BD5" w14:paraId="4FB3555A" w14:textId="77777777" w:rsidTr="00EB6BD5">
        <w:trPr>
          <w:cantSplit/>
        </w:trPr>
        <w:tc>
          <w:tcPr>
            <w:tcW w:w="850" w:type="pct"/>
            <w:shd w:val="clear" w:color="auto" w:fill="auto"/>
            <w:tcMar>
              <w:top w:w="80" w:type="dxa"/>
              <w:left w:w="120" w:type="dxa"/>
              <w:bottom w:w="80" w:type="dxa"/>
              <w:right w:w="120" w:type="dxa"/>
            </w:tcMar>
          </w:tcPr>
          <w:p w14:paraId="47871837" w14:textId="30649C63" w:rsidR="00EB6BD5" w:rsidRPr="00EB6BD5" w:rsidRDefault="00EB6BD5" w:rsidP="00EB6BD5">
            <w:pPr>
              <w:spacing w:after="40"/>
              <w:rPr>
                <w:rFonts w:cs="Calibri"/>
                <w:sz w:val="17"/>
              </w:rPr>
            </w:pPr>
            <w:r w:rsidRPr="00EB6BD5">
              <w:rPr>
                <w:rFonts w:cs="Calibri"/>
                <w:sz w:val="17"/>
              </w:rPr>
              <w:t>Official review</w:t>
            </w:r>
          </w:p>
        </w:tc>
        <w:tc>
          <w:tcPr>
            <w:tcW w:w="1500" w:type="pct"/>
            <w:shd w:val="clear" w:color="auto" w:fill="auto"/>
            <w:tcMar>
              <w:top w:w="80" w:type="dxa"/>
              <w:left w:w="120" w:type="dxa"/>
              <w:bottom w:w="80" w:type="dxa"/>
              <w:right w:w="120" w:type="dxa"/>
            </w:tcMar>
          </w:tcPr>
          <w:p w14:paraId="24B8D644" w14:textId="1ED05104" w:rsidR="00EB6BD5" w:rsidRPr="00EB6BD5" w:rsidRDefault="00EB6BD5" w:rsidP="00EB6BD5">
            <w:pPr>
              <w:spacing w:after="40"/>
              <w:rPr>
                <w:rFonts w:cs="Calibri"/>
                <w:sz w:val="17"/>
              </w:rPr>
            </w:pPr>
            <w:r w:rsidRPr="00EB6BD5">
              <w:rPr>
                <w:rFonts w:cs="Calibri"/>
                <w:sz w:val="17"/>
              </w:rPr>
              <w:t>app/official/[id].tsx; hooks/useOfficialReportDetail.ts</w:t>
            </w:r>
          </w:p>
        </w:tc>
        <w:tc>
          <w:tcPr>
            <w:tcW w:w="2650" w:type="pct"/>
            <w:shd w:val="clear" w:color="auto" w:fill="auto"/>
            <w:tcMar>
              <w:top w:w="80" w:type="dxa"/>
              <w:left w:w="120" w:type="dxa"/>
              <w:bottom w:w="80" w:type="dxa"/>
              <w:right w:w="120" w:type="dxa"/>
            </w:tcMar>
          </w:tcPr>
          <w:p w14:paraId="6200B1D6" w14:textId="38C0D222" w:rsidR="00EB6BD5" w:rsidRPr="00EB6BD5" w:rsidRDefault="00EB6BD5" w:rsidP="00EB6BD5">
            <w:pPr>
              <w:spacing w:after="40"/>
              <w:rPr>
                <w:rFonts w:cs="Calibri"/>
                <w:sz w:val="17"/>
              </w:rPr>
            </w:pPr>
            <w:r w:rsidRPr="00EB6BD5">
              <w:rPr>
                <w:rFonts w:cs="Calibri"/>
                <w:sz w:val="17"/>
              </w:rPr>
              <w:t>Evidence-first review; candidate matches; decision form; contact reason/outcome; no automatic phone requirement.</w:t>
            </w:r>
          </w:p>
        </w:tc>
      </w:tr>
      <w:tr w:rsidR="00EB6BD5" w14:paraId="13CC810A" w14:textId="77777777" w:rsidTr="00EB6BD5">
        <w:trPr>
          <w:cantSplit/>
        </w:trPr>
        <w:tc>
          <w:tcPr>
            <w:tcW w:w="850" w:type="pct"/>
            <w:shd w:val="clear" w:color="auto" w:fill="auto"/>
            <w:tcMar>
              <w:top w:w="80" w:type="dxa"/>
              <w:left w:w="120" w:type="dxa"/>
              <w:bottom w:w="80" w:type="dxa"/>
              <w:right w:w="120" w:type="dxa"/>
            </w:tcMar>
          </w:tcPr>
          <w:p w14:paraId="2DDE4C24" w14:textId="584A275C" w:rsidR="00EB6BD5" w:rsidRPr="00EB6BD5" w:rsidRDefault="00EB6BD5" w:rsidP="00EB6BD5">
            <w:pPr>
              <w:spacing w:after="40"/>
              <w:rPr>
                <w:rFonts w:cs="Calibri"/>
                <w:sz w:val="17"/>
              </w:rPr>
            </w:pPr>
            <w:r w:rsidRPr="00EB6BD5">
              <w:rPr>
                <w:rFonts w:cs="Calibri"/>
                <w:sz w:val="17"/>
              </w:rPr>
              <w:t>Incident cases</w:t>
            </w:r>
          </w:p>
        </w:tc>
        <w:tc>
          <w:tcPr>
            <w:tcW w:w="1500" w:type="pct"/>
            <w:shd w:val="clear" w:color="auto" w:fill="auto"/>
            <w:tcMar>
              <w:top w:w="80" w:type="dxa"/>
              <w:left w:w="120" w:type="dxa"/>
              <w:bottom w:w="80" w:type="dxa"/>
              <w:right w:w="120" w:type="dxa"/>
            </w:tcMar>
          </w:tcPr>
          <w:p w14:paraId="441BD0E0" w14:textId="2FD4D96D" w:rsidR="00EB6BD5" w:rsidRPr="00EB6BD5" w:rsidRDefault="00EB6BD5" w:rsidP="00EB6BD5">
            <w:pPr>
              <w:spacing w:after="40"/>
              <w:rPr>
                <w:rFonts w:cs="Calibri"/>
                <w:sz w:val="17"/>
              </w:rPr>
            </w:pPr>
            <w:r w:rsidRPr="00EB6BD5">
              <w:rPr>
                <w:rFonts w:cs="Calibri"/>
                <w:sz w:val="17"/>
              </w:rPr>
              <w:t>app/official/incidents.tsx currently represents reports</w:t>
            </w:r>
          </w:p>
        </w:tc>
        <w:tc>
          <w:tcPr>
            <w:tcW w:w="2650" w:type="pct"/>
            <w:shd w:val="clear" w:color="auto" w:fill="auto"/>
            <w:tcMar>
              <w:top w:w="80" w:type="dxa"/>
              <w:left w:w="120" w:type="dxa"/>
              <w:bottom w:w="80" w:type="dxa"/>
              <w:right w:w="120" w:type="dxa"/>
            </w:tcMar>
          </w:tcPr>
          <w:p w14:paraId="7A290C5F" w14:textId="13A5FEBF" w:rsidR="00EB6BD5" w:rsidRPr="00EB6BD5" w:rsidRDefault="00EB6BD5" w:rsidP="00EB6BD5">
            <w:pPr>
              <w:spacing w:after="40"/>
              <w:rPr>
                <w:rFonts w:cs="Calibri"/>
                <w:sz w:val="17"/>
              </w:rPr>
            </w:pPr>
            <w:r w:rsidRPr="00EB6BD5">
              <w:rPr>
                <w:rFonts w:cs="Calibri"/>
                <w:sz w:val="17"/>
              </w:rPr>
              <w:t>Incident list/detail, owner, lead, priority, reports/evidence, actions, units, support, timeline, closure, and reopen.</w:t>
            </w:r>
          </w:p>
        </w:tc>
      </w:tr>
      <w:tr w:rsidR="00EB6BD5" w14:paraId="0AF114B4" w14:textId="77777777" w:rsidTr="00EB6BD5">
        <w:trPr>
          <w:cantSplit/>
        </w:trPr>
        <w:tc>
          <w:tcPr>
            <w:tcW w:w="850" w:type="pct"/>
            <w:shd w:val="clear" w:color="auto" w:fill="auto"/>
            <w:tcMar>
              <w:top w:w="80" w:type="dxa"/>
              <w:left w:w="120" w:type="dxa"/>
              <w:bottom w:w="80" w:type="dxa"/>
              <w:right w:w="120" w:type="dxa"/>
            </w:tcMar>
          </w:tcPr>
          <w:p w14:paraId="277F1F19" w14:textId="622A9830" w:rsidR="00EB6BD5" w:rsidRPr="00EB6BD5" w:rsidRDefault="00EB6BD5" w:rsidP="00EB6BD5">
            <w:pPr>
              <w:spacing w:after="40"/>
              <w:rPr>
                <w:rFonts w:cs="Calibri"/>
                <w:sz w:val="17"/>
              </w:rPr>
            </w:pPr>
            <w:r w:rsidRPr="00EB6BD5">
              <w:rPr>
                <w:rFonts w:cs="Calibri"/>
                <w:sz w:val="17"/>
              </w:rPr>
              <w:t>Needs Action / My Work</w:t>
            </w:r>
          </w:p>
        </w:tc>
        <w:tc>
          <w:tcPr>
            <w:tcW w:w="1500" w:type="pct"/>
            <w:shd w:val="clear" w:color="auto" w:fill="auto"/>
            <w:tcMar>
              <w:top w:w="80" w:type="dxa"/>
              <w:left w:w="120" w:type="dxa"/>
              <w:bottom w:w="80" w:type="dxa"/>
              <w:right w:w="120" w:type="dxa"/>
            </w:tcMar>
          </w:tcPr>
          <w:p w14:paraId="52D8B9FA" w14:textId="171D4920" w:rsidR="00EB6BD5" w:rsidRPr="00EB6BD5" w:rsidRDefault="00EB6BD5" w:rsidP="00EB6BD5">
            <w:pPr>
              <w:spacing w:after="40"/>
              <w:rPr>
                <w:rFonts w:cs="Calibri"/>
                <w:sz w:val="17"/>
              </w:rPr>
            </w:pPr>
            <w:r w:rsidRPr="00EB6BD5">
              <w:rPr>
                <w:rFonts w:cs="Calibri"/>
                <w:sz w:val="17"/>
              </w:rPr>
              <w:t>Official dashboards and status cards</w:t>
            </w:r>
          </w:p>
        </w:tc>
        <w:tc>
          <w:tcPr>
            <w:tcW w:w="2650" w:type="pct"/>
            <w:shd w:val="clear" w:color="auto" w:fill="auto"/>
            <w:tcMar>
              <w:top w:w="80" w:type="dxa"/>
              <w:left w:w="120" w:type="dxa"/>
              <w:bottom w:w="80" w:type="dxa"/>
              <w:right w:w="120" w:type="dxa"/>
            </w:tcMar>
          </w:tcPr>
          <w:p w14:paraId="5F6398FD" w14:textId="598B0260" w:rsidR="00EB6BD5" w:rsidRPr="00EB6BD5" w:rsidRDefault="00EB6BD5" w:rsidP="00EB6BD5">
            <w:pPr>
              <w:spacing w:after="40"/>
              <w:rPr>
                <w:rFonts w:cs="Calibri"/>
                <w:sz w:val="17"/>
              </w:rPr>
            </w:pPr>
            <w:r w:rsidRPr="00EB6BD5">
              <w:rPr>
                <w:rFonts w:cs="Calibri"/>
                <w:sz w:val="17"/>
              </w:rPr>
              <w:t>Actionable queues: needs review, assessment required, no unit, stale update, support acknowledgement, ready for closure. Status cards become secondary.</w:t>
            </w:r>
          </w:p>
        </w:tc>
      </w:tr>
      <w:tr w:rsidR="00EB6BD5" w14:paraId="7B943C52" w14:textId="77777777" w:rsidTr="00EB6BD5">
        <w:trPr>
          <w:cantSplit/>
        </w:trPr>
        <w:tc>
          <w:tcPr>
            <w:tcW w:w="850" w:type="pct"/>
            <w:shd w:val="clear" w:color="auto" w:fill="auto"/>
            <w:tcMar>
              <w:top w:w="80" w:type="dxa"/>
              <w:left w:w="120" w:type="dxa"/>
              <w:bottom w:w="80" w:type="dxa"/>
              <w:right w:w="120" w:type="dxa"/>
            </w:tcMar>
          </w:tcPr>
          <w:p w14:paraId="5DB3FB5B" w14:textId="44E70E17" w:rsidR="00EB6BD5" w:rsidRPr="00EB6BD5" w:rsidRDefault="00EB6BD5" w:rsidP="00EB6BD5">
            <w:pPr>
              <w:spacing w:after="40"/>
              <w:rPr>
                <w:rFonts w:cs="Calibri"/>
                <w:sz w:val="17"/>
              </w:rPr>
            </w:pPr>
            <w:r w:rsidRPr="00EB6BD5">
              <w:rPr>
                <w:rFonts w:cs="Calibri"/>
                <w:sz w:val="17"/>
              </w:rPr>
              <w:t>Maps</w:t>
            </w:r>
          </w:p>
        </w:tc>
        <w:tc>
          <w:tcPr>
            <w:tcW w:w="1500" w:type="pct"/>
            <w:shd w:val="clear" w:color="auto" w:fill="auto"/>
            <w:tcMar>
              <w:top w:w="80" w:type="dxa"/>
              <w:left w:w="120" w:type="dxa"/>
              <w:bottom w:w="80" w:type="dxa"/>
              <w:right w:w="120" w:type="dxa"/>
            </w:tcMar>
          </w:tcPr>
          <w:p w14:paraId="5CBEB437" w14:textId="6F1473CD" w:rsidR="00EB6BD5" w:rsidRPr="00EB6BD5" w:rsidRDefault="00EB6BD5" w:rsidP="00EB6BD5">
            <w:pPr>
              <w:spacing w:after="40"/>
              <w:rPr>
                <w:rFonts w:cs="Calibri"/>
                <w:sz w:val="17"/>
              </w:rPr>
            </w:pPr>
            <w:r w:rsidRPr="00EB6BD5">
              <w:rPr>
                <w:rFonts w:cs="Calibri"/>
                <w:sz w:val="17"/>
              </w:rPr>
              <w:t>lib/reports.ts; lib/mapRolePolicy.ts; resident and official map routes</w:t>
            </w:r>
          </w:p>
        </w:tc>
        <w:tc>
          <w:tcPr>
            <w:tcW w:w="2650" w:type="pct"/>
            <w:shd w:val="clear" w:color="auto" w:fill="auto"/>
            <w:tcMar>
              <w:top w:w="80" w:type="dxa"/>
              <w:left w:w="120" w:type="dxa"/>
              <w:bottom w:w="80" w:type="dxa"/>
              <w:right w:w="120" w:type="dxa"/>
            </w:tcMar>
          </w:tcPr>
          <w:p w14:paraId="1B1479E0" w14:textId="7EAB6B71" w:rsidR="00EB6BD5" w:rsidRPr="00EB6BD5" w:rsidRDefault="00EB6BD5" w:rsidP="00EB6BD5">
            <w:pPr>
              <w:spacing w:after="40"/>
              <w:rPr>
                <w:rFonts w:cs="Calibri"/>
                <w:sz w:val="17"/>
              </w:rPr>
            </w:pPr>
            <w:r w:rsidRPr="00EB6BD5">
              <w:rPr>
                <w:rFonts w:cs="Calibri"/>
                <w:sz w:val="17"/>
              </w:rPr>
              <w:t>Separate secure projections for reporter-own pending reports, official triage, confirmed public incidents, and optional community reports.</w:t>
            </w:r>
          </w:p>
        </w:tc>
      </w:tr>
      <w:tr w:rsidR="00EB6BD5" w14:paraId="08E07849" w14:textId="77777777" w:rsidTr="00EB6BD5">
        <w:trPr>
          <w:cantSplit/>
        </w:trPr>
        <w:tc>
          <w:tcPr>
            <w:tcW w:w="850" w:type="pct"/>
            <w:shd w:val="clear" w:color="auto" w:fill="auto"/>
            <w:tcMar>
              <w:top w:w="80" w:type="dxa"/>
              <w:left w:w="120" w:type="dxa"/>
              <w:bottom w:w="80" w:type="dxa"/>
              <w:right w:w="120" w:type="dxa"/>
            </w:tcMar>
          </w:tcPr>
          <w:p w14:paraId="00DB0D9B" w14:textId="1145C484" w:rsidR="00EB6BD5" w:rsidRPr="00EB6BD5" w:rsidRDefault="00EB6BD5" w:rsidP="00EB6BD5">
            <w:pPr>
              <w:spacing w:after="40"/>
              <w:rPr>
                <w:rFonts w:cs="Calibri"/>
                <w:sz w:val="17"/>
              </w:rPr>
            </w:pPr>
            <w:r w:rsidRPr="00EB6BD5">
              <w:rPr>
                <w:rFonts w:cs="Calibri"/>
                <w:sz w:val="17"/>
              </w:rPr>
              <w:t>Resident lifecycle</w:t>
            </w:r>
          </w:p>
        </w:tc>
        <w:tc>
          <w:tcPr>
            <w:tcW w:w="1500" w:type="pct"/>
            <w:shd w:val="clear" w:color="auto" w:fill="auto"/>
            <w:tcMar>
              <w:top w:w="80" w:type="dxa"/>
              <w:left w:w="120" w:type="dxa"/>
              <w:bottom w:w="80" w:type="dxa"/>
              <w:right w:w="120" w:type="dxa"/>
            </w:tcMar>
          </w:tcPr>
          <w:p w14:paraId="6EA59181" w14:textId="3C90B62C" w:rsidR="00EB6BD5" w:rsidRPr="00EB6BD5" w:rsidRDefault="00EB6BD5" w:rsidP="00EB6BD5">
            <w:pPr>
              <w:spacing w:after="40"/>
              <w:rPr>
                <w:rFonts w:cs="Calibri"/>
                <w:sz w:val="17"/>
              </w:rPr>
            </w:pPr>
            <w:r w:rsidRPr="00EB6BD5">
              <w:rPr>
                <w:rFonts w:cs="Calibri"/>
                <w:sz w:val="17"/>
              </w:rPr>
              <w:t>home/feed, contributions panel, report SuccessStep, queue/flush</w:t>
            </w:r>
          </w:p>
        </w:tc>
        <w:tc>
          <w:tcPr>
            <w:tcW w:w="2650" w:type="pct"/>
            <w:shd w:val="clear" w:color="auto" w:fill="auto"/>
            <w:tcMar>
              <w:top w:w="80" w:type="dxa"/>
              <w:left w:w="120" w:type="dxa"/>
              <w:bottom w:w="80" w:type="dxa"/>
              <w:right w:w="120" w:type="dxa"/>
            </w:tcMar>
          </w:tcPr>
          <w:p w14:paraId="60CBE36B" w14:textId="16A994FF" w:rsidR="00EB6BD5" w:rsidRPr="00EB6BD5" w:rsidRDefault="00EB6BD5" w:rsidP="00EB6BD5">
            <w:pPr>
              <w:spacing w:after="40"/>
              <w:rPr>
                <w:rFonts w:cs="Calibri"/>
                <w:sz w:val="17"/>
              </w:rPr>
            </w:pPr>
            <w:r w:rsidRPr="00EB6BD5">
              <w:rPr>
                <w:rFonts w:cs="Calibri"/>
                <w:sz w:val="17"/>
              </w:rPr>
              <w:t>Submitted -&gt; Under Review -&gt; Being assessed/Confirmed -&gt; Response Ongoing -&gt; Resolved; contextual public updates; retain queue unchanged except mapping to new server objects.</w:t>
            </w:r>
          </w:p>
        </w:tc>
      </w:tr>
      <w:tr w:rsidR="00EB6BD5" w14:paraId="55AD04D5" w14:textId="77777777" w:rsidTr="00EB6BD5">
        <w:trPr>
          <w:cantSplit/>
        </w:trPr>
        <w:tc>
          <w:tcPr>
            <w:tcW w:w="850" w:type="pct"/>
            <w:shd w:val="clear" w:color="auto" w:fill="auto"/>
            <w:tcMar>
              <w:top w:w="80" w:type="dxa"/>
              <w:left w:w="120" w:type="dxa"/>
              <w:bottom w:w="80" w:type="dxa"/>
              <w:right w:w="120" w:type="dxa"/>
            </w:tcMar>
          </w:tcPr>
          <w:p w14:paraId="26733807" w14:textId="02C5BA68" w:rsidR="00EB6BD5" w:rsidRPr="00EB6BD5" w:rsidRDefault="00EB6BD5" w:rsidP="00EB6BD5">
            <w:pPr>
              <w:spacing w:after="40"/>
              <w:rPr>
                <w:rFonts w:cs="Calibri"/>
                <w:sz w:val="17"/>
              </w:rPr>
            </w:pPr>
            <w:r w:rsidRPr="00EB6BD5">
              <w:rPr>
                <w:rFonts w:cs="Calibri"/>
                <w:sz w:val="17"/>
              </w:rPr>
              <w:t>Community</w:t>
            </w:r>
          </w:p>
        </w:tc>
        <w:tc>
          <w:tcPr>
            <w:tcW w:w="1500" w:type="pct"/>
            <w:shd w:val="clear" w:color="auto" w:fill="auto"/>
            <w:tcMar>
              <w:top w:w="80" w:type="dxa"/>
              <w:left w:w="120" w:type="dxa"/>
              <w:bottom w:w="80" w:type="dxa"/>
              <w:right w:w="120" w:type="dxa"/>
            </w:tcMar>
          </w:tcPr>
          <w:p w14:paraId="2D391E2A" w14:textId="768CCAFF" w:rsidR="00EB6BD5" w:rsidRPr="00EB6BD5" w:rsidRDefault="00EB6BD5" w:rsidP="00EB6BD5">
            <w:pPr>
              <w:spacing w:after="40"/>
              <w:rPr>
                <w:rFonts w:cs="Calibri"/>
                <w:sz w:val="17"/>
              </w:rPr>
            </w:pPr>
            <w:r w:rsidRPr="00EB6BD5">
              <w:rPr>
                <w:rFonts w:cs="Calibri"/>
                <w:sz w:val="17"/>
              </w:rPr>
              <w:t>comments/replies/report_upvotes and Community screens</w:t>
            </w:r>
          </w:p>
        </w:tc>
        <w:tc>
          <w:tcPr>
            <w:tcW w:w="2650" w:type="pct"/>
            <w:shd w:val="clear" w:color="auto" w:fill="auto"/>
            <w:tcMar>
              <w:top w:w="80" w:type="dxa"/>
              <w:left w:w="120" w:type="dxa"/>
              <w:bottom w:w="80" w:type="dxa"/>
              <w:right w:w="120" w:type="dxa"/>
            </w:tcMar>
          </w:tcPr>
          <w:p w14:paraId="0346FEE3" w14:textId="125480B8" w:rsidR="00EB6BD5" w:rsidRPr="00EB6BD5" w:rsidRDefault="00EB6BD5" w:rsidP="00EB6BD5">
            <w:pPr>
              <w:spacing w:after="40"/>
              <w:rPr>
                <w:rFonts w:cs="Calibri"/>
                <w:sz w:val="17"/>
              </w:rPr>
            </w:pPr>
            <w:r w:rsidRPr="00EB6BD5">
              <w:rPr>
                <w:rFonts w:cs="Calibri"/>
                <w:sz w:val="17"/>
              </w:rPr>
              <w:t>Keep discussion separate. Replace report upvote semantics with a real confirmation record; retain normal reactions for announcements.</w:t>
            </w:r>
          </w:p>
        </w:tc>
      </w:tr>
      <w:tr w:rsidR="00EB6BD5" w14:paraId="1B99F9D6" w14:textId="77777777" w:rsidTr="00EB6BD5">
        <w:trPr>
          <w:cantSplit/>
        </w:trPr>
        <w:tc>
          <w:tcPr>
            <w:tcW w:w="850" w:type="pct"/>
            <w:shd w:val="clear" w:color="auto" w:fill="auto"/>
            <w:tcMar>
              <w:top w:w="80" w:type="dxa"/>
              <w:left w:w="120" w:type="dxa"/>
              <w:bottom w:w="80" w:type="dxa"/>
              <w:right w:w="120" w:type="dxa"/>
            </w:tcMar>
          </w:tcPr>
          <w:p w14:paraId="699F4C53" w14:textId="4EDAC26C" w:rsidR="00EB6BD5" w:rsidRPr="00EB6BD5" w:rsidRDefault="00EB6BD5" w:rsidP="00EB6BD5">
            <w:pPr>
              <w:spacing w:after="40"/>
              <w:rPr>
                <w:rFonts w:cs="Calibri"/>
                <w:sz w:val="17"/>
              </w:rPr>
            </w:pPr>
            <w:r w:rsidRPr="00EB6BD5">
              <w:rPr>
                <w:rFonts w:cs="Calibri"/>
                <w:sz w:val="17"/>
              </w:rPr>
              <w:t>Mayor</w:t>
            </w:r>
          </w:p>
        </w:tc>
        <w:tc>
          <w:tcPr>
            <w:tcW w:w="1500" w:type="pct"/>
            <w:shd w:val="clear" w:color="auto" w:fill="auto"/>
            <w:tcMar>
              <w:top w:w="80" w:type="dxa"/>
              <w:left w:w="120" w:type="dxa"/>
              <w:bottom w:w="80" w:type="dxa"/>
              <w:right w:w="120" w:type="dxa"/>
            </w:tcMar>
          </w:tcPr>
          <w:p w14:paraId="1F40010B" w14:textId="39619030" w:rsidR="00EB6BD5" w:rsidRPr="00EB6BD5" w:rsidRDefault="00EB6BD5" w:rsidP="00EB6BD5">
            <w:pPr>
              <w:spacing w:after="40"/>
              <w:rPr>
                <w:rFonts w:cs="Calibri"/>
                <w:sz w:val="17"/>
              </w:rPr>
            </w:pPr>
            <w:r w:rsidRPr="00EB6BD5">
              <w:rPr>
                <w:rFonts w:cs="Calibri"/>
                <w:sz w:val="17"/>
              </w:rPr>
              <w:t>MayorDashboard; MayorSituations; official map</w:t>
            </w:r>
          </w:p>
        </w:tc>
        <w:tc>
          <w:tcPr>
            <w:tcW w:w="2650" w:type="pct"/>
            <w:shd w:val="clear" w:color="auto" w:fill="auto"/>
            <w:tcMar>
              <w:top w:w="80" w:type="dxa"/>
              <w:left w:w="120" w:type="dxa"/>
              <w:bottom w:w="80" w:type="dxa"/>
              <w:right w:w="120" w:type="dxa"/>
            </w:tcMar>
          </w:tcPr>
          <w:p w14:paraId="7574C441" w14:textId="6EE54AF1" w:rsidR="00EB6BD5" w:rsidRPr="00EB6BD5" w:rsidRDefault="00EB6BD5" w:rsidP="00EB6BD5">
            <w:pPr>
              <w:spacing w:after="40"/>
              <w:rPr>
                <w:rFonts w:cs="Calibri"/>
                <w:sz w:val="17"/>
              </w:rPr>
            </w:pPr>
            <w:r w:rsidRPr="00EB6BD5">
              <w:rPr>
                <w:rFonts w:cs="Calibri"/>
                <w:sz w:val="17"/>
              </w:rPr>
              <w:t>Confirmed operational picture, distinct filtered shortcuts, no mutation controls, aggregated pending awareness only.</w:t>
            </w:r>
          </w:p>
        </w:tc>
      </w:tr>
      <w:tr w:rsidR="00EB6BD5" w14:paraId="1FC635F5" w14:textId="77777777" w:rsidTr="00EB6BD5">
        <w:trPr>
          <w:cantSplit/>
        </w:trPr>
        <w:tc>
          <w:tcPr>
            <w:tcW w:w="850" w:type="pct"/>
            <w:shd w:val="clear" w:color="auto" w:fill="auto"/>
            <w:tcMar>
              <w:top w:w="80" w:type="dxa"/>
              <w:left w:w="120" w:type="dxa"/>
              <w:bottom w:w="80" w:type="dxa"/>
              <w:right w:w="120" w:type="dxa"/>
            </w:tcMar>
          </w:tcPr>
          <w:p w14:paraId="7D1242E8" w14:textId="6D78E0A8" w:rsidR="00EB6BD5" w:rsidRPr="00EB6BD5" w:rsidRDefault="00EB6BD5" w:rsidP="00EB6BD5">
            <w:pPr>
              <w:spacing w:after="40"/>
              <w:rPr>
                <w:rFonts w:cs="Calibri"/>
                <w:sz w:val="17"/>
              </w:rPr>
            </w:pPr>
            <w:r w:rsidRPr="00EB6BD5">
              <w:rPr>
                <w:rFonts w:cs="Calibri"/>
                <w:sz w:val="17"/>
              </w:rPr>
              <w:lastRenderedPageBreak/>
              <w:t>Resources</w:t>
            </w:r>
          </w:p>
        </w:tc>
        <w:tc>
          <w:tcPr>
            <w:tcW w:w="1500" w:type="pct"/>
            <w:shd w:val="clear" w:color="auto" w:fill="auto"/>
            <w:tcMar>
              <w:top w:w="80" w:type="dxa"/>
              <w:left w:w="120" w:type="dxa"/>
              <w:bottom w:w="80" w:type="dxa"/>
              <w:right w:w="120" w:type="dxa"/>
            </w:tcMar>
          </w:tcPr>
          <w:p w14:paraId="409DB904" w14:textId="514F7674" w:rsidR="00EB6BD5" w:rsidRPr="00EB6BD5" w:rsidRDefault="00EB6BD5" w:rsidP="00EB6BD5">
            <w:pPr>
              <w:spacing w:after="40"/>
              <w:rPr>
                <w:rFonts w:cs="Calibri"/>
                <w:sz w:val="17"/>
              </w:rPr>
            </w:pPr>
            <w:r w:rsidRPr="00EB6BD5">
              <w:rPr>
                <w:rFonts w:cs="Calibri"/>
                <w:sz w:val="17"/>
              </w:rPr>
              <w:t>official Community/Resources switch; resources route; evacuation center policies</w:t>
            </w:r>
          </w:p>
        </w:tc>
        <w:tc>
          <w:tcPr>
            <w:tcW w:w="2650" w:type="pct"/>
            <w:shd w:val="clear" w:color="auto" w:fill="auto"/>
            <w:tcMar>
              <w:top w:w="80" w:type="dxa"/>
              <w:left w:w="120" w:type="dxa"/>
              <w:bottom w:w="80" w:type="dxa"/>
              <w:right w:w="120" w:type="dxa"/>
            </w:tcMar>
          </w:tcPr>
          <w:p w14:paraId="7DCF964E" w14:textId="70802FDB" w:rsidR="00EB6BD5" w:rsidRPr="00EB6BD5" w:rsidRDefault="00EB6BD5" w:rsidP="00EB6BD5">
            <w:pPr>
              <w:spacing w:after="40"/>
              <w:rPr>
                <w:rFonts w:cs="Calibri"/>
                <w:sz w:val="17"/>
              </w:rPr>
            </w:pPr>
            <w:r w:rsidRPr="00EB6BD5">
              <w:rPr>
                <w:rFonts w:cs="Calibri"/>
                <w:sz w:val="17"/>
              </w:rPr>
              <w:t>Move to More or dedicated Resources destination. MDRRMO controls structure; BDRRMO updates local state, occupancy, and notes; Mayor is read-only.</w:t>
            </w:r>
          </w:p>
        </w:tc>
      </w:tr>
      <w:tr w:rsidR="00EB6BD5" w14:paraId="6AE5BD4C" w14:textId="77777777" w:rsidTr="00EB6BD5">
        <w:trPr>
          <w:cantSplit/>
        </w:trPr>
        <w:tc>
          <w:tcPr>
            <w:tcW w:w="850" w:type="pct"/>
            <w:shd w:val="clear" w:color="auto" w:fill="auto"/>
            <w:tcMar>
              <w:top w:w="80" w:type="dxa"/>
              <w:left w:w="120" w:type="dxa"/>
              <w:bottom w:w="80" w:type="dxa"/>
              <w:right w:w="120" w:type="dxa"/>
            </w:tcMar>
          </w:tcPr>
          <w:p w14:paraId="1210C928" w14:textId="00B8DE19" w:rsidR="00EB6BD5" w:rsidRPr="00EB6BD5" w:rsidRDefault="00EB6BD5" w:rsidP="00EB6BD5">
            <w:pPr>
              <w:spacing w:after="40"/>
              <w:rPr>
                <w:rFonts w:cs="Calibri"/>
                <w:sz w:val="17"/>
              </w:rPr>
            </w:pPr>
            <w:r w:rsidRPr="00EB6BD5">
              <w:rPr>
                <w:rFonts w:cs="Calibri"/>
                <w:sz w:val="17"/>
              </w:rPr>
              <w:t>Supabase security</w:t>
            </w:r>
          </w:p>
        </w:tc>
        <w:tc>
          <w:tcPr>
            <w:tcW w:w="1500" w:type="pct"/>
            <w:shd w:val="clear" w:color="auto" w:fill="auto"/>
            <w:tcMar>
              <w:top w:w="80" w:type="dxa"/>
              <w:left w:w="120" w:type="dxa"/>
              <w:bottom w:w="80" w:type="dxa"/>
              <w:right w:w="120" w:type="dxa"/>
            </w:tcMar>
          </w:tcPr>
          <w:p w14:paraId="2901AC25" w14:textId="4F2D0A2C" w:rsidR="00EB6BD5" w:rsidRPr="00EB6BD5" w:rsidRDefault="00EB6BD5" w:rsidP="00EB6BD5">
            <w:pPr>
              <w:spacing w:after="40"/>
              <w:rPr>
                <w:rFonts w:cs="Calibri"/>
                <w:sz w:val="17"/>
              </w:rPr>
            </w:pPr>
            <w:r w:rsidRPr="00EB6BD5">
              <w:rPr>
                <w:rFonts w:cs="Calibri"/>
                <w:sz w:val="17"/>
              </w:rPr>
              <w:t>Migrations, views/RPCs, supabase/tests/active_profile_authorization.sql</w:t>
            </w:r>
          </w:p>
        </w:tc>
        <w:tc>
          <w:tcPr>
            <w:tcW w:w="2650" w:type="pct"/>
            <w:shd w:val="clear" w:color="auto" w:fill="auto"/>
            <w:tcMar>
              <w:top w:w="80" w:type="dxa"/>
              <w:left w:w="120" w:type="dxa"/>
              <w:bottom w:w="80" w:type="dxa"/>
              <w:right w:w="120" w:type="dxa"/>
            </w:tcMar>
          </w:tcPr>
          <w:p w14:paraId="4035CC27" w14:textId="0DEC1075" w:rsidR="00EB6BD5" w:rsidRPr="00EB6BD5" w:rsidRDefault="00EB6BD5" w:rsidP="00EB6BD5">
            <w:pPr>
              <w:spacing w:after="40"/>
              <w:rPr>
                <w:rFonts w:cs="Calibri"/>
                <w:sz w:val="17"/>
              </w:rPr>
            </w:pPr>
            <w:r w:rsidRPr="00EB6BD5">
              <w:rPr>
                <w:rFonts w:cs="Calibri"/>
                <w:sz w:val="17"/>
              </w:rPr>
              <w:t>RLS on every new table; security-invoker views; explicit schema/search_path and execute grants; permission and transition test matrix.</w:t>
            </w:r>
          </w:p>
        </w:tc>
      </w:tr>
    </w:tbl>
    <w:p w14:paraId="2CF67533" w14:textId="77777777" w:rsidR="00EB6BD5" w:rsidRDefault="00EB6BD5" w:rsidP="00EB6BD5"/>
    <w:p w14:paraId="179713AE" w14:textId="19DAA6DF" w:rsidR="00EB6BD5" w:rsidRDefault="00EB6BD5" w:rsidP="00EB6BD5">
      <w:pPr>
        <w:pStyle w:val="Heading2"/>
        <w:rPr>
          <w:b w:val="0"/>
        </w:rPr>
      </w:pPr>
      <w:bookmarkStart w:id="11" w:name="_Toc240324149"/>
      <w:r>
        <w:rPr>
          <w:b w:val="0"/>
        </w:rPr>
        <w:t>5.1 Navigation recommendation</w:t>
      </w:r>
      <w:bookmarkEnd w:id="11"/>
    </w:p>
    <w:p w14:paraId="680A3802" w14:textId="6A971C8C" w:rsidR="00EB6BD5" w:rsidRDefault="00EB6BD5" w:rsidP="00EB6BD5">
      <w:r>
        <w:t>Preserve a five-destination official shell and separate information architecture: Command, Community, Incidents, Map, More. Place My Work as the primary section of Command, use a dedicated off-tab Reports review route opened from Needs Review, make Incidents represent Incident Cases, and place Resources and Settings under More. Mayor uses the same shell with a read-only Brief/Command experience and role-specific filters.</w:t>
      </w:r>
    </w:p>
    <w:p w14:paraId="21FB1087" w14:textId="37B5C75C" w:rsidR="00EB6BD5" w:rsidRDefault="00EB6BD5" w:rsidP="00EB6BD5">
      <w:pPr>
        <w:pStyle w:val="Heading1"/>
        <w:rPr>
          <w:b w:val="0"/>
        </w:rPr>
      </w:pPr>
      <w:bookmarkStart w:id="12" w:name="_Toc240324150"/>
      <w:r>
        <w:rPr>
          <w:b w:val="0"/>
        </w:rPr>
        <w:t>6. Delivery roadmap and phase gates</w:t>
      </w:r>
      <w:bookmarkEnd w:id="12"/>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1625"/>
        <w:gridCol w:w="4867"/>
        <w:gridCol w:w="3300"/>
      </w:tblGrid>
      <w:tr w:rsidR="00EB6BD5" w14:paraId="02C85376" w14:textId="77777777" w:rsidTr="00EB6BD5">
        <w:trPr>
          <w:cantSplit/>
        </w:trPr>
        <w:tc>
          <w:tcPr>
            <w:tcW w:w="800" w:type="pct"/>
            <w:shd w:val="clear" w:color="auto" w:fill="auto"/>
            <w:tcMar>
              <w:top w:w="80" w:type="dxa"/>
              <w:left w:w="120" w:type="dxa"/>
              <w:bottom w:w="80" w:type="dxa"/>
              <w:right w:w="120" w:type="dxa"/>
            </w:tcMar>
          </w:tcPr>
          <w:p w14:paraId="7A084575" w14:textId="3A6DA382" w:rsidR="00EB6BD5" w:rsidRPr="00EB6BD5" w:rsidRDefault="00EB6BD5" w:rsidP="00EB6BD5">
            <w:pPr>
              <w:spacing w:after="40"/>
              <w:rPr>
                <w:rFonts w:cs="Calibri"/>
                <w:b/>
                <w:color w:val="16324F"/>
                <w:sz w:val="17"/>
              </w:rPr>
            </w:pPr>
            <w:r w:rsidRPr="00EB6BD5">
              <w:rPr>
                <w:rFonts w:cs="Calibri"/>
                <w:b/>
                <w:color w:val="16324F"/>
                <w:sz w:val="17"/>
              </w:rPr>
              <w:t>Phase</w:t>
            </w:r>
          </w:p>
        </w:tc>
        <w:tc>
          <w:tcPr>
            <w:tcW w:w="2500" w:type="pct"/>
            <w:shd w:val="clear" w:color="auto" w:fill="auto"/>
            <w:tcMar>
              <w:top w:w="80" w:type="dxa"/>
              <w:left w:w="120" w:type="dxa"/>
              <w:bottom w:w="80" w:type="dxa"/>
              <w:right w:w="120" w:type="dxa"/>
            </w:tcMar>
          </w:tcPr>
          <w:p w14:paraId="2A5D8E3E" w14:textId="1B2695E2" w:rsidR="00EB6BD5" w:rsidRPr="00EB6BD5" w:rsidRDefault="00EB6BD5" w:rsidP="00EB6BD5">
            <w:pPr>
              <w:spacing w:after="40"/>
              <w:rPr>
                <w:rFonts w:cs="Calibri"/>
                <w:b/>
                <w:color w:val="16324F"/>
                <w:sz w:val="17"/>
              </w:rPr>
            </w:pPr>
            <w:r w:rsidRPr="00EB6BD5">
              <w:rPr>
                <w:rFonts w:cs="Calibri"/>
                <w:b/>
                <w:color w:val="16324F"/>
                <w:sz w:val="17"/>
              </w:rPr>
              <w:t>Deliverables</w:t>
            </w:r>
          </w:p>
        </w:tc>
        <w:tc>
          <w:tcPr>
            <w:tcW w:w="1700" w:type="pct"/>
            <w:shd w:val="clear" w:color="auto" w:fill="auto"/>
            <w:tcMar>
              <w:top w:w="80" w:type="dxa"/>
              <w:left w:w="120" w:type="dxa"/>
              <w:bottom w:w="80" w:type="dxa"/>
              <w:right w:w="120" w:type="dxa"/>
            </w:tcMar>
          </w:tcPr>
          <w:p w14:paraId="6226BA5C" w14:textId="3250C8E8" w:rsidR="00EB6BD5" w:rsidRPr="00EB6BD5" w:rsidRDefault="00EB6BD5" w:rsidP="00EB6BD5">
            <w:pPr>
              <w:spacing w:after="40"/>
              <w:rPr>
                <w:rFonts w:cs="Calibri"/>
                <w:b/>
                <w:color w:val="16324F"/>
                <w:sz w:val="17"/>
              </w:rPr>
            </w:pPr>
            <w:r w:rsidRPr="00EB6BD5">
              <w:rPr>
                <w:rFonts w:cs="Calibri"/>
                <w:b/>
                <w:color w:val="16324F"/>
                <w:sz w:val="17"/>
              </w:rPr>
              <w:t>Exit gate</w:t>
            </w:r>
          </w:p>
        </w:tc>
      </w:tr>
      <w:tr w:rsidR="00EB6BD5" w14:paraId="77BB418C" w14:textId="77777777" w:rsidTr="00EB6BD5">
        <w:trPr>
          <w:cantSplit/>
        </w:trPr>
        <w:tc>
          <w:tcPr>
            <w:tcW w:w="800" w:type="pct"/>
            <w:shd w:val="clear" w:color="auto" w:fill="auto"/>
            <w:tcMar>
              <w:top w:w="80" w:type="dxa"/>
              <w:left w:w="120" w:type="dxa"/>
              <w:bottom w:w="80" w:type="dxa"/>
              <w:right w:w="120" w:type="dxa"/>
            </w:tcMar>
          </w:tcPr>
          <w:p w14:paraId="5A3688E4" w14:textId="603842E6" w:rsidR="00EB6BD5" w:rsidRPr="00EB6BD5" w:rsidRDefault="00EB6BD5" w:rsidP="00EB6BD5">
            <w:pPr>
              <w:spacing w:after="40"/>
              <w:rPr>
                <w:rFonts w:cs="Calibri"/>
                <w:sz w:val="17"/>
              </w:rPr>
            </w:pPr>
            <w:r w:rsidRPr="00EB6BD5">
              <w:rPr>
                <w:rFonts w:cs="Calibri"/>
                <w:sz w:val="17"/>
              </w:rPr>
              <w:t>0 - Governance and design</w:t>
            </w:r>
          </w:p>
        </w:tc>
        <w:tc>
          <w:tcPr>
            <w:tcW w:w="2500" w:type="pct"/>
            <w:shd w:val="clear" w:color="auto" w:fill="auto"/>
            <w:tcMar>
              <w:top w:w="80" w:type="dxa"/>
              <w:left w:w="120" w:type="dxa"/>
              <w:bottom w:w="80" w:type="dxa"/>
              <w:right w:w="120" w:type="dxa"/>
            </w:tcMar>
          </w:tcPr>
          <w:p w14:paraId="792E876A" w14:textId="696B4A7E" w:rsidR="00EB6BD5" w:rsidRPr="00EB6BD5" w:rsidRDefault="00EB6BD5" w:rsidP="00EB6BD5">
            <w:pPr>
              <w:spacing w:after="40"/>
              <w:rPr>
                <w:rFonts w:cs="Calibri"/>
                <w:sz w:val="17"/>
              </w:rPr>
            </w:pPr>
            <w:r w:rsidRPr="00EB6BD5">
              <w:rPr>
                <w:rFonts w:cs="Calibri"/>
                <w:sz w:val="17"/>
              </w:rPr>
              <w:t>Validate LGU terminology/SOP, decision matrix, ownership model, priority rubric, rejection/closure catalogs, retention schedule, privacy impact assessment, public-location policy, wireframes, and migration runbook.</w:t>
            </w:r>
          </w:p>
        </w:tc>
        <w:tc>
          <w:tcPr>
            <w:tcW w:w="1700" w:type="pct"/>
            <w:shd w:val="clear" w:color="auto" w:fill="auto"/>
            <w:tcMar>
              <w:top w:w="80" w:type="dxa"/>
              <w:left w:w="120" w:type="dxa"/>
              <w:bottom w:w="80" w:type="dxa"/>
              <w:right w:w="120" w:type="dxa"/>
            </w:tcMar>
          </w:tcPr>
          <w:p w14:paraId="090DF6A1" w14:textId="5415B4EA" w:rsidR="00EB6BD5" w:rsidRPr="00EB6BD5" w:rsidRDefault="00EB6BD5" w:rsidP="00EB6BD5">
            <w:pPr>
              <w:spacing w:after="40"/>
              <w:rPr>
                <w:rFonts w:cs="Calibri"/>
                <w:sz w:val="17"/>
              </w:rPr>
            </w:pPr>
            <w:r w:rsidRPr="00EB6BD5">
              <w:rPr>
                <w:rFonts w:cs="Calibri"/>
                <w:sz w:val="17"/>
              </w:rPr>
              <w:t>BDRRMO, MDRRMO, product owner, and DPO sign off; unresolved terms are recorded as explicit decisions.</w:t>
            </w:r>
          </w:p>
        </w:tc>
      </w:tr>
      <w:tr w:rsidR="00EB6BD5" w14:paraId="52DE4AE2" w14:textId="77777777" w:rsidTr="00EB6BD5">
        <w:trPr>
          <w:cantSplit/>
        </w:trPr>
        <w:tc>
          <w:tcPr>
            <w:tcW w:w="800" w:type="pct"/>
            <w:shd w:val="clear" w:color="auto" w:fill="auto"/>
            <w:tcMar>
              <w:top w:w="80" w:type="dxa"/>
              <w:left w:w="120" w:type="dxa"/>
              <w:bottom w:w="80" w:type="dxa"/>
              <w:right w:w="120" w:type="dxa"/>
            </w:tcMar>
          </w:tcPr>
          <w:p w14:paraId="65CE8780" w14:textId="5FCA597C" w:rsidR="00EB6BD5" w:rsidRPr="00EB6BD5" w:rsidRDefault="00EB6BD5" w:rsidP="00EB6BD5">
            <w:pPr>
              <w:spacing w:after="40"/>
              <w:rPr>
                <w:rFonts w:cs="Calibri"/>
                <w:sz w:val="17"/>
              </w:rPr>
            </w:pPr>
            <w:r w:rsidRPr="00EB6BD5">
              <w:rPr>
                <w:rFonts w:cs="Calibri"/>
                <w:sz w:val="17"/>
              </w:rPr>
              <w:t>1 - Domain foundation</w:t>
            </w:r>
          </w:p>
        </w:tc>
        <w:tc>
          <w:tcPr>
            <w:tcW w:w="2500" w:type="pct"/>
            <w:shd w:val="clear" w:color="auto" w:fill="auto"/>
            <w:tcMar>
              <w:top w:w="80" w:type="dxa"/>
              <w:left w:w="120" w:type="dxa"/>
              <w:bottom w:w="80" w:type="dxa"/>
              <w:right w:w="120" w:type="dxa"/>
            </w:tcMar>
          </w:tcPr>
          <w:p w14:paraId="3F312C37" w14:textId="70D7DA23" w:rsidR="00EB6BD5" w:rsidRPr="00EB6BD5" w:rsidRDefault="00EB6BD5" w:rsidP="00EB6BD5">
            <w:pPr>
              <w:spacing w:after="40"/>
              <w:rPr>
                <w:rFonts w:cs="Calibri"/>
                <w:sz w:val="17"/>
              </w:rPr>
            </w:pPr>
            <w:r w:rsidRPr="00EB6BD5">
              <w:rPr>
                <w:rFonts w:cs="Calibri"/>
                <w:sz w:val="17"/>
              </w:rPr>
              <w:t>New tables/enums/indexes; RLS/grants; transactional workflow functions; audit and operational timeline; compatibility views; backfill tooling; concurrency/idempotency safeguards.</w:t>
            </w:r>
          </w:p>
        </w:tc>
        <w:tc>
          <w:tcPr>
            <w:tcW w:w="1700" w:type="pct"/>
            <w:shd w:val="clear" w:color="auto" w:fill="auto"/>
            <w:tcMar>
              <w:top w:w="80" w:type="dxa"/>
              <w:left w:w="120" w:type="dxa"/>
              <w:bottom w:w="80" w:type="dxa"/>
              <w:right w:w="120" w:type="dxa"/>
            </w:tcMar>
          </w:tcPr>
          <w:p w14:paraId="5C7A1757" w14:textId="23D866BB" w:rsidR="00EB6BD5" w:rsidRPr="00EB6BD5" w:rsidRDefault="00EB6BD5" w:rsidP="00EB6BD5">
            <w:pPr>
              <w:spacing w:after="40"/>
              <w:rPr>
                <w:rFonts w:cs="Calibri"/>
                <w:sz w:val="17"/>
              </w:rPr>
            </w:pPr>
            <w:r w:rsidRPr="00EB6BD5">
              <w:rPr>
                <w:rFonts w:cs="Calibri"/>
                <w:sz w:val="17"/>
              </w:rPr>
              <w:t>Migration rehearsal succeeds on a copy; RLS matrix and state invariants pass; no role gains unintended access.</w:t>
            </w:r>
          </w:p>
        </w:tc>
      </w:tr>
      <w:tr w:rsidR="00EB6BD5" w14:paraId="3670CF06" w14:textId="77777777" w:rsidTr="00EB6BD5">
        <w:trPr>
          <w:cantSplit/>
        </w:trPr>
        <w:tc>
          <w:tcPr>
            <w:tcW w:w="800" w:type="pct"/>
            <w:shd w:val="clear" w:color="auto" w:fill="auto"/>
            <w:tcMar>
              <w:top w:w="80" w:type="dxa"/>
              <w:left w:w="120" w:type="dxa"/>
              <w:bottom w:w="80" w:type="dxa"/>
              <w:right w:w="120" w:type="dxa"/>
            </w:tcMar>
          </w:tcPr>
          <w:p w14:paraId="34EB979E" w14:textId="3FE9CAB5" w:rsidR="00EB6BD5" w:rsidRPr="00EB6BD5" w:rsidRDefault="00EB6BD5" w:rsidP="00EB6BD5">
            <w:pPr>
              <w:spacing w:after="40"/>
              <w:rPr>
                <w:rFonts w:cs="Calibri"/>
                <w:sz w:val="17"/>
              </w:rPr>
            </w:pPr>
            <w:r w:rsidRPr="00EB6BD5">
              <w:rPr>
                <w:rFonts w:cs="Calibri"/>
                <w:sz w:val="17"/>
              </w:rPr>
              <w:t>2 - Remote report review</w:t>
            </w:r>
          </w:p>
        </w:tc>
        <w:tc>
          <w:tcPr>
            <w:tcW w:w="2500" w:type="pct"/>
            <w:shd w:val="clear" w:color="auto" w:fill="auto"/>
            <w:tcMar>
              <w:top w:w="80" w:type="dxa"/>
              <w:left w:w="120" w:type="dxa"/>
              <w:bottom w:w="80" w:type="dxa"/>
              <w:right w:w="120" w:type="dxa"/>
            </w:tcMar>
          </w:tcPr>
          <w:p w14:paraId="4D24683B" w14:textId="07125321" w:rsidR="00EB6BD5" w:rsidRPr="00EB6BD5" w:rsidRDefault="00EB6BD5" w:rsidP="00EB6BD5">
            <w:pPr>
              <w:spacing w:after="40"/>
              <w:rPr>
                <w:rFonts w:cs="Calibri"/>
                <w:sz w:val="17"/>
              </w:rPr>
            </w:pPr>
            <w:r w:rsidRPr="00EB6BD5">
              <w:rPr>
                <w:rFonts w:cs="Calibri"/>
                <w:sz w:val="17"/>
              </w:rPr>
              <w:t>Official triage queue; evidence panel; GPS quality; media; official sources; candidate matches; optional contact with reason and manual outcome; review decisions.</w:t>
            </w:r>
          </w:p>
        </w:tc>
        <w:tc>
          <w:tcPr>
            <w:tcW w:w="1700" w:type="pct"/>
            <w:shd w:val="clear" w:color="auto" w:fill="auto"/>
            <w:tcMar>
              <w:top w:w="80" w:type="dxa"/>
              <w:left w:w="120" w:type="dxa"/>
              <w:bottom w:w="80" w:type="dxa"/>
              <w:right w:w="120" w:type="dxa"/>
            </w:tcMar>
          </w:tcPr>
          <w:p w14:paraId="08BF857D" w14:textId="650BD681" w:rsidR="00EB6BD5" w:rsidRPr="00EB6BD5" w:rsidRDefault="00EB6BD5" w:rsidP="00EB6BD5">
            <w:pPr>
              <w:spacing w:after="40"/>
              <w:rPr>
                <w:rFonts w:cs="Calibri"/>
                <w:sz w:val="17"/>
              </w:rPr>
            </w:pPr>
            <w:r w:rsidRPr="00EB6BD5">
              <w:rPr>
                <w:rFonts w:cs="Calibri"/>
                <w:sz w:val="17"/>
              </w:rPr>
              <w:t>Scenario UAT passes; every decision is traceable; contact reveal rate and repeated-call controls are observable.</w:t>
            </w:r>
          </w:p>
        </w:tc>
      </w:tr>
      <w:tr w:rsidR="00EB6BD5" w14:paraId="605F3CB5" w14:textId="77777777" w:rsidTr="00EB6BD5">
        <w:trPr>
          <w:cantSplit/>
        </w:trPr>
        <w:tc>
          <w:tcPr>
            <w:tcW w:w="800" w:type="pct"/>
            <w:shd w:val="clear" w:color="auto" w:fill="auto"/>
            <w:tcMar>
              <w:top w:w="80" w:type="dxa"/>
              <w:left w:w="120" w:type="dxa"/>
              <w:bottom w:w="80" w:type="dxa"/>
              <w:right w:w="120" w:type="dxa"/>
            </w:tcMar>
          </w:tcPr>
          <w:p w14:paraId="20C2DF04" w14:textId="1230F193" w:rsidR="00EB6BD5" w:rsidRPr="00EB6BD5" w:rsidRDefault="00EB6BD5" w:rsidP="00EB6BD5">
            <w:pPr>
              <w:spacing w:after="40"/>
              <w:rPr>
                <w:rFonts w:cs="Calibri"/>
                <w:sz w:val="17"/>
              </w:rPr>
            </w:pPr>
            <w:r w:rsidRPr="00EB6BD5">
              <w:rPr>
                <w:rFonts w:cs="Calibri"/>
                <w:sz w:val="17"/>
              </w:rPr>
              <w:t>3 - Provisional and confirmed cases</w:t>
            </w:r>
          </w:p>
        </w:tc>
        <w:tc>
          <w:tcPr>
            <w:tcW w:w="2500" w:type="pct"/>
            <w:shd w:val="clear" w:color="auto" w:fill="auto"/>
            <w:tcMar>
              <w:top w:w="80" w:type="dxa"/>
              <w:left w:w="120" w:type="dxa"/>
              <w:bottom w:w="80" w:type="dxa"/>
              <w:right w:w="120" w:type="dxa"/>
            </w:tcMar>
          </w:tcPr>
          <w:p w14:paraId="6EF25B04" w14:textId="7AB05EA7" w:rsidR="00EB6BD5" w:rsidRPr="00EB6BD5" w:rsidRDefault="00EB6BD5" w:rsidP="00EB6BD5">
            <w:pPr>
              <w:spacing w:after="40"/>
              <w:rPr>
                <w:rFonts w:cs="Calibri"/>
                <w:sz w:val="17"/>
              </w:rPr>
            </w:pPr>
            <w:r w:rsidRPr="00EB6BD5">
              <w:rPr>
                <w:rFonts w:cs="Calibri"/>
                <w:sz w:val="17"/>
              </w:rPr>
              <w:t>Provisional/confirmed Incident Case, priority, lead, owner, actions, units, timeline, closure, reopen, response status projection.</w:t>
            </w:r>
          </w:p>
        </w:tc>
        <w:tc>
          <w:tcPr>
            <w:tcW w:w="1700" w:type="pct"/>
            <w:shd w:val="clear" w:color="auto" w:fill="auto"/>
            <w:tcMar>
              <w:top w:w="80" w:type="dxa"/>
              <w:left w:w="120" w:type="dxa"/>
              <w:bottom w:w="80" w:type="dxa"/>
              <w:right w:w="120" w:type="dxa"/>
            </w:tcMar>
          </w:tcPr>
          <w:p w14:paraId="629A9BFE" w14:textId="5B2C2D18" w:rsidR="00EB6BD5" w:rsidRPr="00EB6BD5" w:rsidRDefault="00EB6BD5" w:rsidP="00EB6BD5">
            <w:pPr>
              <w:spacing w:after="40"/>
              <w:rPr>
                <w:rFonts w:cs="Calibri"/>
                <w:sz w:val="17"/>
              </w:rPr>
            </w:pPr>
            <w:r w:rsidRPr="00EB6BD5">
              <w:rPr>
                <w:rFonts w:cs="Calibri"/>
                <w:sz w:val="17"/>
              </w:rPr>
              <w:t>High-risk assessment can begin with verification Pending; unsupported Response Assigned/In Progress cannot be created.</w:t>
            </w:r>
          </w:p>
        </w:tc>
      </w:tr>
      <w:tr w:rsidR="00EB6BD5" w14:paraId="4654FC16" w14:textId="77777777" w:rsidTr="00EB6BD5">
        <w:trPr>
          <w:cantSplit/>
        </w:trPr>
        <w:tc>
          <w:tcPr>
            <w:tcW w:w="800" w:type="pct"/>
            <w:shd w:val="clear" w:color="auto" w:fill="auto"/>
            <w:tcMar>
              <w:top w:w="80" w:type="dxa"/>
              <w:left w:w="120" w:type="dxa"/>
              <w:bottom w:w="80" w:type="dxa"/>
              <w:right w:w="120" w:type="dxa"/>
            </w:tcMar>
          </w:tcPr>
          <w:p w14:paraId="40A8D900" w14:textId="48CAD872" w:rsidR="00EB6BD5" w:rsidRPr="00EB6BD5" w:rsidRDefault="00EB6BD5" w:rsidP="00EB6BD5">
            <w:pPr>
              <w:spacing w:after="40"/>
              <w:rPr>
                <w:rFonts w:cs="Calibri"/>
                <w:sz w:val="17"/>
              </w:rPr>
            </w:pPr>
            <w:r w:rsidRPr="00EB6BD5">
              <w:rPr>
                <w:rFonts w:cs="Calibri"/>
                <w:sz w:val="17"/>
              </w:rPr>
              <w:t>4 - Municipal coordination</w:t>
            </w:r>
          </w:p>
        </w:tc>
        <w:tc>
          <w:tcPr>
            <w:tcW w:w="2500" w:type="pct"/>
            <w:shd w:val="clear" w:color="auto" w:fill="auto"/>
            <w:tcMar>
              <w:top w:w="80" w:type="dxa"/>
              <w:left w:w="120" w:type="dxa"/>
              <w:bottom w:w="80" w:type="dxa"/>
              <w:right w:w="120" w:type="dxa"/>
            </w:tcMar>
          </w:tcPr>
          <w:p w14:paraId="2899A866" w14:textId="28DE6861" w:rsidR="00EB6BD5" w:rsidRPr="00EB6BD5" w:rsidRDefault="00EB6BD5" w:rsidP="00EB6BD5">
            <w:pPr>
              <w:spacing w:after="40"/>
              <w:rPr>
                <w:rFonts w:cs="Calibri"/>
                <w:sz w:val="17"/>
              </w:rPr>
            </w:pPr>
            <w:r w:rsidRPr="00EB6BD5">
              <w:rPr>
                <w:rFonts w:cs="Calibri"/>
                <w:sz w:val="17"/>
              </w:rPr>
              <w:t>Support/transfer request, MDRRMO acknowledgement, clarification/return, acceptance-driven transfer, prior contact history, BDRRMO-as-support behavior.</w:t>
            </w:r>
          </w:p>
        </w:tc>
        <w:tc>
          <w:tcPr>
            <w:tcW w:w="1700" w:type="pct"/>
            <w:shd w:val="clear" w:color="auto" w:fill="auto"/>
            <w:tcMar>
              <w:top w:w="80" w:type="dxa"/>
              <w:left w:w="120" w:type="dxa"/>
              <w:bottom w:w="80" w:type="dxa"/>
              <w:right w:w="120" w:type="dxa"/>
            </w:tcMar>
          </w:tcPr>
          <w:p w14:paraId="29DE0AE7" w14:textId="77571858" w:rsidR="00EB6BD5" w:rsidRPr="00EB6BD5" w:rsidRDefault="00EB6BD5" w:rsidP="00EB6BD5">
            <w:pPr>
              <w:spacing w:after="40"/>
              <w:rPr>
                <w:rFonts w:cs="Calibri"/>
                <w:sz w:val="17"/>
              </w:rPr>
            </w:pPr>
            <w:r w:rsidRPr="00EB6BD5">
              <w:rPr>
                <w:rFonts w:cs="Calibri"/>
                <w:sz w:val="17"/>
              </w:rPr>
              <w:t>Support does not change lead; transfer changes lead exactly once after acceptance; permissions pass both directions.</w:t>
            </w:r>
          </w:p>
        </w:tc>
      </w:tr>
      <w:tr w:rsidR="00EB6BD5" w14:paraId="519E3DF5" w14:textId="77777777" w:rsidTr="00EB6BD5">
        <w:trPr>
          <w:cantSplit/>
        </w:trPr>
        <w:tc>
          <w:tcPr>
            <w:tcW w:w="800" w:type="pct"/>
            <w:shd w:val="clear" w:color="auto" w:fill="auto"/>
            <w:tcMar>
              <w:top w:w="80" w:type="dxa"/>
              <w:left w:w="120" w:type="dxa"/>
              <w:bottom w:w="80" w:type="dxa"/>
              <w:right w:w="120" w:type="dxa"/>
            </w:tcMar>
          </w:tcPr>
          <w:p w14:paraId="4557AC5D" w14:textId="634DD044" w:rsidR="00EB6BD5" w:rsidRPr="00EB6BD5" w:rsidRDefault="00EB6BD5" w:rsidP="00EB6BD5">
            <w:pPr>
              <w:spacing w:after="40"/>
              <w:rPr>
                <w:rFonts w:cs="Calibri"/>
                <w:sz w:val="17"/>
              </w:rPr>
            </w:pPr>
            <w:r w:rsidRPr="00EB6BD5">
              <w:rPr>
                <w:rFonts w:cs="Calibri"/>
                <w:sz w:val="17"/>
              </w:rPr>
              <w:t>5 - Resident and map cutover</w:t>
            </w:r>
          </w:p>
        </w:tc>
        <w:tc>
          <w:tcPr>
            <w:tcW w:w="2500" w:type="pct"/>
            <w:shd w:val="clear" w:color="auto" w:fill="auto"/>
            <w:tcMar>
              <w:top w:w="80" w:type="dxa"/>
              <w:left w:w="120" w:type="dxa"/>
              <w:bottom w:w="80" w:type="dxa"/>
              <w:right w:w="120" w:type="dxa"/>
            </w:tcMar>
          </w:tcPr>
          <w:p w14:paraId="4F7C337E" w14:textId="3B3BBAE9" w:rsidR="00EB6BD5" w:rsidRPr="00EB6BD5" w:rsidRDefault="00EB6BD5" w:rsidP="00EB6BD5">
            <w:pPr>
              <w:spacing w:after="40"/>
              <w:rPr>
                <w:rFonts w:cs="Calibri"/>
                <w:sz w:val="17"/>
              </w:rPr>
            </w:pPr>
            <w:r w:rsidRPr="00EB6BD5">
              <w:rPr>
                <w:rFonts w:cs="Calibri"/>
                <w:sz w:val="17"/>
              </w:rPr>
              <w:t>Simple lifecycle, contextual updates, contribution linking, confirmed-only public map, reporter-own pending marker, official pending layer, notifications, structured community confirmation.</w:t>
            </w:r>
          </w:p>
        </w:tc>
        <w:tc>
          <w:tcPr>
            <w:tcW w:w="1700" w:type="pct"/>
            <w:shd w:val="clear" w:color="auto" w:fill="auto"/>
            <w:tcMar>
              <w:top w:w="80" w:type="dxa"/>
              <w:left w:w="120" w:type="dxa"/>
              <w:bottom w:w="80" w:type="dxa"/>
              <w:right w:w="120" w:type="dxa"/>
            </w:tcMar>
          </w:tcPr>
          <w:p w14:paraId="6AD03C17" w14:textId="7D7E604C" w:rsidR="00EB6BD5" w:rsidRPr="00EB6BD5" w:rsidRDefault="00EB6BD5" w:rsidP="00EB6BD5">
            <w:pPr>
              <w:spacing w:after="40"/>
              <w:rPr>
                <w:rFonts w:cs="Calibri"/>
                <w:sz w:val="17"/>
              </w:rPr>
            </w:pPr>
            <w:r w:rsidRPr="00EB6BD5">
              <w:rPr>
                <w:rFonts w:cs="Calibri"/>
                <w:sz w:val="17"/>
              </w:rPr>
              <w:t>No pending raw report appears on the normal public incident map; offline queue and idempotent retry pass regression tests.</w:t>
            </w:r>
          </w:p>
        </w:tc>
      </w:tr>
      <w:tr w:rsidR="00EB6BD5" w14:paraId="3D567FB2" w14:textId="77777777" w:rsidTr="00EB6BD5">
        <w:trPr>
          <w:cantSplit/>
        </w:trPr>
        <w:tc>
          <w:tcPr>
            <w:tcW w:w="800" w:type="pct"/>
            <w:shd w:val="clear" w:color="auto" w:fill="auto"/>
            <w:tcMar>
              <w:top w:w="80" w:type="dxa"/>
              <w:left w:w="120" w:type="dxa"/>
              <w:bottom w:w="80" w:type="dxa"/>
              <w:right w:w="120" w:type="dxa"/>
            </w:tcMar>
          </w:tcPr>
          <w:p w14:paraId="3EBBC6BB" w14:textId="744133C6" w:rsidR="00EB6BD5" w:rsidRPr="00EB6BD5" w:rsidRDefault="00EB6BD5" w:rsidP="00EB6BD5">
            <w:pPr>
              <w:spacing w:after="40"/>
              <w:rPr>
                <w:rFonts w:cs="Calibri"/>
                <w:sz w:val="17"/>
              </w:rPr>
            </w:pPr>
            <w:r w:rsidRPr="00EB6BD5">
              <w:rPr>
                <w:rFonts w:cs="Calibri"/>
                <w:sz w:val="17"/>
              </w:rPr>
              <w:t>6 - Executive/resources hardening</w:t>
            </w:r>
          </w:p>
        </w:tc>
        <w:tc>
          <w:tcPr>
            <w:tcW w:w="2500" w:type="pct"/>
            <w:shd w:val="clear" w:color="auto" w:fill="auto"/>
            <w:tcMar>
              <w:top w:w="80" w:type="dxa"/>
              <w:left w:w="120" w:type="dxa"/>
              <w:bottom w:w="80" w:type="dxa"/>
              <w:right w:w="120" w:type="dxa"/>
            </w:tcMar>
          </w:tcPr>
          <w:p w14:paraId="44C3CEE6" w14:textId="046C2FFD" w:rsidR="00EB6BD5" w:rsidRPr="00EB6BD5" w:rsidRDefault="00EB6BD5" w:rsidP="00EB6BD5">
            <w:pPr>
              <w:spacing w:after="40"/>
              <w:rPr>
                <w:rFonts w:cs="Calibri"/>
                <w:sz w:val="17"/>
              </w:rPr>
            </w:pPr>
            <w:r w:rsidRPr="00EB6BD5">
              <w:rPr>
                <w:rFonts w:cs="Calibri"/>
                <w:sz w:val="17"/>
              </w:rPr>
              <w:t>Mayor dashboards/filters, aggregated pending counts, resource navigation, evacuation permission changes, hidden-setting cleanup, analytics and runbooks.</w:t>
            </w:r>
          </w:p>
        </w:tc>
        <w:tc>
          <w:tcPr>
            <w:tcW w:w="1700" w:type="pct"/>
            <w:shd w:val="clear" w:color="auto" w:fill="auto"/>
            <w:tcMar>
              <w:top w:w="80" w:type="dxa"/>
              <w:left w:w="120" w:type="dxa"/>
              <w:bottom w:w="80" w:type="dxa"/>
              <w:right w:w="120" w:type="dxa"/>
            </w:tcMar>
          </w:tcPr>
          <w:p w14:paraId="26E514AA" w14:textId="4579B688" w:rsidR="00EB6BD5" w:rsidRPr="00EB6BD5" w:rsidRDefault="00EB6BD5" w:rsidP="00EB6BD5">
            <w:pPr>
              <w:spacing w:after="40"/>
              <w:rPr>
                <w:rFonts w:cs="Calibri"/>
                <w:sz w:val="17"/>
              </w:rPr>
            </w:pPr>
            <w:r w:rsidRPr="00EB6BD5">
              <w:rPr>
                <w:rFonts w:cs="Calibri"/>
                <w:sz w:val="17"/>
              </w:rPr>
              <w:t>Mayor has zero operational mutations at DB and UI levels; each shortcut opens a distinct filtered view; DPO/ops release approval.</w:t>
            </w:r>
          </w:p>
        </w:tc>
      </w:tr>
    </w:tbl>
    <w:p w14:paraId="53DF2366" w14:textId="77777777" w:rsidR="00EB6BD5" w:rsidRDefault="00EB6BD5" w:rsidP="00EB6BD5"/>
    <w:p w14:paraId="15040CA4" w14:textId="5765B629" w:rsidR="00EB6BD5" w:rsidRDefault="00EB6BD5" w:rsidP="00EB6BD5">
      <w:r>
        <w:t>Do not estimate calendar duration until Phase 0 decisions, migration volume, available developers, and stakeholder/UAT availability are known. Size each phase after backlog decomposition; use the gates above, not dates alone, to control release.</w:t>
      </w:r>
    </w:p>
    <w:p w14:paraId="439862FC" w14:textId="481A3E94" w:rsidR="00EB6BD5" w:rsidRDefault="00EB6BD5" w:rsidP="00EB6BD5">
      <w:pPr>
        <w:pStyle w:val="Heading1"/>
        <w:rPr>
          <w:b w:val="0"/>
        </w:rPr>
      </w:pPr>
      <w:bookmarkStart w:id="13" w:name="_Toc240324151"/>
      <w:r>
        <w:rPr>
          <w:b w:val="0"/>
        </w:rPr>
        <w:lastRenderedPageBreak/>
        <w:t>7. Migration and cutover strategy</w:t>
      </w:r>
      <w:bookmarkEnd w:id="13"/>
    </w:p>
    <w:p w14:paraId="6992D61B" w14:textId="412CBC00" w:rsidR="00EB6BD5" w:rsidRDefault="00EB6BD5" w:rsidP="00EB6BD5">
      <w:pPr>
        <w:pStyle w:val="ListNumber"/>
      </w:pPr>
      <w:r>
        <w:t>Create the new domain alongside the old status workflow. Add compatibility projections so current screens can continue while new modules are feature-flagged.</w:t>
      </w:r>
    </w:p>
    <w:p w14:paraId="4CF106AD" w14:textId="5599EFE4" w:rsidR="00EB6BD5" w:rsidRDefault="00EB6BD5" w:rsidP="00EB6BD5">
      <w:pPr>
        <w:pStyle w:val="ListNumber"/>
      </w:pPr>
      <w:r>
        <w:t>Rehearse deterministic backfill on a production-like snapshot. Record each legacy mapping and exception; never fabricate missing closure or acknowledgement facts.</w:t>
      </w:r>
    </w:p>
    <w:p w14:paraId="23112210" w14:textId="6354760F" w:rsidR="00EB6BD5" w:rsidRDefault="00EB6BD5" w:rsidP="00EB6BD5">
      <w:pPr>
        <w:pStyle w:val="ListNumber"/>
      </w:pPr>
      <w:r>
        <w:t>Dual-read and reconcile first. Introduce dual-write only through a single server transaction or outbox so the old and new models cannot drift silently.</w:t>
      </w:r>
    </w:p>
    <w:p w14:paraId="12A401EF" w14:textId="38EAE38C" w:rsidR="00EB6BD5" w:rsidRDefault="00EB6BD5" w:rsidP="00EB6BD5">
      <w:pPr>
        <w:pStyle w:val="ListNumber"/>
      </w:pPr>
      <w:r>
        <w:t>Pilot one or two barangays in shadow mode. Officials make decisions in the new flow while existing production behavior remains the fallback.</w:t>
      </w:r>
    </w:p>
    <w:p w14:paraId="7448B40C" w14:textId="24303030" w:rsidR="00EB6BD5" w:rsidRDefault="00EB6BD5" w:rsidP="00EB6BD5">
      <w:pPr>
        <w:pStyle w:val="ListNumber"/>
      </w:pPr>
      <w:r>
        <w:t>Cut over role by role: official review, incident operations, resident/public views, then Mayor analytics. Keep rollback projections until reconciliation is stable.</w:t>
      </w:r>
    </w:p>
    <w:p w14:paraId="379AAC3A" w14:textId="43CDF12E" w:rsidR="00EB6BD5" w:rsidRDefault="00EB6BD5" w:rsidP="00EB6BD5">
      <w:pPr>
        <w:pStyle w:val="ListNumber"/>
      </w:pPr>
      <w:r>
        <w:t>Retire old status mutations only after event counts, state projections, permissions, queues, maps, and notifications reconcile for an agreed observation period.</w:t>
      </w:r>
    </w:p>
    <w:p w14:paraId="76C50A85" w14:textId="00318B5A" w:rsidR="00EB6BD5" w:rsidRDefault="00EB6BD5" w:rsidP="00EB6BD5">
      <w:pPr>
        <w:pStyle w:val="Heading2"/>
        <w:rPr>
          <w:b w:val="0"/>
        </w:rPr>
      </w:pPr>
      <w:bookmarkStart w:id="14" w:name="_Toc240324152"/>
      <w:r>
        <w:rPr>
          <w:b w:val="0"/>
        </w:rPr>
        <w:t>7.1 Legacy data mapping</w:t>
      </w:r>
      <w:bookmarkEnd w:id="14"/>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1959"/>
        <w:gridCol w:w="4700"/>
        <w:gridCol w:w="3133"/>
      </w:tblGrid>
      <w:tr w:rsidR="00EB6BD5" w14:paraId="761D98D3" w14:textId="77777777" w:rsidTr="00EB6BD5">
        <w:trPr>
          <w:cantSplit/>
        </w:trPr>
        <w:tc>
          <w:tcPr>
            <w:tcW w:w="1000" w:type="pct"/>
            <w:shd w:val="clear" w:color="auto" w:fill="auto"/>
            <w:tcMar>
              <w:top w:w="80" w:type="dxa"/>
              <w:left w:w="120" w:type="dxa"/>
              <w:bottom w:w="80" w:type="dxa"/>
              <w:right w:w="120" w:type="dxa"/>
            </w:tcMar>
          </w:tcPr>
          <w:p w14:paraId="6ADC2595" w14:textId="05C6DAD6" w:rsidR="00EB6BD5" w:rsidRPr="00EB6BD5" w:rsidRDefault="00EB6BD5" w:rsidP="00EB6BD5">
            <w:pPr>
              <w:spacing w:after="80"/>
              <w:rPr>
                <w:rFonts w:cs="Calibri"/>
                <w:b/>
                <w:color w:val="16324F"/>
                <w:sz w:val="18"/>
              </w:rPr>
            </w:pPr>
            <w:r w:rsidRPr="00EB6BD5">
              <w:rPr>
                <w:rFonts w:cs="Calibri"/>
                <w:b/>
                <w:color w:val="16324F"/>
                <w:sz w:val="18"/>
              </w:rPr>
              <w:t>Legacy state</w:t>
            </w:r>
          </w:p>
        </w:tc>
        <w:tc>
          <w:tcPr>
            <w:tcW w:w="2400" w:type="pct"/>
            <w:shd w:val="clear" w:color="auto" w:fill="auto"/>
            <w:tcMar>
              <w:top w:w="80" w:type="dxa"/>
              <w:left w:w="120" w:type="dxa"/>
              <w:bottom w:w="80" w:type="dxa"/>
              <w:right w:w="120" w:type="dxa"/>
            </w:tcMar>
          </w:tcPr>
          <w:p w14:paraId="1A9AC5C9" w14:textId="38C605FB" w:rsidR="00EB6BD5" w:rsidRPr="00EB6BD5" w:rsidRDefault="00EB6BD5" w:rsidP="00EB6BD5">
            <w:pPr>
              <w:spacing w:after="80"/>
              <w:rPr>
                <w:rFonts w:cs="Calibri"/>
                <w:b/>
                <w:color w:val="16324F"/>
                <w:sz w:val="18"/>
              </w:rPr>
            </w:pPr>
            <w:r w:rsidRPr="00EB6BD5">
              <w:rPr>
                <w:rFonts w:cs="Calibri"/>
                <w:b/>
                <w:color w:val="16324F"/>
                <w:sz w:val="18"/>
              </w:rPr>
              <w:t>Proposed mapping</w:t>
            </w:r>
          </w:p>
        </w:tc>
        <w:tc>
          <w:tcPr>
            <w:tcW w:w="1600" w:type="pct"/>
            <w:shd w:val="clear" w:color="auto" w:fill="auto"/>
            <w:tcMar>
              <w:top w:w="80" w:type="dxa"/>
              <w:left w:w="120" w:type="dxa"/>
              <w:bottom w:w="80" w:type="dxa"/>
              <w:right w:w="120" w:type="dxa"/>
            </w:tcMar>
          </w:tcPr>
          <w:p w14:paraId="3EA25EDA" w14:textId="1FE0378A" w:rsidR="00EB6BD5" w:rsidRPr="00EB6BD5" w:rsidRDefault="00EB6BD5" w:rsidP="00EB6BD5">
            <w:pPr>
              <w:spacing w:after="80"/>
              <w:rPr>
                <w:rFonts w:cs="Calibri"/>
                <w:b/>
                <w:color w:val="16324F"/>
                <w:sz w:val="18"/>
              </w:rPr>
            </w:pPr>
            <w:r w:rsidRPr="00EB6BD5">
              <w:rPr>
                <w:rFonts w:cs="Calibri"/>
                <w:b/>
                <w:color w:val="16324F"/>
                <w:sz w:val="18"/>
              </w:rPr>
              <w:t>Caution</w:t>
            </w:r>
          </w:p>
        </w:tc>
      </w:tr>
      <w:tr w:rsidR="00EB6BD5" w14:paraId="5F978B45" w14:textId="77777777" w:rsidTr="00EB6BD5">
        <w:trPr>
          <w:cantSplit/>
        </w:trPr>
        <w:tc>
          <w:tcPr>
            <w:tcW w:w="1000" w:type="pct"/>
            <w:shd w:val="clear" w:color="auto" w:fill="auto"/>
            <w:tcMar>
              <w:top w:w="80" w:type="dxa"/>
              <w:left w:w="120" w:type="dxa"/>
              <w:bottom w:w="80" w:type="dxa"/>
              <w:right w:w="120" w:type="dxa"/>
            </w:tcMar>
          </w:tcPr>
          <w:p w14:paraId="687CC95E" w14:textId="77BF7C4D" w:rsidR="00EB6BD5" w:rsidRPr="00EB6BD5" w:rsidRDefault="00EB6BD5" w:rsidP="00EB6BD5">
            <w:pPr>
              <w:spacing w:after="80"/>
              <w:rPr>
                <w:rFonts w:cs="Calibri"/>
                <w:sz w:val="18"/>
              </w:rPr>
            </w:pPr>
            <w:r w:rsidRPr="00EB6BD5">
              <w:rPr>
                <w:rFonts w:cs="Calibri"/>
                <w:sz w:val="18"/>
              </w:rPr>
              <w:t>unverified</w:t>
            </w:r>
          </w:p>
        </w:tc>
        <w:tc>
          <w:tcPr>
            <w:tcW w:w="2400" w:type="pct"/>
            <w:shd w:val="clear" w:color="auto" w:fill="auto"/>
            <w:tcMar>
              <w:top w:w="80" w:type="dxa"/>
              <w:left w:w="120" w:type="dxa"/>
              <w:bottom w:w="80" w:type="dxa"/>
              <w:right w:w="120" w:type="dxa"/>
            </w:tcMar>
          </w:tcPr>
          <w:p w14:paraId="1645F896" w14:textId="081087A5" w:rsidR="00EB6BD5" w:rsidRPr="00EB6BD5" w:rsidRDefault="00EB6BD5" w:rsidP="00EB6BD5">
            <w:pPr>
              <w:spacing w:after="80"/>
              <w:rPr>
                <w:rFonts w:cs="Calibri"/>
                <w:sz w:val="18"/>
              </w:rPr>
            </w:pPr>
            <w:r w:rsidRPr="00EB6BD5">
              <w:rPr>
                <w:rFonts w:cs="Calibri"/>
                <w:sz w:val="18"/>
              </w:rPr>
              <w:t>Resident Report = Pending Review; no Incident Case</w:t>
            </w:r>
          </w:p>
        </w:tc>
        <w:tc>
          <w:tcPr>
            <w:tcW w:w="1600" w:type="pct"/>
            <w:shd w:val="clear" w:color="auto" w:fill="auto"/>
            <w:tcMar>
              <w:top w:w="80" w:type="dxa"/>
              <w:left w:w="120" w:type="dxa"/>
              <w:bottom w:w="80" w:type="dxa"/>
              <w:right w:w="120" w:type="dxa"/>
            </w:tcMar>
          </w:tcPr>
          <w:p w14:paraId="155E5961" w14:textId="7D30672E" w:rsidR="00EB6BD5" w:rsidRPr="00EB6BD5" w:rsidRDefault="00EB6BD5" w:rsidP="00EB6BD5">
            <w:pPr>
              <w:spacing w:after="80"/>
              <w:rPr>
                <w:rFonts w:cs="Calibri"/>
                <w:sz w:val="18"/>
              </w:rPr>
            </w:pPr>
            <w:r w:rsidRPr="00EB6BD5">
              <w:rPr>
                <w:rFonts w:cs="Calibri"/>
                <w:sz w:val="18"/>
              </w:rPr>
              <w:t>Corrects the current report/incident conflation.</w:t>
            </w:r>
          </w:p>
        </w:tc>
      </w:tr>
      <w:tr w:rsidR="00EB6BD5" w14:paraId="270A8C5E" w14:textId="77777777" w:rsidTr="00EB6BD5">
        <w:trPr>
          <w:cantSplit/>
        </w:trPr>
        <w:tc>
          <w:tcPr>
            <w:tcW w:w="1000" w:type="pct"/>
            <w:shd w:val="clear" w:color="auto" w:fill="auto"/>
            <w:tcMar>
              <w:top w:w="80" w:type="dxa"/>
              <w:left w:w="120" w:type="dxa"/>
              <w:bottom w:w="80" w:type="dxa"/>
              <w:right w:w="120" w:type="dxa"/>
            </w:tcMar>
          </w:tcPr>
          <w:p w14:paraId="53C6B646" w14:textId="44F3504A" w:rsidR="00EB6BD5" w:rsidRPr="00EB6BD5" w:rsidRDefault="00EB6BD5" w:rsidP="00EB6BD5">
            <w:pPr>
              <w:spacing w:after="80"/>
              <w:rPr>
                <w:rFonts w:cs="Calibri"/>
                <w:sz w:val="18"/>
              </w:rPr>
            </w:pPr>
            <w:r w:rsidRPr="00EB6BD5">
              <w:rPr>
                <w:rFonts w:cs="Calibri"/>
                <w:sz w:val="18"/>
              </w:rPr>
              <w:t>verified</w:t>
            </w:r>
          </w:p>
        </w:tc>
        <w:tc>
          <w:tcPr>
            <w:tcW w:w="2400" w:type="pct"/>
            <w:shd w:val="clear" w:color="auto" w:fill="auto"/>
            <w:tcMar>
              <w:top w:w="80" w:type="dxa"/>
              <w:left w:w="120" w:type="dxa"/>
              <w:bottom w:w="80" w:type="dxa"/>
              <w:right w:w="120" w:type="dxa"/>
            </w:tcMar>
          </w:tcPr>
          <w:p w14:paraId="094B7DF7" w14:textId="455BF508" w:rsidR="00EB6BD5" w:rsidRPr="00EB6BD5" w:rsidRDefault="00EB6BD5" w:rsidP="00EB6BD5">
            <w:pPr>
              <w:spacing w:after="80"/>
              <w:rPr>
                <w:rFonts w:cs="Calibri"/>
                <w:sz w:val="18"/>
              </w:rPr>
            </w:pPr>
            <w:r w:rsidRPr="00EB6BD5">
              <w:rPr>
                <w:rFonts w:cs="Calibri"/>
                <w:sz w:val="18"/>
              </w:rPr>
              <w:t>Report = Verified; create a Confirmed Incident Case and one source link</w:t>
            </w:r>
          </w:p>
        </w:tc>
        <w:tc>
          <w:tcPr>
            <w:tcW w:w="1600" w:type="pct"/>
            <w:shd w:val="clear" w:color="auto" w:fill="auto"/>
            <w:tcMar>
              <w:top w:w="80" w:type="dxa"/>
              <w:left w:w="120" w:type="dxa"/>
              <w:bottom w:w="80" w:type="dxa"/>
              <w:right w:w="120" w:type="dxa"/>
            </w:tcMar>
          </w:tcPr>
          <w:p w14:paraId="302C1ABD" w14:textId="73D41F0D" w:rsidR="00EB6BD5" w:rsidRPr="00EB6BD5" w:rsidRDefault="00EB6BD5" w:rsidP="00EB6BD5">
            <w:pPr>
              <w:spacing w:after="80"/>
              <w:rPr>
                <w:rFonts w:cs="Calibri"/>
                <w:sz w:val="18"/>
              </w:rPr>
            </w:pPr>
            <w:r w:rsidRPr="00EB6BD5">
              <w:rPr>
                <w:rFonts w:cs="Calibri"/>
                <w:sz w:val="18"/>
              </w:rPr>
              <w:t>Preserve verifier/time. Mark as legacy-migrated; later duplicate consolidation is a reviewed operation, not automatic.</w:t>
            </w:r>
          </w:p>
        </w:tc>
      </w:tr>
      <w:tr w:rsidR="00EB6BD5" w14:paraId="11B99DE7" w14:textId="77777777" w:rsidTr="00EB6BD5">
        <w:trPr>
          <w:cantSplit/>
        </w:trPr>
        <w:tc>
          <w:tcPr>
            <w:tcW w:w="1000" w:type="pct"/>
            <w:shd w:val="clear" w:color="auto" w:fill="auto"/>
            <w:tcMar>
              <w:top w:w="80" w:type="dxa"/>
              <w:left w:w="120" w:type="dxa"/>
              <w:bottom w:w="80" w:type="dxa"/>
              <w:right w:w="120" w:type="dxa"/>
            </w:tcMar>
          </w:tcPr>
          <w:p w14:paraId="5AB7C578" w14:textId="2BB82C30" w:rsidR="00EB6BD5" w:rsidRPr="00EB6BD5" w:rsidRDefault="00EB6BD5" w:rsidP="00EB6BD5">
            <w:pPr>
              <w:spacing w:after="80"/>
              <w:rPr>
                <w:rFonts w:cs="Calibri"/>
                <w:sz w:val="18"/>
              </w:rPr>
            </w:pPr>
            <w:r w:rsidRPr="00EB6BD5">
              <w:rPr>
                <w:rFonts w:cs="Calibri"/>
                <w:sz w:val="18"/>
              </w:rPr>
              <w:t>escalated</w:t>
            </w:r>
          </w:p>
        </w:tc>
        <w:tc>
          <w:tcPr>
            <w:tcW w:w="2400" w:type="pct"/>
            <w:shd w:val="clear" w:color="auto" w:fill="auto"/>
            <w:tcMar>
              <w:top w:w="80" w:type="dxa"/>
              <w:left w:w="120" w:type="dxa"/>
              <w:bottom w:w="80" w:type="dxa"/>
              <w:right w:w="120" w:type="dxa"/>
            </w:tcMar>
          </w:tcPr>
          <w:p w14:paraId="571F65D5" w14:textId="5383E7A8" w:rsidR="00EB6BD5" w:rsidRPr="00EB6BD5" w:rsidRDefault="00EB6BD5" w:rsidP="00EB6BD5">
            <w:pPr>
              <w:spacing w:after="80"/>
              <w:rPr>
                <w:rFonts w:cs="Calibri"/>
                <w:sz w:val="18"/>
              </w:rPr>
            </w:pPr>
            <w:r w:rsidRPr="00EB6BD5">
              <w:rPr>
                <w:rFonts w:cs="Calibri"/>
                <w:sz w:val="18"/>
              </w:rPr>
              <w:t>Confirmed Incident; BDRRMO lead; Support Requested = Awaiting MDRRMO unless reliable evidence proves acknowledgement</w:t>
            </w:r>
          </w:p>
        </w:tc>
        <w:tc>
          <w:tcPr>
            <w:tcW w:w="1600" w:type="pct"/>
            <w:shd w:val="clear" w:color="auto" w:fill="auto"/>
            <w:tcMar>
              <w:top w:w="80" w:type="dxa"/>
              <w:left w:w="120" w:type="dxa"/>
              <w:bottom w:w="80" w:type="dxa"/>
              <w:right w:w="120" w:type="dxa"/>
            </w:tcMar>
          </w:tcPr>
          <w:p w14:paraId="6A928307" w14:textId="065AF70B" w:rsidR="00EB6BD5" w:rsidRPr="00EB6BD5" w:rsidRDefault="00EB6BD5" w:rsidP="00EB6BD5">
            <w:pPr>
              <w:spacing w:after="80"/>
              <w:rPr>
                <w:rFonts w:cs="Calibri"/>
                <w:sz w:val="18"/>
              </w:rPr>
            </w:pPr>
            <w:r w:rsidRPr="00EB6BD5">
              <w:rPr>
                <w:rFonts w:cs="Calibri"/>
                <w:sz w:val="18"/>
              </w:rPr>
              <w:t>Do not invent acceptance or transfer. Existing reverified fields may support an explicit migration rule after data profiling.</w:t>
            </w:r>
          </w:p>
        </w:tc>
      </w:tr>
      <w:tr w:rsidR="00EB6BD5" w14:paraId="042337DB" w14:textId="77777777" w:rsidTr="00EB6BD5">
        <w:trPr>
          <w:cantSplit/>
        </w:trPr>
        <w:tc>
          <w:tcPr>
            <w:tcW w:w="1000" w:type="pct"/>
            <w:shd w:val="clear" w:color="auto" w:fill="auto"/>
            <w:tcMar>
              <w:top w:w="80" w:type="dxa"/>
              <w:left w:w="120" w:type="dxa"/>
              <w:bottom w:w="80" w:type="dxa"/>
              <w:right w:w="120" w:type="dxa"/>
            </w:tcMar>
          </w:tcPr>
          <w:p w14:paraId="18EB7226" w14:textId="6AC420C2" w:rsidR="00EB6BD5" w:rsidRPr="00EB6BD5" w:rsidRDefault="00EB6BD5" w:rsidP="00EB6BD5">
            <w:pPr>
              <w:spacing w:after="80"/>
              <w:rPr>
                <w:rFonts w:cs="Calibri"/>
                <w:sz w:val="18"/>
              </w:rPr>
            </w:pPr>
            <w:r w:rsidRPr="00EB6BD5">
              <w:rPr>
                <w:rFonts w:cs="Calibri"/>
                <w:sz w:val="18"/>
              </w:rPr>
              <w:t>resolved</w:t>
            </w:r>
          </w:p>
        </w:tc>
        <w:tc>
          <w:tcPr>
            <w:tcW w:w="2400" w:type="pct"/>
            <w:shd w:val="clear" w:color="auto" w:fill="auto"/>
            <w:tcMar>
              <w:top w:w="80" w:type="dxa"/>
              <w:left w:w="120" w:type="dxa"/>
              <w:bottom w:w="80" w:type="dxa"/>
              <w:right w:w="120" w:type="dxa"/>
            </w:tcMar>
          </w:tcPr>
          <w:p w14:paraId="1B86DD5F" w14:textId="0129A26C" w:rsidR="00EB6BD5" w:rsidRPr="00EB6BD5" w:rsidRDefault="00EB6BD5" w:rsidP="00EB6BD5">
            <w:pPr>
              <w:spacing w:after="80"/>
              <w:rPr>
                <w:rFonts w:cs="Calibri"/>
                <w:sz w:val="18"/>
              </w:rPr>
            </w:pPr>
            <w:r w:rsidRPr="00EB6BD5">
              <w:rPr>
                <w:rFonts w:cs="Calibri"/>
                <w:sz w:val="18"/>
              </w:rPr>
              <w:t>Confirmed, Resolved Incident with legacy closure marker</w:t>
            </w:r>
          </w:p>
        </w:tc>
        <w:tc>
          <w:tcPr>
            <w:tcW w:w="1600" w:type="pct"/>
            <w:shd w:val="clear" w:color="auto" w:fill="auto"/>
            <w:tcMar>
              <w:top w:w="80" w:type="dxa"/>
              <w:left w:w="120" w:type="dxa"/>
              <w:bottom w:w="80" w:type="dxa"/>
              <w:right w:w="120" w:type="dxa"/>
            </w:tcMar>
          </w:tcPr>
          <w:p w14:paraId="1FE73684" w14:textId="3548CAF3" w:rsidR="00EB6BD5" w:rsidRPr="00EB6BD5" w:rsidRDefault="00EB6BD5" w:rsidP="00EB6BD5">
            <w:pPr>
              <w:spacing w:after="80"/>
              <w:rPr>
                <w:rFonts w:cs="Calibri"/>
                <w:sz w:val="18"/>
              </w:rPr>
            </w:pPr>
            <w:r w:rsidRPr="00EB6BD5">
              <w:rPr>
                <w:rFonts w:cs="Calibri"/>
                <w:sz w:val="18"/>
              </w:rPr>
              <w:t>Preserve resolver/time/note; flag closure details as legacy-incomplete instead of manufacturing categories/evidence.</w:t>
            </w:r>
          </w:p>
        </w:tc>
      </w:tr>
      <w:tr w:rsidR="00EB6BD5" w14:paraId="580CE351" w14:textId="77777777" w:rsidTr="00EB6BD5">
        <w:trPr>
          <w:cantSplit/>
        </w:trPr>
        <w:tc>
          <w:tcPr>
            <w:tcW w:w="1000" w:type="pct"/>
            <w:shd w:val="clear" w:color="auto" w:fill="auto"/>
            <w:tcMar>
              <w:top w:w="80" w:type="dxa"/>
              <w:left w:w="120" w:type="dxa"/>
              <w:bottom w:w="80" w:type="dxa"/>
              <w:right w:w="120" w:type="dxa"/>
            </w:tcMar>
          </w:tcPr>
          <w:p w14:paraId="56226E20" w14:textId="449E8B38" w:rsidR="00EB6BD5" w:rsidRPr="00EB6BD5" w:rsidRDefault="00EB6BD5" w:rsidP="00EB6BD5">
            <w:pPr>
              <w:spacing w:after="80"/>
              <w:rPr>
                <w:rFonts w:cs="Calibri"/>
                <w:sz w:val="18"/>
              </w:rPr>
            </w:pPr>
            <w:r w:rsidRPr="00EB6BD5">
              <w:rPr>
                <w:rFonts w:cs="Calibri"/>
                <w:sz w:val="18"/>
              </w:rPr>
              <w:t>official-authored active report</w:t>
            </w:r>
          </w:p>
        </w:tc>
        <w:tc>
          <w:tcPr>
            <w:tcW w:w="2400" w:type="pct"/>
            <w:shd w:val="clear" w:color="auto" w:fill="auto"/>
            <w:tcMar>
              <w:top w:w="80" w:type="dxa"/>
              <w:left w:w="120" w:type="dxa"/>
              <w:bottom w:w="80" w:type="dxa"/>
              <w:right w:w="120" w:type="dxa"/>
            </w:tcMar>
          </w:tcPr>
          <w:p w14:paraId="01E7A9DB" w14:textId="114FB881" w:rsidR="00EB6BD5" w:rsidRPr="00EB6BD5" w:rsidRDefault="00EB6BD5" w:rsidP="00EB6BD5">
            <w:pPr>
              <w:spacing w:after="80"/>
              <w:rPr>
                <w:rFonts w:cs="Calibri"/>
                <w:sz w:val="18"/>
              </w:rPr>
            </w:pPr>
            <w:r w:rsidRPr="00EB6BD5">
              <w:rPr>
                <w:rFonts w:cs="Calibri"/>
                <w:sz w:val="18"/>
              </w:rPr>
              <w:t>Confirmed official Incident Case when author authorization and source provenance are valid</w:t>
            </w:r>
          </w:p>
        </w:tc>
        <w:tc>
          <w:tcPr>
            <w:tcW w:w="1600" w:type="pct"/>
            <w:shd w:val="clear" w:color="auto" w:fill="auto"/>
            <w:tcMar>
              <w:top w:w="80" w:type="dxa"/>
              <w:left w:w="120" w:type="dxa"/>
              <w:bottom w:w="80" w:type="dxa"/>
              <w:right w:w="120" w:type="dxa"/>
            </w:tcMar>
          </w:tcPr>
          <w:p w14:paraId="2F6BDD13" w14:textId="3A65DDDE" w:rsidR="00EB6BD5" w:rsidRPr="00EB6BD5" w:rsidRDefault="00EB6BD5" w:rsidP="00EB6BD5">
            <w:pPr>
              <w:spacing w:after="80"/>
              <w:rPr>
                <w:rFonts w:cs="Calibri"/>
                <w:sz w:val="18"/>
              </w:rPr>
            </w:pPr>
            <w:r w:rsidRPr="00EB6BD5">
              <w:rPr>
                <w:rFonts w:cs="Calibri"/>
                <w:sz w:val="18"/>
              </w:rPr>
              <w:t>Authorized source can justify initial confirmation, but still requires priority, lead, owner, audit, and later closure.</w:t>
            </w:r>
          </w:p>
        </w:tc>
      </w:tr>
      <w:tr w:rsidR="00EB6BD5" w14:paraId="66A93E45" w14:textId="77777777" w:rsidTr="00EB6BD5">
        <w:trPr>
          <w:cantSplit/>
        </w:trPr>
        <w:tc>
          <w:tcPr>
            <w:tcW w:w="1000" w:type="pct"/>
            <w:shd w:val="clear" w:color="auto" w:fill="auto"/>
            <w:tcMar>
              <w:top w:w="80" w:type="dxa"/>
              <w:left w:w="120" w:type="dxa"/>
              <w:bottom w:w="80" w:type="dxa"/>
              <w:right w:w="120" w:type="dxa"/>
            </w:tcMar>
          </w:tcPr>
          <w:p w14:paraId="01797ADD" w14:textId="70FD5F8B" w:rsidR="00EB6BD5" w:rsidRPr="00EB6BD5" w:rsidRDefault="00EB6BD5" w:rsidP="00EB6BD5">
            <w:pPr>
              <w:spacing w:after="80"/>
              <w:rPr>
                <w:rFonts w:cs="Calibri"/>
                <w:sz w:val="18"/>
              </w:rPr>
            </w:pPr>
            <w:r w:rsidRPr="00EB6BD5">
              <w:rPr>
                <w:rFonts w:cs="Calibri"/>
                <w:sz w:val="18"/>
              </w:rPr>
              <w:t>legacy contact reveal</w:t>
            </w:r>
          </w:p>
        </w:tc>
        <w:tc>
          <w:tcPr>
            <w:tcW w:w="2400" w:type="pct"/>
            <w:shd w:val="clear" w:color="auto" w:fill="auto"/>
            <w:tcMar>
              <w:top w:w="80" w:type="dxa"/>
              <w:left w:w="120" w:type="dxa"/>
              <w:bottom w:w="80" w:type="dxa"/>
              <w:right w:w="120" w:type="dxa"/>
            </w:tcMar>
          </w:tcPr>
          <w:p w14:paraId="2C6B1AFF" w14:textId="434745CA" w:rsidR="00EB6BD5" w:rsidRPr="00EB6BD5" w:rsidRDefault="00EB6BD5" w:rsidP="00EB6BD5">
            <w:pPr>
              <w:spacing w:after="80"/>
              <w:rPr>
                <w:rFonts w:cs="Calibri"/>
                <w:sz w:val="18"/>
              </w:rPr>
            </w:pPr>
            <w:r w:rsidRPr="00EB6BD5">
              <w:rPr>
                <w:rFonts w:cs="Calibri"/>
                <w:sz w:val="18"/>
              </w:rPr>
              <w:t>Contact attempt with legacy purpose and outcome = Not Recorded</w:t>
            </w:r>
          </w:p>
        </w:tc>
        <w:tc>
          <w:tcPr>
            <w:tcW w:w="1600" w:type="pct"/>
            <w:shd w:val="clear" w:color="auto" w:fill="auto"/>
            <w:tcMar>
              <w:top w:w="80" w:type="dxa"/>
              <w:left w:w="120" w:type="dxa"/>
              <w:bottom w:w="80" w:type="dxa"/>
              <w:right w:w="120" w:type="dxa"/>
            </w:tcMar>
          </w:tcPr>
          <w:p w14:paraId="23F770A5" w14:textId="204D3E9C" w:rsidR="00EB6BD5" w:rsidRPr="00EB6BD5" w:rsidRDefault="00EB6BD5" w:rsidP="00EB6BD5">
            <w:pPr>
              <w:spacing w:after="80"/>
              <w:rPr>
                <w:rFonts w:cs="Calibri"/>
                <w:sz w:val="18"/>
              </w:rPr>
            </w:pPr>
            <w:r w:rsidRPr="00EB6BD5">
              <w:rPr>
                <w:rFonts w:cs="Calibri"/>
                <w:sz w:val="18"/>
              </w:rPr>
              <w:t>Do not infer whether a call was placed or answered from a reveal log.</w:t>
            </w:r>
          </w:p>
        </w:tc>
      </w:tr>
    </w:tbl>
    <w:p w14:paraId="47B76B96" w14:textId="77777777" w:rsidR="00EB6BD5" w:rsidRDefault="00EB6BD5" w:rsidP="00EB6BD5"/>
    <w:p w14:paraId="7B5FE9A2" w14:textId="2992DBA5" w:rsidR="00EB6BD5" w:rsidRDefault="00EB6BD5" w:rsidP="00EB6BD5">
      <w:pPr>
        <w:pStyle w:val="Heading1"/>
        <w:rPr>
          <w:b w:val="0"/>
        </w:rPr>
      </w:pPr>
      <w:bookmarkStart w:id="15" w:name="_Toc240324153"/>
      <w:r>
        <w:rPr>
          <w:b w:val="0"/>
        </w:rPr>
        <w:t>8. Verification and test strategy</w:t>
      </w:r>
      <w:bookmarkEnd w:id="15"/>
    </w:p>
    <w:p w14:paraId="00ABA3D1" w14:textId="53B82B78" w:rsidR="00EB6BD5" w:rsidRDefault="00EB6BD5" w:rsidP="00EB6BD5">
      <w:r>
        <w:t>Treat the workflow as a safety- and privacy-relevant state machine. Tests must cover database authorization and invariants first, then application behavior. The existing unit suite passing does not validate this future architecture.</w:t>
      </w:r>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082"/>
        <w:gridCol w:w="5030"/>
        <w:gridCol w:w="2680"/>
      </w:tblGrid>
      <w:tr w:rsidR="00EB6BD5" w14:paraId="7303F370" w14:textId="77777777" w:rsidTr="00EB6BD5">
        <w:trPr>
          <w:cantSplit/>
        </w:trPr>
        <w:tc>
          <w:tcPr>
            <w:tcW w:w="1000" w:type="pct"/>
            <w:shd w:val="clear" w:color="auto" w:fill="auto"/>
            <w:tcMar>
              <w:top w:w="80" w:type="dxa"/>
              <w:left w:w="120" w:type="dxa"/>
              <w:bottom w:w="80" w:type="dxa"/>
              <w:right w:w="120" w:type="dxa"/>
            </w:tcMar>
          </w:tcPr>
          <w:p w14:paraId="4DD2F3A7" w14:textId="147F6094" w:rsidR="00EB6BD5" w:rsidRPr="00EB6BD5" w:rsidRDefault="00EB6BD5" w:rsidP="00EB6BD5">
            <w:pPr>
              <w:spacing w:after="40"/>
              <w:rPr>
                <w:rFonts w:cs="Calibri"/>
                <w:b/>
                <w:color w:val="16324F"/>
                <w:sz w:val="17"/>
              </w:rPr>
            </w:pPr>
            <w:r w:rsidRPr="00EB6BD5">
              <w:rPr>
                <w:rFonts w:cs="Calibri"/>
                <w:b/>
                <w:color w:val="16324F"/>
                <w:sz w:val="17"/>
              </w:rPr>
              <w:lastRenderedPageBreak/>
              <w:t>Test layer</w:t>
            </w:r>
          </w:p>
        </w:tc>
        <w:tc>
          <w:tcPr>
            <w:tcW w:w="2600" w:type="pct"/>
            <w:shd w:val="clear" w:color="auto" w:fill="auto"/>
            <w:tcMar>
              <w:top w:w="80" w:type="dxa"/>
              <w:left w:w="120" w:type="dxa"/>
              <w:bottom w:w="80" w:type="dxa"/>
              <w:right w:w="120" w:type="dxa"/>
            </w:tcMar>
          </w:tcPr>
          <w:p w14:paraId="30DA3C6A" w14:textId="75A8D924" w:rsidR="00EB6BD5" w:rsidRPr="00EB6BD5" w:rsidRDefault="00EB6BD5" w:rsidP="00EB6BD5">
            <w:pPr>
              <w:spacing w:after="40"/>
              <w:rPr>
                <w:rFonts w:cs="Calibri"/>
                <w:b/>
                <w:color w:val="16324F"/>
                <w:sz w:val="17"/>
              </w:rPr>
            </w:pPr>
            <w:r w:rsidRPr="00EB6BD5">
              <w:rPr>
                <w:rFonts w:cs="Calibri"/>
                <w:b/>
                <w:color w:val="16324F"/>
                <w:sz w:val="17"/>
              </w:rPr>
              <w:t>Required coverage</w:t>
            </w:r>
          </w:p>
        </w:tc>
        <w:tc>
          <w:tcPr>
            <w:tcW w:w="1400" w:type="pct"/>
            <w:shd w:val="clear" w:color="auto" w:fill="auto"/>
            <w:tcMar>
              <w:top w:w="80" w:type="dxa"/>
              <w:left w:w="120" w:type="dxa"/>
              <w:bottom w:w="80" w:type="dxa"/>
              <w:right w:w="120" w:type="dxa"/>
            </w:tcMar>
          </w:tcPr>
          <w:p w14:paraId="3F4C73D1" w14:textId="699F2FF0" w:rsidR="00EB6BD5" w:rsidRPr="00EB6BD5" w:rsidRDefault="00EB6BD5" w:rsidP="00EB6BD5">
            <w:pPr>
              <w:spacing w:after="40"/>
              <w:rPr>
                <w:rFonts w:cs="Calibri"/>
                <w:b/>
                <w:color w:val="16324F"/>
                <w:sz w:val="17"/>
              </w:rPr>
            </w:pPr>
            <w:r w:rsidRPr="00EB6BD5">
              <w:rPr>
                <w:rFonts w:cs="Calibri"/>
                <w:b/>
                <w:color w:val="16324F"/>
                <w:sz w:val="17"/>
              </w:rPr>
              <w:t>Release evidence</w:t>
            </w:r>
          </w:p>
        </w:tc>
      </w:tr>
      <w:tr w:rsidR="00EB6BD5" w14:paraId="61AB38CB" w14:textId="77777777" w:rsidTr="00EB6BD5">
        <w:trPr>
          <w:cantSplit/>
        </w:trPr>
        <w:tc>
          <w:tcPr>
            <w:tcW w:w="1000" w:type="pct"/>
            <w:shd w:val="clear" w:color="auto" w:fill="auto"/>
            <w:tcMar>
              <w:top w:w="80" w:type="dxa"/>
              <w:left w:w="120" w:type="dxa"/>
              <w:bottom w:w="80" w:type="dxa"/>
              <w:right w:w="120" w:type="dxa"/>
            </w:tcMar>
          </w:tcPr>
          <w:p w14:paraId="799EF9B5" w14:textId="1AFEFFC1" w:rsidR="00EB6BD5" w:rsidRPr="00EB6BD5" w:rsidRDefault="00EB6BD5" w:rsidP="00EB6BD5">
            <w:pPr>
              <w:spacing w:after="40"/>
              <w:rPr>
                <w:rFonts w:cs="Calibri"/>
                <w:sz w:val="17"/>
              </w:rPr>
            </w:pPr>
            <w:r w:rsidRPr="00EB6BD5">
              <w:rPr>
                <w:rFonts w:cs="Calibri"/>
                <w:sz w:val="17"/>
              </w:rPr>
              <w:t>Schema and migration</w:t>
            </w:r>
          </w:p>
        </w:tc>
        <w:tc>
          <w:tcPr>
            <w:tcW w:w="2600" w:type="pct"/>
            <w:shd w:val="clear" w:color="auto" w:fill="auto"/>
            <w:tcMar>
              <w:top w:w="80" w:type="dxa"/>
              <w:left w:w="120" w:type="dxa"/>
              <w:bottom w:w="80" w:type="dxa"/>
              <w:right w:w="120" w:type="dxa"/>
            </w:tcMar>
          </w:tcPr>
          <w:p w14:paraId="62DE95DB" w14:textId="43A6425D" w:rsidR="00EB6BD5" w:rsidRPr="00EB6BD5" w:rsidRDefault="00EB6BD5" w:rsidP="00EB6BD5">
            <w:pPr>
              <w:spacing w:after="40"/>
              <w:rPr>
                <w:rFonts w:cs="Calibri"/>
                <w:sz w:val="17"/>
              </w:rPr>
            </w:pPr>
            <w:r w:rsidRPr="00EB6BD5">
              <w:rPr>
                <w:rFonts w:cs="Calibri"/>
                <w:sz w:val="17"/>
              </w:rPr>
              <w:t>Fresh install; upgrade from every supported migration point; repeatable backfill; rollback projection; indexes/query plans</w:t>
            </w:r>
          </w:p>
        </w:tc>
        <w:tc>
          <w:tcPr>
            <w:tcW w:w="1400" w:type="pct"/>
            <w:shd w:val="clear" w:color="auto" w:fill="auto"/>
            <w:tcMar>
              <w:top w:w="80" w:type="dxa"/>
              <w:left w:w="120" w:type="dxa"/>
              <w:bottom w:w="80" w:type="dxa"/>
              <w:right w:w="120" w:type="dxa"/>
            </w:tcMar>
          </w:tcPr>
          <w:p w14:paraId="1027CB34" w14:textId="5C4CCCEA" w:rsidR="00EB6BD5" w:rsidRPr="00EB6BD5" w:rsidRDefault="00EB6BD5" w:rsidP="00EB6BD5">
            <w:pPr>
              <w:spacing w:after="40"/>
              <w:rPr>
                <w:rFonts w:cs="Calibri"/>
                <w:sz w:val="17"/>
              </w:rPr>
            </w:pPr>
            <w:r w:rsidRPr="00EB6BD5">
              <w:rPr>
                <w:rFonts w:cs="Calibri"/>
                <w:sz w:val="17"/>
              </w:rPr>
              <w:t>Automated migration logs and row-count/checksum reconciliation</w:t>
            </w:r>
          </w:p>
        </w:tc>
      </w:tr>
      <w:tr w:rsidR="00EB6BD5" w14:paraId="593EF465" w14:textId="77777777" w:rsidTr="00EB6BD5">
        <w:trPr>
          <w:cantSplit/>
        </w:trPr>
        <w:tc>
          <w:tcPr>
            <w:tcW w:w="1000" w:type="pct"/>
            <w:shd w:val="clear" w:color="auto" w:fill="auto"/>
            <w:tcMar>
              <w:top w:w="80" w:type="dxa"/>
              <w:left w:w="120" w:type="dxa"/>
              <w:bottom w:w="80" w:type="dxa"/>
              <w:right w:w="120" w:type="dxa"/>
            </w:tcMar>
          </w:tcPr>
          <w:p w14:paraId="00AEB8B7" w14:textId="095E12C4" w:rsidR="00EB6BD5" w:rsidRPr="00EB6BD5" w:rsidRDefault="00EB6BD5" w:rsidP="00EB6BD5">
            <w:pPr>
              <w:spacing w:after="40"/>
              <w:rPr>
                <w:rFonts w:cs="Calibri"/>
                <w:sz w:val="17"/>
              </w:rPr>
            </w:pPr>
            <w:r w:rsidRPr="00EB6BD5">
              <w:rPr>
                <w:rFonts w:cs="Calibri"/>
                <w:sz w:val="17"/>
              </w:rPr>
              <w:t>RLS and grants</w:t>
            </w:r>
          </w:p>
        </w:tc>
        <w:tc>
          <w:tcPr>
            <w:tcW w:w="2600" w:type="pct"/>
            <w:shd w:val="clear" w:color="auto" w:fill="auto"/>
            <w:tcMar>
              <w:top w:w="80" w:type="dxa"/>
              <w:left w:w="120" w:type="dxa"/>
              <w:bottom w:w="80" w:type="dxa"/>
              <w:right w:w="120" w:type="dxa"/>
            </w:tcMar>
          </w:tcPr>
          <w:p w14:paraId="49F0E659" w14:textId="79028FF0" w:rsidR="00EB6BD5" w:rsidRPr="00EB6BD5" w:rsidRDefault="00EB6BD5" w:rsidP="00EB6BD5">
            <w:pPr>
              <w:spacing w:after="40"/>
              <w:rPr>
                <w:rFonts w:cs="Calibri"/>
                <w:sz w:val="17"/>
              </w:rPr>
            </w:pPr>
            <w:r w:rsidRPr="00EB6BD5">
              <w:rPr>
                <w:rFonts w:cs="Calibri"/>
                <w:sz w:val="17"/>
              </w:rPr>
              <w:t>Resident own/other; BDRRMO in/out of barangay; MDRRMO municipality; Mayor read-only; inactive accounts; direct table access; function execution</w:t>
            </w:r>
          </w:p>
        </w:tc>
        <w:tc>
          <w:tcPr>
            <w:tcW w:w="1400" w:type="pct"/>
            <w:shd w:val="clear" w:color="auto" w:fill="auto"/>
            <w:tcMar>
              <w:top w:w="80" w:type="dxa"/>
              <w:left w:w="120" w:type="dxa"/>
              <w:bottom w:w="80" w:type="dxa"/>
              <w:right w:w="120" w:type="dxa"/>
            </w:tcMar>
          </w:tcPr>
          <w:p w14:paraId="39C1C212" w14:textId="7258E6DE" w:rsidR="00EB6BD5" w:rsidRPr="00EB6BD5" w:rsidRDefault="00EB6BD5" w:rsidP="00EB6BD5">
            <w:pPr>
              <w:spacing w:after="40"/>
              <w:rPr>
                <w:rFonts w:cs="Calibri"/>
                <w:sz w:val="17"/>
              </w:rPr>
            </w:pPr>
            <w:r w:rsidRPr="00EB6BD5">
              <w:rPr>
                <w:rFonts w:cs="Calibri"/>
                <w:sz w:val="17"/>
              </w:rPr>
              <w:t>Supabase SQL test matrix with positive and negative assertions</w:t>
            </w:r>
          </w:p>
        </w:tc>
      </w:tr>
      <w:tr w:rsidR="00EB6BD5" w14:paraId="362FA255" w14:textId="77777777" w:rsidTr="00EB6BD5">
        <w:trPr>
          <w:cantSplit/>
        </w:trPr>
        <w:tc>
          <w:tcPr>
            <w:tcW w:w="1000" w:type="pct"/>
            <w:shd w:val="clear" w:color="auto" w:fill="auto"/>
            <w:tcMar>
              <w:top w:w="80" w:type="dxa"/>
              <w:left w:w="120" w:type="dxa"/>
              <w:bottom w:w="80" w:type="dxa"/>
              <w:right w:w="120" w:type="dxa"/>
            </w:tcMar>
          </w:tcPr>
          <w:p w14:paraId="5F32A7F2" w14:textId="579DB614" w:rsidR="00EB6BD5" w:rsidRPr="00EB6BD5" w:rsidRDefault="00EB6BD5" w:rsidP="00EB6BD5">
            <w:pPr>
              <w:spacing w:after="40"/>
              <w:rPr>
                <w:rFonts w:cs="Calibri"/>
                <w:sz w:val="17"/>
              </w:rPr>
            </w:pPr>
            <w:r w:rsidRPr="00EB6BD5">
              <w:rPr>
                <w:rFonts w:cs="Calibri"/>
                <w:sz w:val="17"/>
              </w:rPr>
              <w:t>State machine</w:t>
            </w:r>
          </w:p>
        </w:tc>
        <w:tc>
          <w:tcPr>
            <w:tcW w:w="2600" w:type="pct"/>
            <w:shd w:val="clear" w:color="auto" w:fill="auto"/>
            <w:tcMar>
              <w:top w:w="80" w:type="dxa"/>
              <w:left w:w="120" w:type="dxa"/>
              <w:bottom w:w="80" w:type="dxa"/>
              <w:right w:w="120" w:type="dxa"/>
            </w:tcMar>
          </w:tcPr>
          <w:p w14:paraId="3561E647" w14:textId="585EF89A" w:rsidR="00EB6BD5" w:rsidRPr="00EB6BD5" w:rsidRDefault="00EB6BD5" w:rsidP="00EB6BD5">
            <w:pPr>
              <w:spacing w:after="40"/>
              <w:rPr>
                <w:rFonts w:cs="Calibri"/>
                <w:sz w:val="17"/>
              </w:rPr>
            </w:pPr>
            <w:r w:rsidRPr="00EB6BD5">
              <w:rPr>
                <w:rFonts w:cs="Calibri"/>
                <w:sz w:val="17"/>
              </w:rPr>
              <w:t>Every valid transition; every forbidden transition; required reasons/closure; transfer acceptance; assessment atomics; reopen</w:t>
            </w:r>
          </w:p>
        </w:tc>
        <w:tc>
          <w:tcPr>
            <w:tcW w:w="1400" w:type="pct"/>
            <w:shd w:val="clear" w:color="auto" w:fill="auto"/>
            <w:tcMar>
              <w:top w:w="80" w:type="dxa"/>
              <w:left w:w="120" w:type="dxa"/>
              <w:bottom w:w="80" w:type="dxa"/>
              <w:right w:w="120" w:type="dxa"/>
            </w:tcMar>
          </w:tcPr>
          <w:p w14:paraId="07CBF2D6" w14:textId="4E7415E5" w:rsidR="00EB6BD5" w:rsidRPr="00EB6BD5" w:rsidRDefault="00EB6BD5" w:rsidP="00EB6BD5">
            <w:pPr>
              <w:spacing w:after="40"/>
              <w:rPr>
                <w:rFonts w:cs="Calibri"/>
                <w:sz w:val="17"/>
              </w:rPr>
            </w:pPr>
            <w:r w:rsidRPr="00EB6BD5">
              <w:rPr>
                <w:rFonts w:cs="Calibri"/>
                <w:sz w:val="17"/>
              </w:rPr>
              <w:t>Table-driven database tests and command-level integration tests</w:t>
            </w:r>
          </w:p>
        </w:tc>
      </w:tr>
      <w:tr w:rsidR="00EB6BD5" w14:paraId="5BB12FF3" w14:textId="77777777" w:rsidTr="00EB6BD5">
        <w:trPr>
          <w:cantSplit/>
        </w:trPr>
        <w:tc>
          <w:tcPr>
            <w:tcW w:w="1000" w:type="pct"/>
            <w:shd w:val="clear" w:color="auto" w:fill="auto"/>
            <w:tcMar>
              <w:top w:w="80" w:type="dxa"/>
              <w:left w:w="120" w:type="dxa"/>
              <w:bottom w:w="80" w:type="dxa"/>
              <w:right w:w="120" w:type="dxa"/>
            </w:tcMar>
          </w:tcPr>
          <w:p w14:paraId="5C735F42" w14:textId="5678C5E3" w:rsidR="00EB6BD5" w:rsidRPr="00EB6BD5" w:rsidRDefault="00EB6BD5" w:rsidP="00EB6BD5">
            <w:pPr>
              <w:spacing w:after="40"/>
              <w:rPr>
                <w:rFonts w:cs="Calibri"/>
                <w:sz w:val="17"/>
              </w:rPr>
            </w:pPr>
            <w:r w:rsidRPr="00EB6BD5">
              <w:rPr>
                <w:rFonts w:cs="Calibri"/>
                <w:sz w:val="17"/>
              </w:rPr>
              <w:t>Concurrency/idempotency</w:t>
            </w:r>
          </w:p>
        </w:tc>
        <w:tc>
          <w:tcPr>
            <w:tcW w:w="2600" w:type="pct"/>
            <w:shd w:val="clear" w:color="auto" w:fill="auto"/>
            <w:tcMar>
              <w:top w:w="80" w:type="dxa"/>
              <w:left w:w="120" w:type="dxa"/>
              <w:bottom w:w="80" w:type="dxa"/>
              <w:right w:w="120" w:type="dxa"/>
            </w:tcMar>
          </w:tcPr>
          <w:p w14:paraId="511A52A6" w14:textId="724C6B2E" w:rsidR="00EB6BD5" w:rsidRPr="00EB6BD5" w:rsidRDefault="00EB6BD5" w:rsidP="00EB6BD5">
            <w:pPr>
              <w:spacing w:after="40"/>
              <w:rPr>
                <w:rFonts w:cs="Calibri"/>
                <w:sz w:val="17"/>
              </w:rPr>
            </w:pPr>
            <w:r w:rsidRPr="00EB6BD5">
              <w:rPr>
                <w:rFonts w:cs="Calibri"/>
                <w:sz w:val="17"/>
              </w:rPr>
              <w:t>Two reviewers; repeated offline submission; repeated support acceptance; retried closure; duplicate link races</w:t>
            </w:r>
          </w:p>
        </w:tc>
        <w:tc>
          <w:tcPr>
            <w:tcW w:w="1400" w:type="pct"/>
            <w:shd w:val="clear" w:color="auto" w:fill="auto"/>
            <w:tcMar>
              <w:top w:w="80" w:type="dxa"/>
              <w:left w:w="120" w:type="dxa"/>
              <w:bottom w:w="80" w:type="dxa"/>
              <w:right w:w="120" w:type="dxa"/>
            </w:tcMar>
          </w:tcPr>
          <w:p w14:paraId="79E184D1" w14:textId="78B8BC1E" w:rsidR="00EB6BD5" w:rsidRPr="00EB6BD5" w:rsidRDefault="00EB6BD5" w:rsidP="00EB6BD5">
            <w:pPr>
              <w:spacing w:after="40"/>
              <w:rPr>
                <w:rFonts w:cs="Calibri"/>
                <w:sz w:val="17"/>
              </w:rPr>
            </w:pPr>
            <w:r w:rsidRPr="00EB6BD5">
              <w:rPr>
                <w:rFonts w:cs="Calibri"/>
                <w:sz w:val="17"/>
              </w:rPr>
              <w:t>Parallel transaction tests; exactly-once observable results</w:t>
            </w:r>
          </w:p>
        </w:tc>
      </w:tr>
      <w:tr w:rsidR="00EB6BD5" w14:paraId="1539219F" w14:textId="77777777" w:rsidTr="00EB6BD5">
        <w:trPr>
          <w:cantSplit/>
        </w:trPr>
        <w:tc>
          <w:tcPr>
            <w:tcW w:w="1000" w:type="pct"/>
            <w:shd w:val="clear" w:color="auto" w:fill="auto"/>
            <w:tcMar>
              <w:top w:w="80" w:type="dxa"/>
              <w:left w:w="120" w:type="dxa"/>
              <w:bottom w:w="80" w:type="dxa"/>
              <w:right w:w="120" w:type="dxa"/>
            </w:tcMar>
          </w:tcPr>
          <w:p w14:paraId="37895804" w14:textId="6215C734" w:rsidR="00EB6BD5" w:rsidRPr="00EB6BD5" w:rsidRDefault="00EB6BD5" w:rsidP="00EB6BD5">
            <w:pPr>
              <w:spacing w:after="40"/>
              <w:rPr>
                <w:rFonts w:cs="Calibri"/>
                <w:sz w:val="17"/>
              </w:rPr>
            </w:pPr>
            <w:r w:rsidRPr="00EB6BD5">
              <w:rPr>
                <w:rFonts w:cs="Calibri"/>
                <w:sz w:val="17"/>
              </w:rPr>
              <w:t>Privacy/contact</w:t>
            </w:r>
          </w:p>
        </w:tc>
        <w:tc>
          <w:tcPr>
            <w:tcW w:w="2600" w:type="pct"/>
            <w:shd w:val="clear" w:color="auto" w:fill="auto"/>
            <w:tcMar>
              <w:top w:w="80" w:type="dxa"/>
              <w:left w:w="120" w:type="dxa"/>
              <w:bottom w:w="80" w:type="dxa"/>
              <w:right w:w="120" w:type="dxa"/>
            </w:tcMar>
          </w:tcPr>
          <w:p w14:paraId="2B026A05" w14:textId="7887FCEA" w:rsidR="00EB6BD5" w:rsidRPr="00EB6BD5" w:rsidRDefault="00EB6BD5" w:rsidP="00EB6BD5">
            <w:pPr>
              <w:spacing w:after="40"/>
              <w:rPr>
                <w:rFonts w:cs="Calibri"/>
                <w:sz w:val="17"/>
              </w:rPr>
            </w:pPr>
            <w:r w:rsidRPr="00EB6BD5">
              <w:rPr>
                <w:rFonts w:cs="Calibri"/>
                <w:sz w:val="17"/>
              </w:rPr>
              <w:t>Masked default; scoped reveal; mandatory reason; office snapshot; manual outcome; rate limits; prior-history visibility; no phone in analytics/log exports</w:t>
            </w:r>
          </w:p>
        </w:tc>
        <w:tc>
          <w:tcPr>
            <w:tcW w:w="1400" w:type="pct"/>
            <w:shd w:val="clear" w:color="auto" w:fill="auto"/>
            <w:tcMar>
              <w:top w:w="80" w:type="dxa"/>
              <w:left w:w="120" w:type="dxa"/>
              <w:bottom w:w="80" w:type="dxa"/>
              <w:right w:w="120" w:type="dxa"/>
            </w:tcMar>
          </w:tcPr>
          <w:p w14:paraId="16AA101F" w14:textId="13FE93D9" w:rsidR="00EB6BD5" w:rsidRPr="00EB6BD5" w:rsidRDefault="00EB6BD5" w:rsidP="00EB6BD5">
            <w:pPr>
              <w:spacing w:after="40"/>
              <w:rPr>
                <w:rFonts w:cs="Calibri"/>
                <w:sz w:val="17"/>
              </w:rPr>
            </w:pPr>
            <w:r w:rsidRPr="00EB6BD5">
              <w:rPr>
                <w:rFonts w:cs="Calibri"/>
                <w:sz w:val="17"/>
              </w:rPr>
              <w:t>RLS tests, log inspection, abuse tests, and DPO review</w:t>
            </w:r>
          </w:p>
        </w:tc>
      </w:tr>
      <w:tr w:rsidR="00EB6BD5" w14:paraId="2BD2AFF2" w14:textId="77777777" w:rsidTr="00EB6BD5">
        <w:trPr>
          <w:cantSplit/>
        </w:trPr>
        <w:tc>
          <w:tcPr>
            <w:tcW w:w="1000" w:type="pct"/>
            <w:shd w:val="clear" w:color="auto" w:fill="auto"/>
            <w:tcMar>
              <w:top w:w="80" w:type="dxa"/>
              <w:left w:w="120" w:type="dxa"/>
              <w:bottom w:w="80" w:type="dxa"/>
              <w:right w:w="120" w:type="dxa"/>
            </w:tcMar>
          </w:tcPr>
          <w:p w14:paraId="4BCB989E" w14:textId="287AA29B" w:rsidR="00EB6BD5" w:rsidRPr="00EB6BD5" w:rsidRDefault="00EB6BD5" w:rsidP="00EB6BD5">
            <w:pPr>
              <w:spacing w:after="40"/>
              <w:rPr>
                <w:rFonts w:cs="Calibri"/>
                <w:sz w:val="17"/>
              </w:rPr>
            </w:pPr>
            <w:r w:rsidRPr="00EB6BD5">
              <w:rPr>
                <w:rFonts w:cs="Calibri"/>
                <w:sz w:val="17"/>
              </w:rPr>
              <w:t>Map/public projections</w:t>
            </w:r>
          </w:p>
        </w:tc>
        <w:tc>
          <w:tcPr>
            <w:tcW w:w="2600" w:type="pct"/>
            <w:shd w:val="clear" w:color="auto" w:fill="auto"/>
            <w:tcMar>
              <w:top w:w="80" w:type="dxa"/>
              <w:left w:w="120" w:type="dxa"/>
              <w:bottom w:w="80" w:type="dxa"/>
              <w:right w:w="120" w:type="dxa"/>
            </w:tcMar>
          </w:tcPr>
          <w:p w14:paraId="5CAAC6A7" w14:textId="03BCE5AF" w:rsidR="00EB6BD5" w:rsidRPr="00EB6BD5" w:rsidRDefault="00EB6BD5" w:rsidP="00EB6BD5">
            <w:pPr>
              <w:spacing w:after="40"/>
              <w:rPr>
                <w:rFonts w:cs="Calibri"/>
                <w:sz w:val="17"/>
              </w:rPr>
            </w:pPr>
            <w:r w:rsidRPr="00EB6BD5">
              <w:rPr>
                <w:rFonts w:cs="Calibri"/>
                <w:sz w:val="17"/>
              </w:rPr>
              <w:t>Reporter own pending; official pending; Mayor confirmed focus; other resident confirmed-only; assessment not public-confirmed; sensitive location redaction</w:t>
            </w:r>
          </w:p>
        </w:tc>
        <w:tc>
          <w:tcPr>
            <w:tcW w:w="1400" w:type="pct"/>
            <w:shd w:val="clear" w:color="auto" w:fill="auto"/>
            <w:tcMar>
              <w:top w:w="80" w:type="dxa"/>
              <w:left w:w="120" w:type="dxa"/>
              <w:bottom w:w="80" w:type="dxa"/>
              <w:right w:w="120" w:type="dxa"/>
            </w:tcMar>
          </w:tcPr>
          <w:p w14:paraId="1E93EC08" w14:textId="00C42818" w:rsidR="00EB6BD5" w:rsidRPr="00EB6BD5" w:rsidRDefault="00EB6BD5" w:rsidP="00EB6BD5">
            <w:pPr>
              <w:spacing w:after="40"/>
              <w:rPr>
                <w:rFonts w:cs="Calibri"/>
                <w:sz w:val="17"/>
              </w:rPr>
            </w:pPr>
            <w:r w:rsidRPr="00EB6BD5">
              <w:rPr>
                <w:rFonts w:cs="Calibri"/>
                <w:sz w:val="17"/>
              </w:rPr>
              <w:t>Role snapshot tests and end-to-end map fixtures</w:t>
            </w:r>
          </w:p>
        </w:tc>
      </w:tr>
      <w:tr w:rsidR="00EB6BD5" w14:paraId="0398947F" w14:textId="77777777" w:rsidTr="00EB6BD5">
        <w:trPr>
          <w:cantSplit/>
        </w:trPr>
        <w:tc>
          <w:tcPr>
            <w:tcW w:w="1000" w:type="pct"/>
            <w:shd w:val="clear" w:color="auto" w:fill="auto"/>
            <w:tcMar>
              <w:top w:w="80" w:type="dxa"/>
              <w:left w:w="120" w:type="dxa"/>
              <w:bottom w:w="80" w:type="dxa"/>
              <w:right w:w="120" w:type="dxa"/>
            </w:tcMar>
          </w:tcPr>
          <w:p w14:paraId="4CB4A3DD" w14:textId="0042D912" w:rsidR="00EB6BD5" w:rsidRPr="00EB6BD5" w:rsidRDefault="00EB6BD5" w:rsidP="00EB6BD5">
            <w:pPr>
              <w:spacing w:after="40"/>
              <w:rPr>
                <w:rFonts w:cs="Calibri"/>
                <w:sz w:val="17"/>
              </w:rPr>
            </w:pPr>
            <w:r w:rsidRPr="00EB6BD5">
              <w:rPr>
                <w:rFonts w:cs="Calibri"/>
                <w:sz w:val="17"/>
              </w:rPr>
              <w:t>Offline and media</w:t>
            </w:r>
          </w:p>
        </w:tc>
        <w:tc>
          <w:tcPr>
            <w:tcW w:w="2600" w:type="pct"/>
            <w:shd w:val="clear" w:color="auto" w:fill="auto"/>
            <w:tcMar>
              <w:top w:w="80" w:type="dxa"/>
              <w:left w:w="120" w:type="dxa"/>
              <w:bottom w:w="80" w:type="dxa"/>
              <w:right w:w="120" w:type="dxa"/>
            </w:tcMar>
          </w:tcPr>
          <w:p w14:paraId="48FF4407" w14:textId="1F8E2B6F" w:rsidR="00EB6BD5" w:rsidRPr="00EB6BD5" w:rsidRDefault="00EB6BD5" w:rsidP="00EB6BD5">
            <w:pPr>
              <w:spacing w:after="40"/>
              <w:rPr>
                <w:rFonts w:cs="Calibri"/>
                <w:sz w:val="17"/>
              </w:rPr>
            </w:pPr>
            <w:r w:rsidRPr="00EB6BD5">
              <w:rPr>
                <w:rFonts w:cs="Calibri"/>
                <w:sz w:val="17"/>
              </w:rPr>
              <w:t>Queue resume/retry; idempotent server creation; partial upload; orphan cleanup; file type/size/duration; lost EXIF; poor accuracy/stale fix</w:t>
            </w:r>
          </w:p>
        </w:tc>
        <w:tc>
          <w:tcPr>
            <w:tcW w:w="1400" w:type="pct"/>
            <w:shd w:val="clear" w:color="auto" w:fill="auto"/>
            <w:tcMar>
              <w:top w:w="80" w:type="dxa"/>
              <w:left w:w="120" w:type="dxa"/>
              <w:bottom w:w="80" w:type="dxa"/>
              <w:right w:w="120" w:type="dxa"/>
            </w:tcMar>
          </w:tcPr>
          <w:p w14:paraId="03E1AC38" w14:textId="2C250087" w:rsidR="00EB6BD5" w:rsidRPr="00EB6BD5" w:rsidRDefault="00EB6BD5" w:rsidP="00EB6BD5">
            <w:pPr>
              <w:spacing w:after="40"/>
              <w:rPr>
                <w:rFonts w:cs="Calibri"/>
                <w:sz w:val="17"/>
              </w:rPr>
            </w:pPr>
            <w:r w:rsidRPr="00EB6BD5">
              <w:rPr>
                <w:rFonts w:cs="Calibri"/>
                <w:sz w:val="17"/>
              </w:rPr>
              <w:t>Device/network fault tests and server validation logs</w:t>
            </w:r>
          </w:p>
        </w:tc>
      </w:tr>
      <w:tr w:rsidR="00EB6BD5" w14:paraId="42460D77" w14:textId="77777777" w:rsidTr="00EB6BD5">
        <w:trPr>
          <w:cantSplit/>
        </w:trPr>
        <w:tc>
          <w:tcPr>
            <w:tcW w:w="1000" w:type="pct"/>
            <w:shd w:val="clear" w:color="auto" w:fill="auto"/>
            <w:tcMar>
              <w:top w:w="80" w:type="dxa"/>
              <w:left w:w="120" w:type="dxa"/>
              <w:bottom w:w="80" w:type="dxa"/>
              <w:right w:w="120" w:type="dxa"/>
            </w:tcMar>
          </w:tcPr>
          <w:p w14:paraId="0F858FCD" w14:textId="2291F5CA" w:rsidR="00EB6BD5" w:rsidRPr="00EB6BD5" w:rsidRDefault="00EB6BD5" w:rsidP="00EB6BD5">
            <w:pPr>
              <w:spacing w:after="40"/>
              <w:rPr>
                <w:rFonts w:cs="Calibri"/>
                <w:sz w:val="17"/>
              </w:rPr>
            </w:pPr>
            <w:r w:rsidRPr="00EB6BD5">
              <w:rPr>
                <w:rFonts w:cs="Calibri"/>
                <w:sz w:val="17"/>
              </w:rPr>
              <w:t>Operational UAT</w:t>
            </w:r>
          </w:p>
        </w:tc>
        <w:tc>
          <w:tcPr>
            <w:tcW w:w="2600" w:type="pct"/>
            <w:shd w:val="clear" w:color="auto" w:fill="auto"/>
            <w:tcMar>
              <w:top w:w="80" w:type="dxa"/>
              <w:left w:w="120" w:type="dxa"/>
              <w:bottom w:w="80" w:type="dxa"/>
              <w:right w:w="120" w:type="dxa"/>
            </w:tcMar>
          </w:tcPr>
          <w:p w14:paraId="11EA5FC7" w14:textId="548F0971" w:rsidR="00EB6BD5" w:rsidRPr="00EB6BD5" w:rsidRDefault="00EB6BD5" w:rsidP="00EB6BD5">
            <w:pPr>
              <w:spacing w:after="40"/>
              <w:rPr>
                <w:rFonts w:cs="Calibri"/>
                <w:sz w:val="17"/>
              </w:rPr>
            </w:pPr>
            <w:r w:rsidRPr="00EB6BD5">
              <w:rPr>
                <w:rFonts w:cs="Calibri"/>
                <w:sz w:val="17"/>
              </w:rPr>
              <w:t>Fire, flood, electrical hazard, low-risk unclear report, duplicate, prank, failed contact, support, transfer, closure, reopen</w:t>
            </w:r>
          </w:p>
        </w:tc>
        <w:tc>
          <w:tcPr>
            <w:tcW w:w="1400" w:type="pct"/>
            <w:shd w:val="clear" w:color="auto" w:fill="auto"/>
            <w:tcMar>
              <w:top w:w="80" w:type="dxa"/>
              <w:left w:w="120" w:type="dxa"/>
              <w:bottom w:w="80" w:type="dxa"/>
              <w:right w:w="120" w:type="dxa"/>
            </w:tcMar>
          </w:tcPr>
          <w:p w14:paraId="67690086" w14:textId="0E6A23B3" w:rsidR="00EB6BD5" w:rsidRPr="00EB6BD5" w:rsidRDefault="00EB6BD5" w:rsidP="00EB6BD5">
            <w:pPr>
              <w:spacing w:after="40"/>
              <w:rPr>
                <w:rFonts w:cs="Calibri"/>
                <w:sz w:val="17"/>
              </w:rPr>
            </w:pPr>
            <w:r w:rsidRPr="00EB6BD5">
              <w:rPr>
                <w:rFonts w:cs="Calibri"/>
                <w:sz w:val="17"/>
              </w:rPr>
              <w:t>Signed scenario checklist from BDRRMO/MDRRMO and product owner</w:t>
            </w:r>
          </w:p>
        </w:tc>
      </w:tr>
    </w:tbl>
    <w:p w14:paraId="5335C848" w14:textId="77777777" w:rsidR="00EB6BD5" w:rsidRDefault="00EB6BD5" w:rsidP="00EB6BD5"/>
    <w:p w14:paraId="1E812713" w14:textId="5BC4CC0F" w:rsidR="00EB6BD5" w:rsidRDefault="00EB6BD5" w:rsidP="00EB6BD5">
      <w:pPr>
        <w:pStyle w:val="Heading2"/>
        <w:rPr>
          <w:b w:val="0"/>
        </w:rPr>
      </w:pPr>
      <w:bookmarkStart w:id="16" w:name="_Toc240324154"/>
      <w:r>
        <w:rPr>
          <w:b w:val="0"/>
        </w:rPr>
        <w:t>8.1 Critical acceptance scenarios</w:t>
      </w:r>
      <w:bookmarkEnd w:id="16"/>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3721"/>
        <w:gridCol w:w="6071"/>
      </w:tblGrid>
      <w:tr w:rsidR="00EB6BD5" w14:paraId="3C109624" w14:textId="77777777" w:rsidTr="00EB6BD5">
        <w:trPr>
          <w:cantSplit/>
        </w:trPr>
        <w:tc>
          <w:tcPr>
            <w:tcW w:w="1900" w:type="pct"/>
            <w:shd w:val="clear" w:color="auto" w:fill="auto"/>
            <w:tcMar>
              <w:top w:w="80" w:type="dxa"/>
              <w:left w:w="120" w:type="dxa"/>
              <w:bottom w:w="80" w:type="dxa"/>
              <w:right w:w="120" w:type="dxa"/>
            </w:tcMar>
          </w:tcPr>
          <w:p w14:paraId="1C5317FC" w14:textId="5D09E271" w:rsidR="00EB6BD5" w:rsidRPr="00EB6BD5" w:rsidRDefault="00EB6BD5" w:rsidP="00EB6BD5">
            <w:pPr>
              <w:spacing w:after="40"/>
              <w:rPr>
                <w:rFonts w:cs="Calibri"/>
                <w:b/>
                <w:color w:val="16324F"/>
                <w:sz w:val="17"/>
              </w:rPr>
            </w:pPr>
            <w:r w:rsidRPr="00EB6BD5">
              <w:rPr>
                <w:rFonts w:cs="Calibri"/>
                <w:b/>
                <w:color w:val="16324F"/>
                <w:sz w:val="17"/>
              </w:rPr>
              <w:t>Scenario</w:t>
            </w:r>
          </w:p>
        </w:tc>
        <w:tc>
          <w:tcPr>
            <w:tcW w:w="3100" w:type="pct"/>
            <w:shd w:val="clear" w:color="auto" w:fill="auto"/>
            <w:tcMar>
              <w:top w:w="80" w:type="dxa"/>
              <w:left w:w="120" w:type="dxa"/>
              <w:bottom w:w="80" w:type="dxa"/>
              <w:right w:w="120" w:type="dxa"/>
            </w:tcMar>
          </w:tcPr>
          <w:p w14:paraId="3ACBEB59" w14:textId="5F4101FC" w:rsidR="00EB6BD5" w:rsidRPr="00EB6BD5" w:rsidRDefault="00EB6BD5" w:rsidP="00EB6BD5">
            <w:pPr>
              <w:spacing w:after="40"/>
              <w:rPr>
                <w:rFonts w:cs="Calibri"/>
                <w:b/>
                <w:color w:val="16324F"/>
                <w:sz w:val="17"/>
              </w:rPr>
            </w:pPr>
            <w:r w:rsidRPr="00EB6BD5">
              <w:rPr>
                <w:rFonts w:cs="Calibri"/>
                <w:b/>
                <w:color w:val="16324F"/>
                <w:sz w:val="17"/>
              </w:rPr>
              <w:t>Expected outcome</w:t>
            </w:r>
          </w:p>
        </w:tc>
      </w:tr>
      <w:tr w:rsidR="00EB6BD5" w14:paraId="36578A51" w14:textId="77777777" w:rsidTr="00EB6BD5">
        <w:trPr>
          <w:cantSplit/>
        </w:trPr>
        <w:tc>
          <w:tcPr>
            <w:tcW w:w="1900" w:type="pct"/>
            <w:shd w:val="clear" w:color="auto" w:fill="auto"/>
            <w:tcMar>
              <w:top w:w="80" w:type="dxa"/>
              <w:left w:w="120" w:type="dxa"/>
              <w:bottom w:w="80" w:type="dxa"/>
              <w:right w:w="120" w:type="dxa"/>
            </w:tcMar>
          </w:tcPr>
          <w:p w14:paraId="635CB0A1" w14:textId="5BF600D4" w:rsidR="00EB6BD5" w:rsidRPr="00EB6BD5" w:rsidRDefault="00EB6BD5" w:rsidP="00EB6BD5">
            <w:pPr>
              <w:spacing w:after="40"/>
              <w:rPr>
                <w:rFonts w:cs="Calibri"/>
                <w:sz w:val="17"/>
              </w:rPr>
            </w:pPr>
            <w:r w:rsidRPr="00EB6BD5">
              <w:rPr>
                <w:rFonts w:cs="Calibri"/>
                <w:sz w:val="17"/>
              </w:rPr>
              <w:t>Clear flood media + accurate GPS + three matching reports; no call</w:t>
            </w:r>
          </w:p>
        </w:tc>
        <w:tc>
          <w:tcPr>
            <w:tcW w:w="3100" w:type="pct"/>
            <w:shd w:val="clear" w:color="auto" w:fill="auto"/>
            <w:tcMar>
              <w:top w:w="80" w:type="dxa"/>
              <w:left w:w="120" w:type="dxa"/>
              <w:bottom w:w="80" w:type="dxa"/>
              <w:right w:w="120" w:type="dxa"/>
            </w:tcMar>
          </w:tcPr>
          <w:p w14:paraId="75F0EA40" w14:textId="078AAE85" w:rsidR="00EB6BD5" w:rsidRPr="00EB6BD5" w:rsidRDefault="00EB6BD5" w:rsidP="00EB6BD5">
            <w:pPr>
              <w:spacing w:after="40"/>
              <w:rPr>
                <w:rFonts w:cs="Calibri"/>
                <w:sz w:val="17"/>
              </w:rPr>
            </w:pPr>
            <w:r w:rsidRPr="00EB6BD5">
              <w:rPr>
                <w:rFonts w:cs="Calibri"/>
                <w:sz w:val="17"/>
              </w:rPr>
              <w:t>Reviewer may Verify as New Incident. A confirmed case is created; no contact requirement is triggered.</w:t>
            </w:r>
          </w:p>
        </w:tc>
      </w:tr>
      <w:tr w:rsidR="00EB6BD5" w14:paraId="1470FBCD" w14:textId="77777777" w:rsidTr="00EB6BD5">
        <w:trPr>
          <w:cantSplit/>
        </w:trPr>
        <w:tc>
          <w:tcPr>
            <w:tcW w:w="1900" w:type="pct"/>
            <w:shd w:val="clear" w:color="auto" w:fill="auto"/>
            <w:tcMar>
              <w:top w:w="80" w:type="dxa"/>
              <w:left w:w="120" w:type="dxa"/>
              <w:bottom w:w="80" w:type="dxa"/>
              <w:right w:w="120" w:type="dxa"/>
            </w:tcMar>
          </w:tcPr>
          <w:p w14:paraId="57622303" w14:textId="6E55CE33" w:rsidR="00EB6BD5" w:rsidRPr="00EB6BD5" w:rsidRDefault="00EB6BD5" w:rsidP="00EB6BD5">
            <w:pPr>
              <w:spacing w:after="40"/>
              <w:rPr>
                <w:rFonts w:cs="Calibri"/>
                <w:sz w:val="17"/>
              </w:rPr>
            </w:pPr>
            <w:r w:rsidRPr="00EB6BD5">
              <w:rPr>
                <w:rFonts w:cs="Calibri"/>
                <w:sz w:val="17"/>
              </w:rPr>
              <w:t>Possible electrical hazard; unclear media; poor GPS; risk high</w:t>
            </w:r>
          </w:p>
        </w:tc>
        <w:tc>
          <w:tcPr>
            <w:tcW w:w="3100" w:type="pct"/>
            <w:shd w:val="clear" w:color="auto" w:fill="auto"/>
            <w:tcMar>
              <w:top w:w="80" w:type="dxa"/>
              <w:left w:w="120" w:type="dxa"/>
              <w:bottom w:w="80" w:type="dxa"/>
              <w:right w:w="120" w:type="dxa"/>
            </w:tcMar>
          </w:tcPr>
          <w:p w14:paraId="6AE5FEE8" w14:textId="6CD468F8" w:rsidR="00EB6BD5" w:rsidRPr="00EB6BD5" w:rsidRDefault="00EB6BD5" w:rsidP="00EB6BD5">
            <w:pPr>
              <w:spacing w:after="40"/>
              <w:rPr>
                <w:rFonts w:cs="Calibri"/>
                <w:sz w:val="17"/>
              </w:rPr>
            </w:pPr>
            <w:r w:rsidRPr="00EB6BD5">
              <w:rPr>
                <w:rFonts w:cs="Calibri"/>
                <w:sz w:val="17"/>
              </w:rPr>
              <w:t>Needs Field Assessment is preferred. A provisional case and assessment action are created; response may be In Progress while verification remains Pending.</w:t>
            </w:r>
          </w:p>
        </w:tc>
      </w:tr>
      <w:tr w:rsidR="00EB6BD5" w14:paraId="68A0522B" w14:textId="77777777" w:rsidTr="00EB6BD5">
        <w:trPr>
          <w:cantSplit/>
        </w:trPr>
        <w:tc>
          <w:tcPr>
            <w:tcW w:w="1900" w:type="pct"/>
            <w:shd w:val="clear" w:color="auto" w:fill="auto"/>
            <w:tcMar>
              <w:top w:w="80" w:type="dxa"/>
              <w:left w:w="120" w:type="dxa"/>
              <w:bottom w:w="80" w:type="dxa"/>
              <w:right w:w="120" w:type="dxa"/>
            </w:tcMar>
          </w:tcPr>
          <w:p w14:paraId="4D78A224" w14:textId="2BCBE868" w:rsidR="00EB6BD5" w:rsidRPr="00EB6BD5" w:rsidRDefault="00EB6BD5" w:rsidP="00EB6BD5">
            <w:pPr>
              <w:spacing w:after="40"/>
              <w:rPr>
                <w:rFonts w:cs="Calibri"/>
                <w:sz w:val="17"/>
              </w:rPr>
            </w:pPr>
            <w:r w:rsidRPr="00EB6BD5">
              <w:rPr>
                <w:rFonts w:cs="Calibri"/>
                <w:sz w:val="17"/>
              </w:rPr>
              <w:t>Assessment team confirms hazard</w:t>
            </w:r>
          </w:p>
        </w:tc>
        <w:tc>
          <w:tcPr>
            <w:tcW w:w="3100" w:type="pct"/>
            <w:shd w:val="clear" w:color="auto" w:fill="auto"/>
            <w:tcMar>
              <w:top w:w="80" w:type="dxa"/>
              <w:left w:w="120" w:type="dxa"/>
              <w:bottom w:w="80" w:type="dxa"/>
              <w:right w:w="120" w:type="dxa"/>
            </w:tcMar>
          </w:tcPr>
          <w:p w14:paraId="27F12189" w14:textId="489FB06D" w:rsidR="00EB6BD5" w:rsidRPr="00EB6BD5" w:rsidRDefault="00EB6BD5" w:rsidP="00EB6BD5">
            <w:pPr>
              <w:spacing w:after="40"/>
              <w:rPr>
                <w:rFonts w:cs="Calibri"/>
                <w:sz w:val="17"/>
              </w:rPr>
            </w:pPr>
            <w:r w:rsidRPr="00EB6BD5">
              <w:rPr>
                <w:rFonts w:cs="Calibri"/>
                <w:sz w:val="17"/>
              </w:rPr>
              <w:t>Incident Verification becomes Confirmed; timeline records assessment result; public incident projection becomes eligible.</w:t>
            </w:r>
          </w:p>
        </w:tc>
      </w:tr>
      <w:tr w:rsidR="00EB6BD5" w14:paraId="5250F2FD" w14:textId="77777777" w:rsidTr="00EB6BD5">
        <w:trPr>
          <w:cantSplit/>
        </w:trPr>
        <w:tc>
          <w:tcPr>
            <w:tcW w:w="1900" w:type="pct"/>
            <w:shd w:val="clear" w:color="auto" w:fill="auto"/>
            <w:tcMar>
              <w:top w:w="80" w:type="dxa"/>
              <w:left w:w="120" w:type="dxa"/>
              <w:bottom w:w="80" w:type="dxa"/>
              <w:right w:w="120" w:type="dxa"/>
            </w:tcMar>
          </w:tcPr>
          <w:p w14:paraId="697D2DCF" w14:textId="31402CDA" w:rsidR="00EB6BD5" w:rsidRPr="00EB6BD5" w:rsidRDefault="00EB6BD5" w:rsidP="00EB6BD5">
            <w:pPr>
              <w:spacing w:after="40"/>
              <w:rPr>
                <w:rFonts w:cs="Calibri"/>
                <w:sz w:val="17"/>
              </w:rPr>
            </w:pPr>
            <w:r w:rsidRPr="00EB6BD5">
              <w:rPr>
                <w:rFonts w:cs="Calibri"/>
                <w:sz w:val="17"/>
              </w:rPr>
              <w:t>Assessment establishes no incident</w:t>
            </w:r>
          </w:p>
        </w:tc>
        <w:tc>
          <w:tcPr>
            <w:tcW w:w="3100" w:type="pct"/>
            <w:shd w:val="clear" w:color="auto" w:fill="auto"/>
            <w:tcMar>
              <w:top w:w="80" w:type="dxa"/>
              <w:left w:w="120" w:type="dxa"/>
              <w:bottom w:w="80" w:type="dxa"/>
              <w:right w:w="120" w:type="dxa"/>
            </w:tcMar>
          </w:tcPr>
          <w:p w14:paraId="02535783" w14:textId="06056637" w:rsidR="00EB6BD5" w:rsidRPr="00EB6BD5" w:rsidRDefault="00EB6BD5" w:rsidP="00EB6BD5">
            <w:pPr>
              <w:spacing w:after="40"/>
              <w:rPr>
                <w:rFonts w:cs="Calibri"/>
                <w:sz w:val="17"/>
              </w:rPr>
            </w:pPr>
            <w:r w:rsidRPr="00EB6BD5">
              <w:rPr>
                <w:rFonts w:cs="Calibri"/>
                <w:sz w:val="17"/>
              </w:rPr>
              <w:t>Assessment closes as Not Confirmed After Assessment; public confirmed marker never appears; report is preserved.</w:t>
            </w:r>
          </w:p>
        </w:tc>
      </w:tr>
      <w:tr w:rsidR="00EB6BD5" w14:paraId="5B64E423" w14:textId="77777777" w:rsidTr="00EB6BD5">
        <w:trPr>
          <w:cantSplit/>
        </w:trPr>
        <w:tc>
          <w:tcPr>
            <w:tcW w:w="1900" w:type="pct"/>
            <w:shd w:val="clear" w:color="auto" w:fill="auto"/>
            <w:tcMar>
              <w:top w:w="80" w:type="dxa"/>
              <w:left w:w="120" w:type="dxa"/>
              <w:bottom w:w="80" w:type="dxa"/>
              <w:right w:w="120" w:type="dxa"/>
            </w:tcMar>
          </w:tcPr>
          <w:p w14:paraId="0686A8CF" w14:textId="182EF63E" w:rsidR="00EB6BD5" w:rsidRPr="00EB6BD5" w:rsidRDefault="00EB6BD5" w:rsidP="00EB6BD5">
            <w:pPr>
              <w:spacing w:after="40"/>
              <w:rPr>
                <w:rFonts w:cs="Calibri"/>
                <w:sz w:val="17"/>
              </w:rPr>
            </w:pPr>
            <w:r w:rsidRPr="00EB6BD5">
              <w:rPr>
                <w:rFonts w:cs="Calibri"/>
                <w:sz w:val="17"/>
              </w:rPr>
              <w:t>Unclear low-risk report + poor GPS + no corroboration + no answer</w:t>
            </w:r>
          </w:p>
        </w:tc>
        <w:tc>
          <w:tcPr>
            <w:tcW w:w="3100" w:type="pct"/>
            <w:shd w:val="clear" w:color="auto" w:fill="auto"/>
            <w:tcMar>
              <w:top w:w="80" w:type="dxa"/>
              <w:left w:w="120" w:type="dxa"/>
              <w:bottom w:w="80" w:type="dxa"/>
              <w:right w:w="120" w:type="dxa"/>
            </w:tcMar>
          </w:tcPr>
          <w:p w14:paraId="7706CFF5" w14:textId="5CA96D15" w:rsidR="00EB6BD5" w:rsidRPr="00EB6BD5" w:rsidRDefault="00EB6BD5" w:rsidP="00EB6BD5">
            <w:pPr>
              <w:spacing w:after="40"/>
              <w:rPr>
                <w:rFonts w:cs="Calibri"/>
                <w:sz w:val="17"/>
              </w:rPr>
            </w:pPr>
            <w:r w:rsidRPr="00EB6BD5">
              <w:rPr>
                <w:rFonts w:cs="Calibri"/>
                <w:sz w:val="17"/>
              </w:rPr>
              <w:t>Could Not Confirm is permitted. No answer is recorded only as a contact outcome, not as proof of falsity.</w:t>
            </w:r>
          </w:p>
        </w:tc>
      </w:tr>
      <w:tr w:rsidR="00EB6BD5" w14:paraId="4D35A9FE" w14:textId="77777777" w:rsidTr="00EB6BD5">
        <w:trPr>
          <w:cantSplit/>
        </w:trPr>
        <w:tc>
          <w:tcPr>
            <w:tcW w:w="1900" w:type="pct"/>
            <w:shd w:val="clear" w:color="auto" w:fill="auto"/>
            <w:tcMar>
              <w:top w:w="80" w:type="dxa"/>
              <w:left w:w="120" w:type="dxa"/>
              <w:bottom w:w="80" w:type="dxa"/>
              <w:right w:w="120" w:type="dxa"/>
            </w:tcMar>
          </w:tcPr>
          <w:p w14:paraId="4890EF8D" w14:textId="6ACAA02F" w:rsidR="00EB6BD5" w:rsidRPr="00EB6BD5" w:rsidRDefault="00EB6BD5" w:rsidP="00EB6BD5">
            <w:pPr>
              <w:spacing w:after="40"/>
              <w:rPr>
                <w:rFonts w:cs="Calibri"/>
                <w:sz w:val="17"/>
              </w:rPr>
            </w:pPr>
            <w:r w:rsidRPr="00EB6BD5">
              <w:rPr>
                <w:rFonts w:cs="Calibri"/>
                <w:sz w:val="17"/>
              </w:rPr>
              <w:t>Second resident reports the same flood</w:t>
            </w:r>
          </w:p>
        </w:tc>
        <w:tc>
          <w:tcPr>
            <w:tcW w:w="3100" w:type="pct"/>
            <w:shd w:val="clear" w:color="auto" w:fill="auto"/>
            <w:tcMar>
              <w:top w:w="80" w:type="dxa"/>
              <w:left w:w="120" w:type="dxa"/>
              <w:bottom w:w="80" w:type="dxa"/>
              <w:right w:w="120" w:type="dxa"/>
            </w:tcMar>
          </w:tcPr>
          <w:p w14:paraId="7B42D015" w14:textId="7A7017F1" w:rsidR="00EB6BD5" w:rsidRPr="00EB6BD5" w:rsidRDefault="00EB6BD5" w:rsidP="00EB6BD5">
            <w:pPr>
              <w:spacing w:after="40"/>
              <w:rPr>
                <w:rFonts w:cs="Calibri"/>
                <w:sz w:val="17"/>
              </w:rPr>
            </w:pPr>
            <w:r w:rsidRPr="00EB6BD5">
              <w:rPr>
                <w:rFonts w:cs="Calibri"/>
                <w:sz w:val="17"/>
              </w:rPr>
              <w:t>Link to Existing Incident; one incident marker shows two community reports; contribution history acknowledges the link.</w:t>
            </w:r>
          </w:p>
        </w:tc>
      </w:tr>
      <w:tr w:rsidR="00EB6BD5" w14:paraId="0E041A9E" w14:textId="77777777" w:rsidTr="00EB6BD5">
        <w:trPr>
          <w:cantSplit/>
        </w:trPr>
        <w:tc>
          <w:tcPr>
            <w:tcW w:w="1900" w:type="pct"/>
            <w:shd w:val="clear" w:color="auto" w:fill="auto"/>
            <w:tcMar>
              <w:top w:w="80" w:type="dxa"/>
              <w:left w:w="120" w:type="dxa"/>
              <w:bottom w:w="80" w:type="dxa"/>
              <w:right w:w="120" w:type="dxa"/>
            </w:tcMar>
          </w:tcPr>
          <w:p w14:paraId="1EC75290" w14:textId="395375E8" w:rsidR="00EB6BD5" w:rsidRPr="00EB6BD5" w:rsidRDefault="00EB6BD5" w:rsidP="00EB6BD5">
            <w:pPr>
              <w:spacing w:after="40"/>
              <w:rPr>
                <w:rFonts w:cs="Calibri"/>
                <w:sz w:val="17"/>
              </w:rPr>
            </w:pPr>
            <w:r w:rsidRPr="00EB6BD5">
              <w:rPr>
                <w:rFonts w:cs="Calibri"/>
                <w:sz w:val="17"/>
              </w:rPr>
              <w:t>BDRRMO requests municipal rescue vehicle</w:t>
            </w:r>
          </w:p>
        </w:tc>
        <w:tc>
          <w:tcPr>
            <w:tcW w:w="3100" w:type="pct"/>
            <w:shd w:val="clear" w:color="auto" w:fill="auto"/>
            <w:tcMar>
              <w:top w:w="80" w:type="dxa"/>
              <w:left w:w="120" w:type="dxa"/>
              <w:bottom w:w="80" w:type="dxa"/>
              <w:right w:w="120" w:type="dxa"/>
            </w:tcMar>
          </w:tcPr>
          <w:p w14:paraId="5FB71742" w14:textId="51DF1AC6" w:rsidR="00EB6BD5" w:rsidRPr="00EB6BD5" w:rsidRDefault="00EB6BD5" w:rsidP="00EB6BD5">
            <w:pPr>
              <w:spacing w:after="40"/>
              <w:rPr>
                <w:rFonts w:cs="Calibri"/>
                <w:sz w:val="17"/>
              </w:rPr>
            </w:pPr>
            <w:r w:rsidRPr="00EB6BD5">
              <w:rPr>
                <w:rFonts w:cs="Calibri"/>
                <w:sz w:val="17"/>
              </w:rPr>
              <w:t>BDRRMO stays lead; request is Awaiting MDRRMO; MDRRMO may accept/return/request clarification.</w:t>
            </w:r>
          </w:p>
        </w:tc>
      </w:tr>
      <w:tr w:rsidR="00EB6BD5" w14:paraId="5F0F848C" w14:textId="77777777" w:rsidTr="00EB6BD5">
        <w:trPr>
          <w:cantSplit/>
        </w:trPr>
        <w:tc>
          <w:tcPr>
            <w:tcW w:w="1900" w:type="pct"/>
            <w:shd w:val="clear" w:color="auto" w:fill="auto"/>
            <w:tcMar>
              <w:top w:w="80" w:type="dxa"/>
              <w:left w:w="120" w:type="dxa"/>
              <w:bottom w:w="80" w:type="dxa"/>
              <w:right w:w="120" w:type="dxa"/>
            </w:tcMar>
          </w:tcPr>
          <w:p w14:paraId="4E7DD87E" w14:textId="7713016E" w:rsidR="00EB6BD5" w:rsidRPr="00EB6BD5" w:rsidRDefault="00EB6BD5" w:rsidP="00EB6BD5">
            <w:pPr>
              <w:spacing w:after="40"/>
              <w:rPr>
                <w:rFonts w:cs="Calibri"/>
                <w:sz w:val="17"/>
              </w:rPr>
            </w:pPr>
            <w:r w:rsidRPr="00EB6BD5">
              <w:rPr>
                <w:rFonts w:cs="Calibri"/>
                <w:sz w:val="17"/>
              </w:rPr>
              <w:lastRenderedPageBreak/>
              <w:t>BDRRMO requests lead transfer</w:t>
            </w:r>
          </w:p>
        </w:tc>
        <w:tc>
          <w:tcPr>
            <w:tcW w:w="3100" w:type="pct"/>
            <w:shd w:val="clear" w:color="auto" w:fill="auto"/>
            <w:tcMar>
              <w:top w:w="80" w:type="dxa"/>
              <w:left w:w="120" w:type="dxa"/>
              <w:bottom w:w="80" w:type="dxa"/>
              <w:right w:w="120" w:type="dxa"/>
            </w:tcMar>
          </w:tcPr>
          <w:p w14:paraId="4CE74359" w14:textId="2F2AE18E" w:rsidR="00EB6BD5" w:rsidRPr="00EB6BD5" w:rsidRDefault="00EB6BD5" w:rsidP="00EB6BD5">
            <w:pPr>
              <w:spacing w:after="40"/>
              <w:rPr>
                <w:rFonts w:cs="Calibri"/>
                <w:sz w:val="17"/>
              </w:rPr>
            </w:pPr>
            <w:r w:rsidRPr="00EB6BD5">
              <w:rPr>
                <w:rFonts w:cs="Calibri"/>
                <w:sz w:val="17"/>
              </w:rPr>
              <w:t>Lead remains BDRRMO until MDRRMO accepts. Acceptance atomically changes lead and records both audit and timeline events.</w:t>
            </w:r>
          </w:p>
        </w:tc>
      </w:tr>
      <w:tr w:rsidR="00EB6BD5" w14:paraId="58EA4883" w14:textId="77777777" w:rsidTr="00EB6BD5">
        <w:trPr>
          <w:cantSplit/>
        </w:trPr>
        <w:tc>
          <w:tcPr>
            <w:tcW w:w="1900" w:type="pct"/>
            <w:shd w:val="clear" w:color="auto" w:fill="auto"/>
            <w:tcMar>
              <w:top w:w="80" w:type="dxa"/>
              <w:left w:w="120" w:type="dxa"/>
              <w:bottom w:w="80" w:type="dxa"/>
              <w:right w:w="120" w:type="dxa"/>
            </w:tcMar>
          </w:tcPr>
          <w:p w14:paraId="715CD92E" w14:textId="1B1BE386" w:rsidR="00EB6BD5" w:rsidRPr="00EB6BD5" w:rsidRDefault="00EB6BD5" w:rsidP="00EB6BD5">
            <w:pPr>
              <w:spacing w:after="40"/>
              <w:rPr>
                <w:rFonts w:cs="Calibri"/>
                <w:sz w:val="17"/>
              </w:rPr>
            </w:pPr>
            <w:r w:rsidRPr="00EB6BD5">
              <w:rPr>
                <w:rFonts w:cs="Calibri"/>
                <w:sz w:val="17"/>
              </w:rPr>
              <w:t>Mayor opens a deep link or calls a mutation RPC</w:t>
            </w:r>
          </w:p>
        </w:tc>
        <w:tc>
          <w:tcPr>
            <w:tcW w:w="3100" w:type="pct"/>
            <w:shd w:val="clear" w:color="auto" w:fill="auto"/>
            <w:tcMar>
              <w:top w:w="80" w:type="dxa"/>
              <w:left w:w="120" w:type="dxa"/>
              <w:bottom w:w="80" w:type="dxa"/>
              <w:right w:w="120" w:type="dxa"/>
            </w:tcMar>
          </w:tcPr>
          <w:p w14:paraId="1204B040" w14:textId="17F4447A" w:rsidR="00EB6BD5" w:rsidRPr="00EB6BD5" w:rsidRDefault="00EB6BD5" w:rsidP="00EB6BD5">
            <w:pPr>
              <w:spacing w:after="40"/>
              <w:rPr>
                <w:rFonts w:cs="Calibri"/>
                <w:sz w:val="17"/>
              </w:rPr>
            </w:pPr>
            <w:r w:rsidRPr="00EB6BD5">
              <w:rPr>
                <w:rFonts w:cs="Calibri"/>
                <w:sz w:val="17"/>
              </w:rPr>
              <w:t>Read is scoped to decision-support data; mutation is denied by database authorization, not merely hidden UI.</w:t>
            </w:r>
          </w:p>
        </w:tc>
      </w:tr>
      <w:tr w:rsidR="00EB6BD5" w14:paraId="0EC9568C" w14:textId="77777777" w:rsidTr="00EB6BD5">
        <w:trPr>
          <w:cantSplit/>
        </w:trPr>
        <w:tc>
          <w:tcPr>
            <w:tcW w:w="1900" w:type="pct"/>
            <w:shd w:val="clear" w:color="auto" w:fill="auto"/>
            <w:tcMar>
              <w:top w:w="80" w:type="dxa"/>
              <w:left w:w="120" w:type="dxa"/>
              <w:bottom w:w="80" w:type="dxa"/>
              <w:right w:w="120" w:type="dxa"/>
            </w:tcMar>
          </w:tcPr>
          <w:p w14:paraId="2EECAB73" w14:textId="10F3CA06" w:rsidR="00EB6BD5" w:rsidRPr="00EB6BD5" w:rsidRDefault="00EB6BD5" w:rsidP="00EB6BD5">
            <w:pPr>
              <w:spacing w:after="40"/>
              <w:rPr>
                <w:rFonts w:cs="Calibri"/>
                <w:sz w:val="17"/>
              </w:rPr>
            </w:pPr>
            <w:r w:rsidRPr="00EB6BD5">
              <w:rPr>
                <w:rFonts w:cs="Calibri"/>
                <w:sz w:val="17"/>
              </w:rPr>
              <w:t>Resident retries after connectivity loss</w:t>
            </w:r>
          </w:p>
        </w:tc>
        <w:tc>
          <w:tcPr>
            <w:tcW w:w="3100" w:type="pct"/>
            <w:shd w:val="clear" w:color="auto" w:fill="auto"/>
            <w:tcMar>
              <w:top w:w="80" w:type="dxa"/>
              <w:left w:w="120" w:type="dxa"/>
              <w:bottom w:w="80" w:type="dxa"/>
              <w:right w:w="120" w:type="dxa"/>
            </w:tcMar>
          </w:tcPr>
          <w:p w14:paraId="487A16CB" w14:textId="739A0984" w:rsidR="00EB6BD5" w:rsidRPr="00EB6BD5" w:rsidRDefault="00EB6BD5" w:rsidP="00EB6BD5">
            <w:pPr>
              <w:spacing w:after="40"/>
              <w:rPr>
                <w:rFonts w:cs="Calibri"/>
                <w:sz w:val="17"/>
              </w:rPr>
            </w:pPr>
            <w:r w:rsidRPr="00EB6BD5">
              <w:rPr>
                <w:rFonts w:cs="Calibri"/>
                <w:sz w:val="17"/>
              </w:rPr>
              <w:t>One resident report exists because the client submission identifier is idempotent; its pending marker resolves to the server record.</w:t>
            </w:r>
          </w:p>
        </w:tc>
      </w:tr>
    </w:tbl>
    <w:p w14:paraId="38F44EDC" w14:textId="77777777" w:rsidR="00EB6BD5" w:rsidRDefault="00EB6BD5" w:rsidP="00EB6BD5"/>
    <w:p w14:paraId="03C0B1A2" w14:textId="126B3B58" w:rsidR="00EB6BD5" w:rsidRDefault="00EB6BD5" w:rsidP="00EB6BD5">
      <w:pPr>
        <w:pStyle w:val="Heading1"/>
        <w:rPr>
          <w:b w:val="0"/>
        </w:rPr>
      </w:pPr>
      <w:bookmarkStart w:id="17" w:name="_Toc240324155"/>
      <w:r>
        <w:rPr>
          <w:b w:val="0"/>
        </w:rPr>
        <w:t>9. Privacy, security, and data governance</w:t>
      </w:r>
      <w:bookmarkEnd w:id="17"/>
    </w:p>
    <w:p w14:paraId="6F626351" w14:textId="2C891FCD" w:rsidR="00EB6BD5" w:rsidRDefault="00EB6BD5" w:rsidP="00EB6BD5">
      <w:pPr>
        <w:pStyle w:val="ListBullet"/>
      </w:pPr>
      <w:r>
        <w:t>Complete a Privacy Impact Assessment before release. Define lawful purpose, privacy notice language, data categories, recipients, retention, deletion/anonymization, and incident-response access.</w:t>
      </w:r>
    </w:p>
    <w:p w14:paraId="423CDCBD" w14:textId="33ED26BD" w:rsidR="00EB6BD5" w:rsidRDefault="00EB6BD5" w:rsidP="00EB6BD5">
      <w:pPr>
        <w:pStyle w:val="ListBullet"/>
      </w:pPr>
      <w:r>
        <w:t>Keep phone numbers outside ordinary report/detail projections. Reveal only through a scoped function that derives actor and office from the authenticated session, requires a reason, rate-limits abuse, and records access before returning the value.</w:t>
      </w:r>
    </w:p>
    <w:p w14:paraId="45D5E09A" w14:textId="39163CA0" w:rsidR="00EB6BD5" w:rsidRDefault="00EB6BD5" w:rsidP="00EB6BD5">
      <w:pPr>
        <w:pStyle w:val="ListBullet"/>
      </w:pPr>
      <w:r>
        <w:t>After opening the dialer, prompt the official to record the result. The mobile application cannot reliably know whether the call connected; represent an unfinished attempt as Outcome Pending/Not Recorded.</w:t>
      </w:r>
    </w:p>
    <w:p w14:paraId="70BF4BBA" w14:textId="75C90A17" w:rsidR="00EB6BD5" w:rsidRDefault="00EB6BD5" w:rsidP="00EB6BD5">
      <w:pPr>
        <w:pStyle w:val="ListBullet"/>
      </w:pPr>
      <w:r>
        <w:t>Separate public, reporter, official, and executive database views/RPCs. Use security-invoker views or explicit invoker functions; for any security-definer function, fix an empty search path, qualify objects, and restrict execute grants.</w:t>
      </w:r>
    </w:p>
    <w:p w14:paraId="3C489A75" w14:textId="485A5744" w:rsidR="00EB6BD5" w:rsidRDefault="00EB6BD5" w:rsidP="00EB6BD5">
      <w:pPr>
        <w:pStyle w:val="ListBullet"/>
      </w:pPr>
      <w:r>
        <w:t>Keep raw evidence and exact locations private by default. Apply an incident-type/location-sensitivity rule before publishing a precise point or media.</w:t>
      </w:r>
    </w:p>
    <w:p w14:paraId="4767DFB4" w14:textId="76FDD939" w:rsidR="00EB6BD5" w:rsidRDefault="00EB6BD5" w:rsidP="00EB6BD5">
      <w:pPr>
        <w:pStyle w:val="ListBullet"/>
      </w:pPr>
      <w:r>
        <w:t>Use signed, short-lived media access; validate type, size, duration, and ownership server-side; do not trust client MIME, EXIF, or capture timestamps as proof.</w:t>
      </w:r>
    </w:p>
    <w:p w14:paraId="6250DBF9" w14:textId="5313CA9B" w:rsidR="00EB6BD5" w:rsidRDefault="00EB6BD5" w:rsidP="00EB6BD5">
      <w:pPr>
        <w:pStyle w:val="ListBullet"/>
      </w:pPr>
      <w:r>
        <w:t>Retain technical audit and operational timeline separately. Audit answers who changed or accessed data; timeline answers what happened operationally.</w:t>
      </w:r>
    </w:p>
    <w:p w14:paraId="5D5BB24A" w14:textId="21D398ED" w:rsidR="00EB6BD5" w:rsidRDefault="00EB6BD5" w:rsidP="00EB6BD5">
      <w:pPr>
        <w:pStyle w:val="Heading1"/>
        <w:rPr>
          <w:b w:val="0"/>
        </w:rPr>
      </w:pPr>
      <w:bookmarkStart w:id="18" w:name="_Toc240324156"/>
      <w:r>
        <w:rPr>
          <w:b w:val="0"/>
        </w:rPr>
        <w:t>10. Operational queues, analytics, and notifications</w:t>
      </w:r>
      <w:bookmarkEnd w:id="18"/>
    </w:p>
    <w:p w14:paraId="54A0AFC0" w14:textId="33834459" w:rsidR="00EB6BD5" w:rsidRDefault="00EB6BD5" w:rsidP="00EB6BD5">
      <w:pPr>
        <w:pStyle w:val="Heading2"/>
        <w:rPr>
          <w:b w:val="0"/>
        </w:rPr>
      </w:pPr>
      <w:bookmarkStart w:id="19" w:name="_Toc240324157"/>
      <w:r>
        <w:rPr>
          <w:b w:val="0"/>
        </w:rPr>
        <w:t>10.1 Needs Action / My Work</w:t>
      </w:r>
      <w:bookmarkEnd w:id="19"/>
    </w:p>
    <w:p w14:paraId="6D09C884" w14:textId="2B5E709B" w:rsidR="00EB6BD5" w:rsidRDefault="00EB6BD5" w:rsidP="00EB6BD5">
      <w:pPr>
        <w:pStyle w:val="ListBullet"/>
      </w:pPr>
      <w:r>
        <w:t>Needs review: Pending reports in the official scope, ordered by risk signals and age without pretending to automate the final priority decision.</w:t>
      </w:r>
    </w:p>
    <w:p w14:paraId="27497F7F" w14:textId="49ACF77D" w:rsidR="00EB6BD5" w:rsidRDefault="00EB6BD5" w:rsidP="00EB6BD5">
      <w:pPr>
        <w:pStyle w:val="ListBullet"/>
      </w:pPr>
      <w:r>
        <w:t>Assessment required: provisional cases without an assigned assessment action or overdue assessment update.</w:t>
      </w:r>
    </w:p>
    <w:p w14:paraId="7A5D92D7" w14:textId="72D73FFB" w:rsidR="00EB6BD5" w:rsidRDefault="00EB6BD5" w:rsidP="00EB6BD5">
      <w:pPr>
        <w:pStyle w:val="ListBullet"/>
      </w:pPr>
      <w:r>
        <w:t>Awaiting support acknowledgement: requests still awaiting MDRRMO, grouped separately for requester and recipient.</w:t>
      </w:r>
    </w:p>
    <w:p w14:paraId="16361D5E" w14:textId="351168BB" w:rsidR="00EB6BD5" w:rsidRDefault="00EB6BD5" w:rsidP="00EB6BD5">
      <w:pPr>
        <w:pStyle w:val="ListBullet"/>
      </w:pPr>
      <w:r>
        <w:t>No response unit assigned: active cases whose response state or priority requires an assignment.</w:t>
      </w:r>
    </w:p>
    <w:p w14:paraId="22F2923F" w14:textId="4EE1448A" w:rsidR="00EB6BD5" w:rsidRDefault="00EB6BD5" w:rsidP="00EB6BD5">
      <w:pPr>
        <w:pStyle w:val="ListBullet"/>
      </w:pPr>
      <w:r>
        <w:t>Response update needed: active actions past a configurable freshness threshold.</w:t>
      </w:r>
    </w:p>
    <w:p w14:paraId="6DAA0C87" w14:textId="2FAF8770" w:rsidR="00EB6BD5" w:rsidRDefault="00EB6BD5" w:rsidP="00EB6BD5">
      <w:pPr>
        <w:pStyle w:val="ListBullet"/>
      </w:pPr>
      <w:r>
        <w:t>Ready for closure: response complete but closure package missing.</w:t>
      </w:r>
    </w:p>
    <w:p w14:paraId="18538969" w14:textId="57CB4D32" w:rsidR="00EB6BD5" w:rsidRDefault="00EB6BD5" w:rsidP="00EB6BD5">
      <w:pPr>
        <w:pStyle w:val="Heading2"/>
        <w:rPr>
          <w:b w:val="0"/>
        </w:rPr>
      </w:pPr>
      <w:bookmarkStart w:id="20" w:name="_Toc240324158"/>
      <w:r>
        <w:rPr>
          <w:b w:val="0"/>
        </w:rPr>
        <w:lastRenderedPageBreak/>
        <w:t>10.2 Resident/public event mapping</w:t>
      </w:r>
      <w:bookmarkEnd w:id="20"/>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3036"/>
        <w:gridCol w:w="2252"/>
        <w:gridCol w:w="4504"/>
      </w:tblGrid>
      <w:tr w:rsidR="00EB6BD5" w14:paraId="46486A3F" w14:textId="77777777" w:rsidTr="00EB6BD5">
        <w:trPr>
          <w:cantSplit/>
        </w:trPr>
        <w:tc>
          <w:tcPr>
            <w:tcW w:w="1550" w:type="pct"/>
            <w:shd w:val="clear" w:color="auto" w:fill="auto"/>
            <w:tcMar>
              <w:top w:w="80" w:type="dxa"/>
              <w:left w:w="120" w:type="dxa"/>
              <w:bottom w:w="80" w:type="dxa"/>
              <w:right w:w="120" w:type="dxa"/>
            </w:tcMar>
          </w:tcPr>
          <w:p w14:paraId="169D8E70" w14:textId="09EA31EB" w:rsidR="00EB6BD5" w:rsidRPr="00EB6BD5" w:rsidRDefault="00EB6BD5" w:rsidP="00EB6BD5">
            <w:pPr>
              <w:spacing w:after="80"/>
              <w:rPr>
                <w:rFonts w:cs="Calibri"/>
                <w:b/>
                <w:color w:val="16324F"/>
                <w:sz w:val="18"/>
              </w:rPr>
            </w:pPr>
            <w:r w:rsidRPr="00EB6BD5">
              <w:rPr>
                <w:rFonts w:cs="Calibri"/>
                <w:b/>
                <w:color w:val="16324F"/>
                <w:sz w:val="18"/>
              </w:rPr>
              <w:t>Internal event</w:t>
            </w:r>
          </w:p>
        </w:tc>
        <w:tc>
          <w:tcPr>
            <w:tcW w:w="1150" w:type="pct"/>
            <w:shd w:val="clear" w:color="auto" w:fill="auto"/>
            <w:tcMar>
              <w:top w:w="80" w:type="dxa"/>
              <w:left w:w="120" w:type="dxa"/>
              <w:bottom w:w="80" w:type="dxa"/>
              <w:right w:w="120" w:type="dxa"/>
            </w:tcMar>
          </w:tcPr>
          <w:p w14:paraId="356E1E3A" w14:textId="7889AC14" w:rsidR="00EB6BD5" w:rsidRPr="00EB6BD5" w:rsidRDefault="00EB6BD5" w:rsidP="00EB6BD5">
            <w:pPr>
              <w:spacing w:after="80"/>
              <w:rPr>
                <w:rFonts w:cs="Calibri"/>
                <w:b/>
                <w:color w:val="16324F"/>
                <w:sz w:val="18"/>
              </w:rPr>
            </w:pPr>
            <w:r w:rsidRPr="00EB6BD5">
              <w:rPr>
                <w:rFonts w:cs="Calibri"/>
                <w:b/>
                <w:color w:val="16324F"/>
                <w:sz w:val="18"/>
              </w:rPr>
              <w:t>Resident lifecycle</w:t>
            </w:r>
          </w:p>
        </w:tc>
        <w:tc>
          <w:tcPr>
            <w:tcW w:w="2300" w:type="pct"/>
            <w:shd w:val="clear" w:color="auto" w:fill="auto"/>
            <w:tcMar>
              <w:top w:w="80" w:type="dxa"/>
              <w:left w:w="120" w:type="dxa"/>
              <w:bottom w:w="80" w:type="dxa"/>
              <w:right w:w="120" w:type="dxa"/>
            </w:tcMar>
          </w:tcPr>
          <w:p w14:paraId="5C8A721B" w14:textId="549B85CF" w:rsidR="00EB6BD5" w:rsidRPr="00EB6BD5" w:rsidRDefault="00EB6BD5" w:rsidP="00EB6BD5">
            <w:pPr>
              <w:spacing w:after="80"/>
              <w:rPr>
                <w:rFonts w:cs="Calibri"/>
                <w:b/>
                <w:color w:val="16324F"/>
                <w:sz w:val="18"/>
              </w:rPr>
            </w:pPr>
            <w:r w:rsidRPr="00EB6BD5">
              <w:rPr>
                <w:rFonts w:cs="Calibri"/>
                <w:b/>
                <w:color w:val="16324F"/>
                <w:sz w:val="18"/>
              </w:rPr>
              <w:t>Context example</w:t>
            </w:r>
          </w:p>
        </w:tc>
      </w:tr>
      <w:tr w:rsidR="00EB6BD5" w14:paraId="2233C74B" w14:textId="77777777" w:rsidTr="00EB6BD5">
        <w:trPr>
          <w:cantSplit/>
        </w:trPr>
        <w:tc>
          <w:tcPr>
            <w:tcW w:w="1550" w:type="pct"/>
            <w:shd w:val="clear" w:color="auto" w:fill="auto"/>
            <w:tcMar>
              <w:top w:w="80" w:type="dxa"/>
              <w:left w:w="120" w:type="dxa"/>
              <w:bottom w:w="80" w:type="dxa"/>
              <w:right w:w="120" w:type="dxa"/>
            </w:tcMar>
          </w:tcPr>
          <w:p w14:paraId="6320D710" w14:textId="6D692A7E" w:rsidR="00EB6BD5" w:rsidRPr="00EB6BD5" w:rsidRDefault="00EB6BD5" w:rsidP="00EB6BD5">
            <w:pPr>
              <w:spacing w:after="80"/>
              <w:rPr>
                <w:rFonts w:cs="Calibri"/>
                <w:sz w:val="18"/>
              </w:rPr>
            </w:pPr>
            <w:r w:rsidRPr="00EB6BD5">
              <w:rPr>
                <w:rFonts w:cs="Calibri"/>
                <w:sz w:val="18"/>
              </w:rPr>
              <w:t>Report created / queued</w:t>
            </w:r>
          </w:p>
        </w:tc>
        <w:tc>
          <w:tcPr>
            <w:tcW w:w="1150" w:type="pct"/>
            <w:shd w:val="clear" w:color="auto" w:fill="auto"/>
            <w:tcMar>
              <w:top w:w="80" w:type="dxa"/>
              <w:left w:w="120" w:type="dxa"/>
              <w:bottom w:w="80" w:type="dxa"/>
              <w:right w:w="120" w:type="dxa"/>
            </w:tcMar>
          </w:tcPr>
          <w:p w14:paraId="7DE77B64" w14:textId="76900ADF" w:rsidR="00EB6BD5" w:rsidRPr="00EB6BD5" w:rsidRDefault="00EB6BD5" w:rsidP="00EB6BD5">
            <w:pPr>
              <w:spacing w:after="80"/>
              <w:rPr>
                <w:rFonts w:cs="Calibri"/>
                <w:sz w:val="18"/>
              </w:rPr>
            </w:pPr>
            <w:r w:rsidRPr="00EB6BD5">
              <w:rPr>
                <w:rFonts w:cs="Calibri"/>
                <w:sz w:val="18"/>
              </w:rPr>
              <w:t>Submitted</w:t>
            </w:r>
          </w:p>
        </w:tc>
        <w:tc>
          <w:tcPr>
            <w:tcW w:w="2300" w:type="pct"/>
            <w:shd w:val="clear" w:color="auto" w:fill="auto"/>
            <w:tcMar>
              <w:top w:w="80" w:type="dxa"/>
              <w:left w:w="120" w:type="dxa"/>
              <w:bottom w:w="80" w:type="dxa"/>
              <w:right w:w="120" w:type="dxa"/>
            </w:tcMar>
          </w:tcPr>
          <w:p w14:paraId="3475B1D3" w14:textId="0EFE0AD2" w:rsidR="00EB6BD5" w:rsidRPr="00EB6BD5" w:rsidRDefault="00EB6BD5" w:rsidP="00EB6BD5">
            <w:pPr>
              <w:spacing w:after="80"/>
              <w:rPr>
                <w:rFonts w:cs="Calibri"/>
                <w:sz w:val="18"/>
              </w:rPr>
            </w:pPr>
            <w:r w:rsidRPr="00EB6BD5">
              <w:rPr>
                <w:rFonts w:cs="Calibri"/>
                <w:sz w:val="18"/>
              </w:rPr>
              <w:t>Report submitted; Awaiting review</w:t>
            </w:r>
          </w:p>
        </w:tc>
      </w:tr>
      <w:tr w:rsidR="00EB6BD5" w14:paraId="3EE26D6C" w14:textId="77777777" w:rsidTr="00EB6BD5">
        <w:trPr>
          <w:cantSplit/>
        </w:trPr>
        <w:tc>
          <w:tcPr>
            <w:tcW w:w="1550" w:type="pct"/>
            <w:shd w:val="clear" w:color="auto" w:fill="auto"/>
            <w:tcMar>
              <w:top w:w="80" w:type="dxa"/>
              <w:left w:w="120" w:type="dxa"/>
              <w:bottom w:w="80" w:type="dxa"/>
              <w:right w:w="120" w:type="dxa"/>
            </w:tcMar>
          </w:tcPr>
          <w:p w14:paraId="37714158" w14:textId="42F1CCDE" w:rsidR="00EB6BD5" w:rsidRPr="00EB6BD5" w:rsidRDefault="00EB6BD5" w:rsidP="00EB6BD5">
            <w:pPr>
              <w:spacing w:after="80"/>
              <w:rPr>
                <w:rFonts w:cs="Calibri"/>
                <w:sz w:val="18"/>
              </w:rPr>
            </w:pPr>
            <w:r w:rsidRPr="00EB6BD5">
              <w:rPr>
                <w:rFonts w:cs="Calibri"/>
                <w:sz w:val="18"/>
              </w:rPr>
              <w:t>Pending review</w:t>
            </w:r>
          </w:p>
        </w:tc>
        <w:tc>
          <w:tcPr>
            <w:tcW w:w="1150" w:type="pct"/>
            <w:shd w:val="clear" w:color="auto" w:fill="auto"/>
            <w:tcMar>
              <w:top w:w="80" w:type="dxa"/>
              <w:left w:w="120" w:type="dxa"/>
              <w:bottom w:w="80" w:type="dxa"/>
              <w:right w:w="120" w:type="dxa"/>
            </w:tcMar>
          </w:tcPr>
          <w:p w14:paraId="0EE4902F" w14:textId="514D2B6D" w:rsidR="00EB6BD5" w:rsidRPr="00EB6BD5" w:rsidRDefault="00EB6BD5" w:rsidP="00EB6BD5">
            <w:pPr>
              <w:spacing w:after="80"/>
              <w:rPr>
                <w:rFonts w:cs="Calibri"/>
                <w:sz w:val="18"/>
              </w:rPr>
            </w:pPr>
            <w:r w:rsidRPr="00EB6BD5">
              <w:rPr>
                <w:rFonts w:cs="Calibri"/>
                <w:sz w:val="18"/>
              </w:rPr>
              <w:t>Under Review</w:t>
            </w:r>
          </w:p>
        </w:tc>
        <w:tc>
          <w:tcPr>
            <w:tcW w:w="2300" w:type="pct"/>
            <w:shd w:val="clear" w:color="auto" w:fill="auto"/>
            <w:tcMar>
              <w:top w:w="80" w:type="dxa"/>
              <w:left w:w="120" w:type="dxa"/>
              <w:bottom w:w="80" w:type="dxa"/>
              <w:right w:w="120" w:type="dxa"/>
            </w:tcMar>
          </w:tcPr>
          <w:p w14:paraId="717C0BED" w14:textId="1887D914" w:rsidR="00EB6BD5" w:rsidRPr="00EB6BD5" w:rsidRDefault="00EB6BD5" w:rsidP="00EB6BD5">
            <w:pPr>
              <w:spacing w:after="80"/>
              <w:rPr>
                <w:rFonts w:cs="Calibri"/>
                <w:sz w:val="18"/>
              </w:rPr>
            </w:pPr>
            <w:r w:rsidRPr="00EB6BD5">
              <w:rPr>
                <w:rFonts w:cs="Calibri"/>
                <w:sz w:val="18"/>
              </w:rPr>
              <w:t>Being reviewed by Tunghaan BDRRMO</w:t>
            </w:r>
          </w:p>
        </w:tc>
      </w:tr>
      <w:tr w:rsidR="00EB6BD5" w14:paraId="560C2404" w14:textId="77777777" w:rsidTr="00EB6BD5">
        <w:trPr>
          <w:cantSplit/>
        </w:trPr>
        <w:tc>
          <w:tcPr>
            <w:tcW w:w="1550" w:type="pct"/>
            <w:shd w:val="clear" w:color="auto" w:fill="auto"/>
            <w:tcMar>
              <w:top w:w="80" w:type="dxa"/>
              <w:left w:w="120" w:type="dxa"/>
              <w:bottom w:w="80" w:type="dxa"/>
              <w:right w:w="120" w:type="dxa"/>
            </w:tcMar>
          </w:tcPr>
          <w:p w14:paraId="0F8C987C" w14:textId="2E9F9DFF" w:rsidR="00EB6BD5" w:rsidRPr="00EB6BD5" w:rsidRDefault="00EB6BD5" w:rsidP="00EB6BD5">
            <w:pPr>
              <w:spacing w:after="80"/>
              <w:rPr>
                <w:rFonts w:cs="Calibri"/>
                <w:sz w:val="18"/>
              </w:rPr>
            </w:pPr>
            <w:r w:rsidRPr="00EB6BD5">
              <w:rPr>
                <w:rFonts w:cs="Calibri"/>
                <w:sz w:val="18"/>
              </w:rPr>
              <w:t>Assessment action active</w:t>
            </w:r>
          </w:p>
        </w:tc>
        <w:tc>
          <w:tcPr>
            <w:tcW w:w="1150" w:type="pct"/>
            <w:shd w:val="clear" w:color="auto" w:fill="auto"/>
            <w:tcMar>
              <w:top w:w="80" w:type="dxa"/>
              <w:left w:w="120" w:type="dxa"/>
              <w:bottom w:w="80" w:type="dxa"/>
              <w:right w:w="120" w:type="dxa"/>
            </w:tcMar>
          </w:tcPr>
          <w:p w14:paraId="1FC29521" w14:textId="3C7D0F49" w:rsidR="00EB6BD5" w:rsidRPr="00EB6BD5" w:rsidRDefault="00EB6BD5" w:rsidP="00EB6BD5">
            <w:pPr>
              <w:spacing w:after="80"/>
              <w:rPr>
                <w:rFonts w:cs="Calibri"/>
                <w:sz w:val="18"/>
              </w:rPr>
            </w:pPr>
            <w:r w:rsidRPr="00EB6BD5">
              <w:rPr>
                <w:rFonts w:cs="Calibri"/>
                <w:sz w:val="18"/>
              </w:rPr>
              <w:t>Being assessed</w:t>
            </w:r>
          </w:p>
        </w:tc>
        <w:tc>
          <w:tcPr>
            <w:tcW w:w="2300" w:type="pct"/>
            <w:shd w:val="clear" w:color="auto" w:fill="auto"/>
            <w:tcMar>
              <w:top w:w="80" w:type="dxa"/>
              <w:left w:w="120" w:type="dxa"/>
              <w:bottom w:w="80" w:type="dxa"/>
              <w:right w:w="120" w:type="dxa"/>
            </w:tcMar>
          </w:tcPr>
          <w:p w14:paraId="06DFE2CA" w14:textId="24C04095" w:rsidR="00EB6BD5" w:rsidRPr="00EB6BD5" w:rsidRDefault="00EB6BD5" w:rsidP="00EB6BD5">
            <w:pPr>
              <w:spacing w:after="80"/>
              <w:rPr>
                <w:rFonts w:cs="Calibri"/>
                <w:sz w:val="18"/>
              </w:rPr>
            </w:pPr>
            <w:r w:rsidRPr="00EB6BD5">
              <w:rPr>
                <w:rFonts w:cs="Calibri"/>
                <w:sz w:val="18"/>
              </w:rPr>
              <w:t>Field assessment underway</w:t>
            </w:r>
          </w:p>
        </w:tc>
      </w:tr>
      <w:tr w:rsidR="00EB6BD5" w14:paraId="1326DFCF" w14:textId="77777777" w:rsidTr="00EB6BD5">
        <w:trPr>
          <w:cantSplit/>
        </w:trPr>
        <w:tc>
          <w:tcPr>
            <w:tcW w:w="1550" w:type="pct"/>
            <w:shd w:val="clear" w:color="auto" w:fill="auto"/>
            <w:tcMar>
              <w:top w:w="80" w:type="dxa"/>
              <w:left w:w="120" w:type="dxa"/>
              <w:bottom w:w="80" w:type="dxa"/>
              <w:right w:w="120" w:type="dxa"/>
            </w:tcMar>
          </w:tcPr>
          <w:p w14:paraId="2ACE95FB" w14:textId="7E7A5E87" w:rsidR="00EB6BD5" w:rsidRPr="00EB6BD5" w:rsidRDefault="00EB6BD5" w:rsidP="00EB6BD5">
            <w:pPr>
              <w:spacing w:after="80"/>
              <w:rPr>
                <w:rFonts w:cs="Calibri"/>
                <w:sz w:val="18"/>
              </w:rPr>
            </w:pPr>
            <w:r w:rsidRPr="00EB6BD5">
              <w:rPr>
                <w:rFonts w:cs="Calibri"/>
                <w:sz w:val="18"/>
              </w:rPr>
              <w:t>Incident confirmed</w:t>
            </w:r>
          </w:p>
        </w:tc>
        <w:tc>
          <w:tcPr>
            <w:tcW w:w="1150" w:type="pct"/>
            <w:shd w:val="clear" w:color="auto" w:fill="auto"/>
            <w:tcMar>
              <w:top w:w="80" w:type="dxa"/>
              <w:left w:w="120" w:type="dxa"/>
              <w:bottom w:w="80" w:type="dxa"/>
              <w:right w:w="120" w:type="dxa"/>
            </w:tcMar>
          </w:tcPr>
          <w:p w14:paraId="525C8092" w14:textId="37896F68" w:rsidR="00EB6BD5" w:rsidRPr="00EB6BD5" w:rsidRDefault="00EB6BD5" w:rsidP="00EB6BD5">
            <w:pPr>
              <w:spacing w:after="80"/>
              <w:rPr>
                <w:rFonts w:cs="Calibri"/>
                <w:sz w:val="18"/>
              </w:rPr>
            </w:pPr>
            <w:r w:rsidRPr="00EB6BD5">
              <w:rPr>
                <w:rFonts w:cs="Calibri"/>
                <w:sz w:val="18"/>
              </w:rPr>
              <w:t>Confirmed</w:t>
            </w:r>
          </w:p>
        </w:tc>
        <w:tc>
          <w:tcPr>
            <w:tcW w:w="2300" w:type="pct"/>
            <w:shd w:val="clear" w:color="auto" w:fill="auto"/>
            <w:tcMar>
              <w:top w:w="80" w:type="dxa"/>
              <w:left w:w="120" w:type="dxa"/>
              <w:bottom w:w="80" w:type="dxa"/>
              <w:right w:w="120" w:type="dxa"/>
            </w:tcMar>
          </w:tcPr>
          <w:p w14:paraId="41BD3855" w14:textId="2E83C71E" w:rsidR="00EB6BD5" w:rsidRPr="00EB6BD5" w:rsidRDefault="00EB6BD5" w:rsidP="00EB6BD5">
            <w:pPr>
              <w:spacing w:after="80"/>
              <w:rPr>
                <w:rFonts w:cs="Calibri"/>
                <w:sz w:val="18"/>
              </w:rPr>
            </w:pPr>
            <w:r w:rsidRPr="00EB6BD5">
              <w:rPr>
                <w:rFonts w:cs="Calibri"/>
                <w:sz w:val="18"/>
              </w:rPr>
              <w:t>Confirmed by Tunghaan BDRRMO</w:t>
            </w:r>
          </w:p>
        </w:tc>
      </w:tr>
      <w:tr w:rsidR="00EB6BD5" w14:paraId="3921D07D" w14:textId="77777777" w:rsidTr="00EB6BD5">
        <w:trPr>
          <w:cantSplit/>
        </w:trPr>
        <w:tc>
          <w:tcPr>
            <w:tcW w:w="1550" w:type="pct"/>
            <w:shd w:val="clear" w:color="auto" w:fill="auto"/>
            <w:tcMar>
              <w:top w:w="80" w:type="dxa"/>
              <w:left w:w="120" w:type="dxa"/>
              <w:bottom w:w="80" w:type="dxa"/>
              <w:right w:w="120" w:type="dxa"/>
            </w:tcMar>
          </w:tcPr>
          <w:p w14:paraId="5564D440" w14:textId="107A97AD" w:rsidR="00EB6BD5" w:rsidRPr="00EB6BD5" w:rsidRDefault="00EB6BD5" w:rsidP="00EB6BD5">
            <w:pPr>
              <w:spacing w:after="80"/>
              <w:rPr>
                <w:rFonts w:cs="Calibri"/>
                <w:sz w:val="18"/>
              </w:rPr>
            </w:pPr>
            <w:r w:rsidRPr="00EB6BD5">
              <w:rPr>
                <w:rFonts w:cs="Calibri"/>
                <w:sz w:val="18"/>
              </w:rPr>
              <w:t>Action assigned or in progress</w:t>
            </w:r>
          </w:p>
        </w:tc>
        <w:tc>
          <w:tcPr>
            <w:tcW w:w="1150" w:type="pct"/>
            <w:shd w:val="clear" w:color="auto" w:fill="auto"/>
            <w:tcMar>
              <w:top w:w="80" w:type="dxa"/>
              <w:left w:w="120" w:type="dxa"/>
              <w:bottom w:w="80" w:type="dxa"/>
              <w:right w:w="120" w:type="dxa"/>
            </w:tcMar>
          </w:tcPr>
          <w:p w14:paraId="182F831A" w14:textId="4A199027" w:rsidR="00EB6BD5" w:rsidRPr="00EB6BD5" w:rsidRDefault="00EB6BD5" w:rsidP="00EB6BD5">
            <w:pPr>
              <w:spacing w:after="80"/>
              <w:rPr>
                <w:rFonts w:cs="Calibri"/>
                <w:sz w:val="18"/>
              </w:rPr>
            </w:pPr>
            <w:r w:rsidRPr="00EB6BD5">
              <w:rPr>
                <w:rFonts w:cs="Calibri"/>
                <w:sz w:val="18"/>
              </w:rPr>
              <w:t>Response Ongoing</w:t>
            </w:r>
          </w:p>
        </w:tc>
        <w:tc>
          <w:tcPr>
            <w:tcW w:w="2300" w:type="pct"/>
            <w:shd w:val="clear" w:color="auto" w:fill="auto"/>
            <w:tcMar>
              <w:top w:w="80" w:type="dxa"/>
              <w:left w:w="120" w:type="dxa"/>
              <w:bottom w:w="80" w:type="dxa"/>
              <w:right w:w="120" w:type="dxa"/>
            </w:tcMar>
          </w:tcPr>
          <w:p w14:paraId="71C54CD7" w14:textId="51BC0CDF" w:rsidR="00EB6BD5" w:rsidRPr="00EB6BD5" w:rsidRDefault="00EB6BD5" w:rsidP="00EB6BD5">
            <w:pPr>
              <w:spacing w:after="80"/>
              <w:rPr>
                <w:rFonts w:cs="Calibri"/>
                <w:sz w:val="18"/>
              </w:rPr>
            </w:pPr>
            <w:r w:rsidRPr="00EB6BD5">
              <w:rPr>
                <w:rFonts w:cs="Calibri"/>
                <w:sz w:val="18"/>
              </w:rPr>
              <w:t>Municipal Rescue Team assigned / Municipal support requested</w:t>
            </w:r>
          </w:p>
        </w:tc>
      </w:tr>
      <w:tr w:rsidR="00EB6BD5" w14:paraId="28B38460" w14:textId="77777777" w:rsidTr="00EB6BD5">
        <w:trPr>
          <w:cantSplit/>
        </w:trPr>
        <w:tc>
          <w:tcPr>
            <w:tcW w:w="1550" w:type="pct"/>
            <w:shd w:val="clear" w:color="auto" w:fill="auto"/>
            <w:tcMar>
              <w:top w:w="80" w:type="dxa"/>
              <w:left w:w="120" w:type="dxa"/>
              <w:bottom w:w="80" w:type="dxa"/>
              <w:right w:w="120" w:type="dxa"/>
            </w:tcMar>
          </w:tcPr>
          <w:p w14:paraId="614812F7" w14:textId="3646A5A6" w:rsidR="00EB6BD5" w:rsidRPr="00EB6BD5" w:rsidRDefault="00EB6BD5" w:rsidP="00EB6BD5">
            <w:pPr>
              <w:spacing w:after="80"/>
              <w:rPr>
                <w:rFonts w:cs="Calibri"/>
                <w:sz w:val="18"/>
              </w:rPr>
            </w:pPr>
            <w:r w:rsidRPr="00EB6BD5">
              <w:rPr>
                <w:rFonts w:cs="Calibri"/>
                <w:sz w:val="18"/>
              </w:rPr>
              <w:t>Valid closure</w:t>
            </w:r>
          </w:p>
        </w:tc>
        <w:tc>
          <w:tcPr>
            <w:tcW w:w="1150" w:type="pct"/>
            <w:shd w:val="clear" w:color="auto" w:fill="auto"/>
            <w:tcMar>
              <w:top w:w="80" w:type="dxa"/>
              <w:left w:w="120" w:type="dxa"/>
              <w:bottom w:w="80" w:type="dxa"/>
              <w:right w:w="120" w:type="dxa"/>
            </w:tcMar>
          </w:tcPr>
          <w:p w14:paraId="250C797B" w14:textId="4F4D9497" w:rsidR="00EB6BD5" w:rsidRPr="00EB6BD5" w:rsidRDefault="00EB6BD5" w:rsidP="00EB6BD5">
            <w:pPr>
              <w:spacing w:after="80"/>
              <w:rPr>
                <w:rFonts w:cs="Calibri"/>
                <w:sz w:val="18"/>
              </w:rPr>
            </w:pPr>
            <w:r w:rsidRPr="00EB6BD5">
              <w:rPr>
                <w:rFonts w:cs="Calibri"/>
                <w:sz w:val="18"/>
              </w:rPr>
              <w:t>Resolved</w:t>
            </w:r>
          </w:p>
        </w:tc>
        <w:tc>
          <w:tcPr>
            <w:tcW w:w="2300" w:type="pct"/>
            <w:shd w:val="clear" w:color="auto" w:fill="auto"/>
            <w:tcMar>
              <w:top w:w="80" w:type="dxa"/>
              <w:left w:w="120" w:type="dxa"/>
              <w:bottom w:w="80" w:type="dxa"/>
              <w:right w:w="120" w:type="dxa"/>
            </w:tcMar>
          </w:tcPr>
          <w:p w14:paraId="6A9D1ECD" w14:textId="6E4A430A" w:rsidR="00EB6BD5" w:rsidRPr="00EB6BD5" w:rsidRDefault="00EB6BD5" w:rsidP="00EB6BD5">
            <w:pPr>
              <w:spacing w:after="80"/>
              <w:rPr>
                <w:rFonts w:cs="Calibri"/>
                <w:sz w:val="18"/>
              </w:rPr>
            </w:pPr>
            <w:r w:rsidRPr="00EB6BD5">
              <w:rPr>
                <w:rFonts w:cs="Calibri"/>
                <w:sz w:val="18"/>
              </w:rPr>
              <w:t>Resolved by Tunghaan BDRRMO; public resolution summary</w:t>
            </w:r>
          </w:p>
        </w:tc>
      </w:tr>
    </w:tbl>
    <w:p w14:paraId="7212ECD9" w14:textId="77777777" w:rsidR="00EB6BD5" w:rsidRDefault="00EB6BD5" w:rsidP="00EB6BD5"/>
    <w:p w14:paraId="7B2B2E49" w14:textId="429BB0D6" w:rsidR="00EB6BD5" w:rsidRDefault="00EB6BD5" w:rsidP="00EB6BD5">
      <w:pPr>
        <w:pStyle w:val="Heading2"/>
        <w:rPr>
          <w:b w:val="0"/>
        </w:rPr>
      </w:pPr>
      <w:bookmarkStart w:id="21" w:name="_Toc240324159"/>
      <w:r>
        <w:rPr>
          <w:b w:val="0"/>
        </w:rPr>
        <w:t>10.3 Management measures</w:t>
      </w:r>
      <w:bookmarkEnd w:id="21"/>
    </w:p>
    <w:p w14:paraId="344FA01C" w14:textId="6DBE245E" w:rsidR="00EB6BD5" w:rsidRDefault="00EB6BD5" w:rsidP="00EB6BD5">
      <w:r>
        <w:t>Measure operational health without rewarding premature confirmation or unnecessary phone access.</w:t>
      </w:r>
    </w:p>
    <w:p w14:paraId="5BD22161" w14:textId="27577AFA" w:rsidR="00EB6BD5" w:rsidRDefault="00EB6BD5" w:rsidP="00EB6BD5">
      <w:pPr>
        <w:pStyle w:val="ListBullet"/>
      </w:pPr>
      <w:r>
        <w:t>Median time: submission to first review; review to decision; assessment assignment to result; support request to acknowledgement; confirmation to first response action; response completion to closure.</w:t>
      </w:r>
    </w:p>
    <w:p w14:paraId="73083F52" w14:textId="1E7234C9" w:rsidR="00EB6BD5" w:rsidRDefault="00EB6BD5" w:rsidP="00EB6BD5">
      <w:pPr>
        <w:pStyle w:val="ListBullet"/>
      </w:pPr>
      <w:r>
        <w:t>Quality: percent of active incidents with Lead Office, active Case Owner, fresh update, and assigned action/unit when required; closure completeness; duplicate consolidation ratio.</w:t>
      </w:r>
    </w:p>
    <w:p w14:paraId="5CD14ACD" w14:textId="642F8B8A" w:rsidR="00EB6BD5" w:rsidRDefault="00EB6BD5" w:rsidP="00EB6BD5">
      <w:pPr>
        <w:pStyle w:val="ListBullet"/>
      </w:pPr>
      <w:r>
        <w:t>Privacy: contact reveal rate, repeat-contact rate, missing contact outcomes, out-of-scope access denials, public-location redactions, and access-log review completion.</w:t>
      </w:r>
    </w:p>
    <w:p w14:paraId="68EA29CA" w14:textId="7A522004" w:rsidR="00EB6BD5" w:rsidRDefault="00EB6BD5" w:rsidP="00EB6BD5">
      <w:pPr>
        <w:pStyle w:val="ListBullet"/>
      </w:pPr>
      <w:r>
        <w:t>Do not use answer rate as a verification success KPI and do not reward teams for maximizing rejection or confirmation counts.</w:t>
      </w:r>
    </w:p>
    <w:p w14:paraId="00EA6825" w14:textId="3BA9F3D0" w:rsidR="00EB6BD5" w:rsidRDefault="00EB6BD5" w:rsidP="00EB6BD5">
      <w:pPr>
        <w:pStyle w:val="Heading1"/>
        <w:rPr>
          <w:b w:val="0"/>
        </w:rPr>
      </w:pPr>
      <w:bookmarkStart w:id="22" w:name="_Toc240324160"/>
      <w:r>
        <w:rPr>
          <w:b w:val="0"/>
        </w:rPr>
        <w:t>11. Principal risks and mitigations</w:t>
      </w:r>
      <w:bookmarkEnd w:id="22"/>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252"/>
        <w:gridCol w:w="2742"/>
        <w:gridCol w:w="4798"/>
      </w:tblGrid>
      <w:tr w:rsidR="00EB6BD5" w14:paraId="0AA825B5" w14:textId="77777777" w:rsidTr="00EB6BD5">
        <w:trPr>
          <w:cantSplit/>
        </w:trPr>
        <w:tc>
          <w:tcPr>
            <w:tcW w:w="1150" w:type="pct"/>
            <w:shd w:val="clear" w:color="auto" w:fill="auto"/>
            <w:tcMar>
              <w:top w:w="80" w:type="dxa"/>
              <w:left w:w="120" w:type="dxa"/>
              <w:bottom w:w="80" w:type="dxa"/>
              <w:right w:w="120" w:type="dxa"/>
            </w:tcMar>
          </w:tcPr>
          <w:p w14:paraId="1C09F1B3" w14:textId="71979480" w:rsidR="00EB6BD5" w:rsidRPr="00EB6BD5" w:rsidRDefault="00EB6BD5" w:rsidP="00EB6BD5">
            <w:pPr>
              <w:spacing w:after="40"/>
              <w:rPr>
                <w:rFonts w:cs="Calibri"/>
                <w:b/>
                <w:color w:val="16324F"/>
                <w:sz w:val="17"/>
              </w:rPr>
            </w:pPr>
            <w:r w:rsidRPr="00EB6BD5">
              <w:rPr>
                <w:rFonts w:cs="Calibri"/>
                <w:b/>
                <w:color w:val="16324F"/>
                <w:sz w:val="17"/>
              </w:rPr>
              <w:t>Risk</w:t>
            </w:r>
          </w:p>
        </w:tc>
        <w:tc>
          <w:tcPr>
            <w:tcW w:w="1400" w:type="pct"/>
            <w:shd w:val="clear" w:color="auto" w:fill="auto"/>
            <w:tcMar>
              <w:top w:w="80" w:type="dxa"/>
              <w:left w:w="120" w:type="dxa"/>
              <w:bottom w:w="80" w:type="dxa"/>
              <w:right w:w="120" w:type="dxa"/>
            </w:tcMar>
          </w:tcPr>
          <w:p w14:paraId="448A2F3A" w14:textId="5F28EFEE" w:rsidR="00EB6BD5" w:rsidRPr="00EB6BD5" w:rsidRDefault="00EB6BD5" w:rsidP="00EB6BD5">
            <w:pPr>
              <w:spacing w:after="40"/>
              <w:rPr>
                <w:rFonts w:cs="Calibri"/>
                <w:b/>
                <w:color w:val="16324F"/>
                <w:sz w:val="17"/>
              </w:rPr>
            </w:pPr>
            <w:r w:rsidRPr="00EB6BD5">
              <w:rPr>
                <w:rFonts w:cs="Calibri"/>
                <w:b/>
                <w:color w:val="16324F"/>
                <w:sz w:val="17"/>
              </w:rPr>
              <w:t>Impact</w:t>
            </w:r>
          </w:p>
        </w:tc>
        <w:tc>
          <w:tcPr>
            <w:tcW w:w="2450" w:type="pct"/>
            <w:shd w:val="clear" w:color="auto" w:fill="auto"/>
            <w:tcMar>
              <w:top w:w="80" w:type="dxa"/>
              <w:left w:w="120" w:type="dxa"/>
              <w:bottom w:w="80" w:type="dxa"/>
              <w:right w:w="120" w:type="dxa"/>
            </w:tcMar>
          </w:tcPr>
          <w:p w14:paraId="04429DB0" w14:textId="408959FF" w:rsidR="00EB6BD5" w:rsidRPr="00EB6BD5" w:rsidRDefault="00EB6BD5" w:rsidP="00EB6BD5">
            <w:pPr>
              <w:spacing w:after="40"/>
              <w:rPr>
                <w:rFonts w:cs="Calibri"/>
                <w:b/>
                <w:color w:val="16324F"/>
                <w:sz w:val="17"/>
              </w:rPr>
            </w:pPr>
            <w:r w:rsidRPr="00EB6BD5">
              <w:rPr>
                <w:rFonts w:cs="Calibri"/>
                <w:b/>
                <w:color w:val="16324F"/>
                <w:sz w:val="17"/>
              </w:rPr>
              <w:t>Mitigation / owner</w:t>
            </w:r>
          </w:p>
        </w:tc>
      </w:tr>
      <w:tr w:rsidR="00EB6BD5" w14:paraId="5F2D58F0" w14:textId="77777777" w:rsidTr="00EB6BD5">
        <w:trPr>
          <w:cantSplit/>
        </w:trPr>
        <w:tc>
          <w:tcPr>
            <w:tcW w:w="1150" w:type="pct"/>
            <w:shd w:val="clear" w:color="auto" w:fill="auto"/>
            <w:tcMar>
              <w:top w:w="80" w:type="dxa"/>
              <w:left w:w="120" w:type="dxa"/>
              <w:bottom w:w="80" w:type="dxa"/>
              <w:right w:w="120" w:type="dxa"/>
            </w:tcMar>
          </w:tcPr>
          <w:p w14:paraId="6FBB5024" w14:textId="704E71FC" w:rsidR="00EB6BD5" w:rsidRPr="00EB6BD5" w:rsidRDefault="00EB6BD5" w:rsidP="00EB6BD5">
            <w:pPr>
              <w:spacing w:after="40"/>
              <w:rPr>
                <w:rFonts w:cs="Calibri"/>
                <w:sz w:val="17"/>
              </w:rPr>
            </w:pPr>
            <w:r w:rsidRPr="00EB6BD5">
              <w:rPr>
                <w:rFonts w:cs="Calibri"/>
                <w:sz w:val="17"/>
              </w:rPr>
              <w:t>Big-bang rewrite</w:t>
            </w:r>
          </w:p>
        </w:tc>
        <w:tc>
          <w:tcPr>
            <w:tcW w:w="1400" w:type="pct"/>
            <w:shd w:val="clear" w:color="auto" w:fill="auto"/>
            <w:tcMar>
              <w:top w:w="80" w:type="dxa"/>
              <w:left w:w="120" w:type="dxa"/>
              <w:bottom w:w="80" w:type="dxa"/>
              <w:right w:w="120" w:type="dxa"/>
            </w:tcMar>
          </w:tcPr>
          <w:p w14:paraId="7FFE688A" w14:textId="0C77D566" w:rsidR="00EB6BD5" w:rsidRPr="00EB6BD5" w:rsidRDefault="00EB6BD5" w:rsidP="00EB6BD5">
            <w:pPr>
              <w:spacing w:after="40"/>
              <w:rPr>
                <w:rFonts w:cs="Calibri"/>
                <w:sz w:val="17"/>
              </w:rPr>
            </w:pPr>
            <w:r w:rsidRPr="00EB6BD5">
              <w:rPr>
                <w:rFonts w:cs="Calibri"/>
                <w:sz w:val="17"/>
              </w:rPr>
              <w:t>Operational outage or data inconsistency</w:t>
            </w:r>
          </w:p>
        </w:tc>
        <w:tc>
          <w:tcPr>
            <w:tcW w:w="2450" w:type="pct"/>
            <w:shd w:val="clear" w:color="auto" w:fill="auto"/>
            <w:tcMar>
              <w:top w:w="80" w:type="dxa"/>
              <w:left w:w="120" w:type="dxa"/>
              <w:bottom w:w="80" w:type="dxa"/>
              <w:right w:w="120" w:type="dxa"/>
            </w:tcMar>
          </w:tcPr>
          <w:p w14:paraId="5DFD72E3" w14:textId="6C425F7A" w:rsidR="00EB6BD5" w:rsidRPr="00EB6BD5" w:rsidRDefault="00EB6BD5" w:rsidP="00EB6BD5">
            <w:pPr>
              <w:spacing w:after="40"/>
              <w:rPr>
                <w:rFonts w:cs="Calibri"/>
                <w:sz w:val="17"/>
              </w:rPr>
            </w:pPr>
            <w:r w:rsidRPr="00EB6BD5">
              <w:rPr>
                <w:rFonts w:cs="Calibri"/>
                <w:sz w:val="17"/>
              </w:rPr>
              <w:t>Parallel domain, compatibility projections, rehearsal, feature flags, reconciliation, rollback. Engineering lead.</w:t>
            </w:r>
          </w:p>
        </w:tc>
      </w:tr>
      <w:tr w:rsidR="00EB6BD5" w14:paraId="4C9E7C4B" w14:textId="77777777" w:rsidTr="00EB6BD5">
        <w:trPr>
          <w:cantSplit/>
        </w:trPr>
        <w:tc>
          <w:tcPr>
            <w:tcW w:w="1150" w:type="pct"/>
            <w:shd w:val="clear" w:color="auto" w:fill="auto"/>
            <w:tcMar>
              <w:top w:w="80" w:type="dxa"/>
              <w:left w:w="120" w:type="dxa"/>
              <w:bottom w:w="80" w:type="dxa"/>
              <w:right w:w="120" w:type="dxa"/>
            </w:tcMar>
          </w:tcPr>
          <w:p w14:paraId="69B9CD4C" w14:textId="4955B8B7" w:rsidR="00EB6BD5" w:rsidRPr="00EB6BD5" w:rsidRDefault="00EB6BD5" w:rsidP="00EB6BD5">
            <w:pPr>
              <w:spacing w:after="40"/>
              <w:rPr>
                <w:rFonts w:cs="Calibri"/>
                <w:sz w:val="17"/>
              </w:rPr>
            </w:pPr>
            <w:r w:rsidRPr="00EB6BD5">
              <w:rPr>
                <w:rFonts w:cs="Calibri"/>
                <w:sz w:val="17"/>
              </w:rPr>
              <w:t>Ambiguous LGU authority/terminology</w:t>
            </w:r>
          </w:p>
        </w:tc>
        <w:tc>
          <w:tcPr>
            <w:tcW w:w="1400" w:type="pct"/>
            <w:shd w:val="clear" w:color="auto" w:fill="auto"/>
            <w:tcMar>
              <w:top w:w="80" w:type="dxa"/>
              <w:left w:w="120" w:type="dxa"/>
              <w:bottom w:w="80" w:type="dxa"/>
              <w:right w:w="120" w:type="dxa"/>
            </w:tcMar>
          </w:tcPr>
          <w:p w14:paraId="1805BBD9" w14:textId="789C25CF" w:rsidR="00EB6BD5" w:rsidRPr="00EB6BD5" w:rsidRDefault="00EB6BD5" w:rsidP="00EB6BD5">
            <w:pPr>
              <w:spacing w:after="40"/>
              <w:rPr>
                <w:rFonts w:cs="Calibri"/>
                <w:sz w:val="17"/>
              </w:rPr>
            </w:pPr>
            <w:r w:rsidRPr="00EB6BD5">
              <w:rPr>
                <w:rFonts w:cs="Calibri"/>
                <w:sz w:val="17"/>
              </w:rPr>
              <w:t>Incorrect roles or conflict with local SOP</w:t>
            </w:r>
          </w:p>
        </w:tc>
        <w:tc>
          <w:tcPr>
            <w:tcW w:w="2450" w:type="pct"/>
            <w:shd w:val="clear" w:color="auto" w:fill="auto"/>
            <w:tcMar>
              <w:top w:w="80" w:type="dxa"/>
              <w:left w:w="120" w:type="dxa"/>
              <w:bottom w:w="80" w:type="dxa"/>
              <w:right w:w="120" w:type="dxa"/>
            </w:tcMar>
          </w:tcPr>
          <w:p w14:paraId="2F042224" w14:textId="19637488" w:rsidR="00EB6BD5" w:rsidRPr="00EB6BD5" w:rsidRDefault="00EB6BD5" w:rsidP="00EB6BD5">
            <w:pPr>
              <w:spacing w:after="40"/>
              <w:rPr>
                <w:rFonts w:cs="Calibri"/>
                <w:sz w:val="17"/>
              </w:rPr>
            </w:pPr>
            <w:r w:rsidRPr="00EB6BD5">
              <w:rPr>
                <w:rFonts w:cs="Calibri"/>
                <w:sz w:val="17"/>
              </w:rPr>
              <w:t>Validate BDRRMC/BDRRMO naming, command/transfer, and resource authority with LGU ordinance and operations leadership. Product owner.</w:t>
            </w:r>
          </w:p>
        </w:tc>
      </w:tr>
      <w:tr w:rsidR="00EB6BD5" w14:paraId="34373478" w14:textId="77777777" w:rsidTr="00EB6BD5">
        <w:trPr>
          <w:cantSplit/>
        </w:trPr>
        <w:tc>
          <w:tcPr>
            <w:tcW w:w="1150" w:type="pct"/>
            <w:shd w:val="clear" w:color="auto" w:fill="auto"/>
            <w:tcMar>
              <w:top w:w="80" w:type="dxa"/>
              <w:left w:w="120" w:type="dxa"/>
              <w:bottom w:w="80" w:type="dxa"/>
              <w:right w:w="120" w:type="dxa"/>
            </w:tcMar>
          </w:tcPr>
          <w:p w14:paraId="77133271" w14:textId="177A427A" w:rsidR="00EB6BD5" w:rsidRPr="00EB6BD5" w:rsidRDefault="00EB6BD5" w:rsidP="00EB6BD5">
            <w:pPr>
              <w:spacing w:after="40"/>
              <w:rPr>
                <w:rFonts w:cs="Calibri"/>
                <w:sz w:val="17"/>
              </w:rPr>
            </w:pPr>
            <w:r w:rsidRPr="00EB6BD5">
              <w:rPr>
                <w:rFonts w:cs="Calibri"/>
                <w:sz w:val="17"/>
              </w:rPr>
              <w:t>Status explosion or drift</w:t>
            </w:r>
          </w:p>
        </w:tc>
        <w:tc>
          <w:tcPr>
            <w:tcW w:w="1400" w:type="pct"/>
            <w:shd w:val="clear" w:color="auto" w:fill="auto"/>
            <w:tcMar>
              <w:top w:w="80" w:type="dxa"/>
              <w:left w:w="120" w:type="dxa"/>
              <w:bottom w:w="80" w:type="dxa"/>
              <w:right w:w="120" w:type="dxa"/>
            </w:tcMar>
          </w:tcPr>
          <w:p w14:paraId="36831A27" w14:textId="4854F738" w:rsidR="00EB6BD5" w:rsidRPr="00EB6BD5" w:rsidRDefault="00EB6BD5" w:rsidP="00EB6BD5">
            <w:pPr>
              <w:spacing w:after="40"/>
              <w:rPr>
                <w:rFonts w:cs="Calibri"/>
                <w:sz w:val="17"/>
              </w:rPr>
            </w:pPr>
            <w:r w:rsidRPr="00EB6BD5">
              <w:rPr>
                <w:rFonts w:cs="Calibri"/>
                <w:sz w:val="17"/>
              </w:rPr>
              <w:t>Contradictory incident state</w:t>
            </w:r>
          </w:p>
        </w:tc>
        <w:tc>
          <w:tcPr>
            <w:tcW w:w="2450" w:type="pct"/>
            <w:shd w:val="clear" w:color="auto" w:fill="auto"/>
            <w:tcMar>
              <w:top w:w="80" w:type="dxa"/>
              <w:left w:w="120" w:type="dxa"/>
              <w:bottom w:w="80" w:type="dxa"/>
              <w:right w:w="120" w:type="dxa"/>
            </w:tcMar>
          </w:tcPr>
          <w:p w14:paraId="5E8F22CE" w14:textId="7E9D0252" w:rsidR="00EB6BD5" w:rsidRPr="00EB6BD5" w:rsidRDefault="00EB6BD5" w:rsidP="00EB6BD5">
            <w:pPr>
              <w:spacing w:after="40"/>
              <w:rPr>
                <w:rFonts w:cs="Calibri"/>
                <w:sz w:val="17"/>
              </w:rPr>
            </w:pPr>
            <w:r w:rsidRPr="00EB6BD5">
              <w:rPr>
                <w:rFonts w:cs="Calibri"/>
                <w:sz w:val="17"/>
              </w:rPr>
              <w:t>Orthogonal constrained fields, transactional commands, derived aggregates, invariant tests. Backend lead.</w:t>
            </w:r>
          </w:p>
        </w:tc>
      </w:tr>
      <w:tr w:rsidR="00EB6BD5" w14:paraId="7B49945A" w14:textId="77777777" w:rsidTr="00EB6BD5">
        <w:trPr>
          <w:cantSplit/>
        </w:trPr>
        <w:tc>
          <w:tcPr>
            <w:tcW w:w="1150" w:type="pct"/>
            <w:shd w:val="clear" w:color="auto" w:fill="auto"/>
            <w:tcMar>
              <w:top w:w="80" w:type="dxa"/>
              <w:left w:w="120" w:type="dxa"/>
              <w:bottom w:w="80" w:type="dxa"/>
              <w:right w:w="120" w:type="dxa"/>
            </w:tcMar>
          </w:tcPr>
          <w:p w14:paraId="44E4AE32" w14:textId="686F01F7" w:rsidR="00EB6BD5" w:rsidRPr="00EB6BD5" w:rsidRDefault="00EB6BD5" w:rsidP="00EB6BD5">
            <w:pPr>
              <w:spacing w:after="40"/>
              <w:rPr>
                <w:rFonts w:cs="Calibri"/>
                <w:sz w:val="17"/>
              </w:rPr>
            </w:pPr>
            <w:r w:rsidRPr="00EB6BD5">
              <w:rPr>
                <w:rFonts w:cs="Calibri"/>
                <w:sz w:val="17"/>
              </w:rPr>
              <w:t>Phone scraping or repeated calls</w:t>
            </w:r>
          </w:p>
        </w:tc>
        <w:tc>
          <w:tcPr>
            <w:tcW w:w="1400" w:type="pct"/>
            <w:shd w:val="clear" w:color="auto" w:fill="auto"/>
            <w:tcMar>
              <w:top w:w="80" w:type="dxa"/>
              <w:left w:w="120" w:type="dxa"/>
              <w:bottom w:w="80" w:type="dxa"/>
              <w:right w:w="120" w:type="dxa"/>
            </w:tcMar>
          </w:tcPr>
          <w:p w14:paraId="13FB7C66" w14:textId="05AB5C71" w:rsidR="00EB6BD5" w:rsidRPr="00EB6BD5" w:rsidRDefault="00EB6BD5" w:rsidP="00EB6BD5">
            <w:pPr>
              <w:spacing w:after="40"/>
              <w:rPr>
                <w:rFonts w:cs="Calibri"/>
                <w:sz w:val="17"/>
              </w:rPr>
            </w:pPr>
            <w:r w:rsidRPr="00EB6BD5">
              <w:rPr>
                <w:rFonts w:cs="Calibri"/>
                <w:sz w:val="17"/>
              </w:rPr>
              <w:t>Privacy harm and loss of trust</w:t>
            </w:r>
          </w:p>
        </w:tc>
        <w:tc>
          <w:tcPr>
            <w:tcW w:w="2450" w:type="pct"/>
            <w:shd w:val="clear" w:color="auto" w:fill="auto"/>
            <w:tcMar>
              <w:top w:w="80" w:type="dxa"/>
              <w:left w:w="120" w:type="dxa"/>
              <w:bottom w:w="80" w:type="dxa"/>
              <w:right w:w="120" w:type="dxa"/>
            </w:tcMar>
          </w:tcPr>
          <w:p w14:paraId="31E00C6E" w14:textId="1A060A42" w:rsidR="00EB6BD5" w:rsidRPr="00EB6BD5" w:rsidRDefault="00EB6BD5" w:rsidP="00EB6BD5">
            <w:pPr>
              <w:spacing w:after="40"/>
              <w:rPr>
                <w:rFonts w:cs="Calibri"/>
                <w:sz w:val="17"/>
              </w:rPr>
            </w:pPr>
            <w:r w:rsidRPr="00EB6BD5">
              <w:rPr>
                <w:rFonts w:cs="Calibri"/>
                <w:sz w:val="17"/>
              </w:rPr>
              <w:t>Masked projections, reason, audit, rate limit, contact history, supervisory review. DPO/security.</w:t>
            </w:r>
          </w:p>
        </w:tc>
      </w:tr>
      <w:tr w:rsidR="00EB6BD5" w14:paraId="0783BBF1" w14:textId="77777777" w:rsidTr="00EB6BD5">
        <w:trPr>
          <w:cantSplit/>
        </w:trPr>
        <w:tc>
          <w:tcPr>
            <w:tcW w:w="1150" w:type="pct"/>
            <w:shd w:val="clear" w:color="auto" w:fill="auto"/>
            <w:tcMar>
              <w:top w:w="80" w:type="dxa"/>
              <w:left w:w="120" w:type="dxa"/>
              <w:bottom w:w="80" w:type="dxa"/>
              <w:right w:w="120" w:type="dxa"/>
            </w:tcMar>
          </w:tcPr>
          <w:p w14:paraId="50CD29F8" w14:textId="74C44A15" w:rsidR="00EB6BD5" w:rsidRPr="00EB6BD5" w:rsidRDefault="00EB6BD5" w:rsidP="00EB6BD5">
            <w:pPr>
              <w:spacing w:after="40"/>
              <w:rPr>
                <w:rFonts w:cs="Calibri"/>
                <w:sz w:val="17"/>
              </w:rPr>
            </w:pPr>
            <w:r w:rsidRPr="00EB6BD5">
              <w:rPr>
                <w:rFonts w:cs="Calibri"/>
                <w:sz w:val="17"/>
              </w:rPr>
              <w:t>False public certainty</w:t>
            </w:r>
          </w:p>
        </w:tc>
        <w:tc>
          <w:tcPr>
            <w:tcW w:w="1400" w:type="pct"/>
            <w:shd w:val="clear" w:color="auto" w:fill="auto"/>
            <w:tcMar>
              <w:top w:w="80" w:type="dxa"/>
              <w:left w:w="120" w:type="dxa"/>
              <w:bottom w:w="80" w:type="dxa"/>
              <w:right w:w="120" w:type="dxa"/>
            </w:tcMar>
          </w:tcPr>
          <w:p w14:paraId="69CFF0DF" w14:textId="295B0C1B" w:rsidR="00EB6BD5" w:rsidRPr="00EB6BD5" w:rsidRDefault="00EB6BD5" w:rsidP="00EB6BD5">
            <w:pPr>
              <w:spacing w:after="40"/>
              <w:rPr>
                <w:rFonts w:cs="Calibri"/>
                <w:sz w:val="17"/>
              </w:rPr>
            </w:pPr>
            <w:r w:rsidRPr="00EB6BD5">
              <w:rPr>
                <w:rFonts w:cs="Calibri"/>
                <w:sz w:val="17"/>
              </w:rPr>
              <w:t>Panic, reputational harm, unsafe decisions</w:t>
            </w:r>
          </w:p>
        </w:tc>
        <w:tc>
          <w:tcPr>
            <w:tcW w:w="2450" w:type="pct"/>
            <w:shd w:val="clear" w:color="auto" w:fill="auto"/>
            <w:tcMar>
              <w:top w:w="80" w:type="dxa"/>
              <w:left w:w="120" w:type="dxa"/>
              <w:bottom w:w="80" w:type="dxa"/>
              <w:right w:w="120" w:type="dxa"/>
            </w:tcMar>
          </w:tcPr>
          <w:p w14:paraId="69589CC9" w14:textId="24EC20AE" w:rsidR="00EB6BD5" w:rsidRPr="00EB6BD5" w:rsidRDefault="00EB6BD5" w:rsidP="00EB6BD5">
            <w:pPr>
              <w:spacing w:after="40"/>
              <w:rPr>
                <w:rFonts w:cs="Calibri"/>
                <w:sz w:val="17"/>
              </w:rPr>
            </w:pPr>
            <w:r w:rsidRPr="00EB6BD5">
              <w:rPr>
                <w:rFonts w:cs="Calibri"/>
                <w:sz w:val="17"/>
              </w:rPr>
              <w:t>Confirmed-only public incident projection; optional community layer deferred; clear provenance and labels. Product/operations.</w:t>
            </w:r>
          </w:p>
        </w:tc>
      </w:tr>
      <w:tr w:rsidR="00EB6BD5" w14:paraId="5D2587F5" w14:textId="77777777" w:rsidTr="00EB6BD5">
        <w:trPr>
          <w:cantSplit/>
        </w:trPr>
        <w:tc>
          <w:tcPr>
            <w:tcW w:w="1150" w:type="pct"/>
            <w:shd w:val="clear" w:color="auto" w:fill="auto"/>
            <w:tcMar>
              <w:top w:w="80" w:type="dxa"/>
              <w:left w:w="120" w:type="dxa"/>
              <w:bottom w:w="80" w:type="dxa"/>
              <w:right w:w="120" w:type="dxa"/>
            </w:tcMar>
          </w:tcPr>
          <w:p w14:paraId="63CDB5C2" w14:textId="11AE87E2" w:rsidR="00EB6BD5" w:rsidRPr="00EB6BD5" w:rsidRDefault="00EB6BD5" w:rsidP="00EB6BD5">
            <w:pPr>
              <w:spacing w:after="40"/>
              <w:rPr>
                <w:rFonts w:cs="Calibri"/>
                <w:sz w:val="17"/>
              </w:rPr>
            </w:pPr>
            <w:r w:rsidRPr="00EB6BD5">
              <w:rPr>
                <w:rFonts w:cs="Calibri"/>
                <w:sz w:val="17"/>
              </w:rPr>
              <w:lastRenderedPageBreak/>
              <w:t>Incorrect duplicate link</w:t>
            </w:r>
          </w:p>
        </w:tc>
        <w:tc>
          <w:tcPr>
            <w:tcW w:w="1400" w:type="pct"/>
            <w:shd w:val="clear" w:color="auto" w:fill="auto"/>
            <w:tcMar>
              <w:top w:w="80" w:type="dxa"/>
              <w:left w:w="120" w:type="dxa"/>
              <w:bottom w:w="80" w:type="dxa"/>
              <w:right w:w="120" w:type="dxa"/>
            </w:tcMar>
          </w:tcPr>
          <w:p w14:paraId="65C2CFEE" w14:textId="6F9FA651" w:rsidR="00EB6BD5" w:rsidRPr="00EB6BD5" w:rsidRDefault="00EB6BD5" w:rsidP="00EB6BD5">
            <w:pPr>
              <w:spacing w:after="40"/>
              <w:rPr>
                <w:rFonts w:cs="Calibri"/>
                <w:sz w:val="17"/>
              </w:rPr>
            </w:pPr>
            <w:r w:rsidRPr="00EB6BD5">
              <w:rPr>
                <w:rFonts w:cs="Calibri"/>
                <w:sz w:val="17"/>
              </w:rPr>
              <w:t>Evidence attached to wrong case</w:t>
            </w:r>
          </w:p>
        </w:tc>
        <w:tc>
          <w:tcPr>
            <w:tcW w:w="2450" w:type="pct"/>
            <w:shd w:val="clear" w:color="auto" w:fill="auto"/>
            <w:tcMar>
              <w:top w:w="80" w:type="dxa"/>
              <w:left w:w="120" w:type="dxa"/>
              <w:bottom w:w="80" w:type="dxa"/>
              <w:right w:w="120" w:type="dxa"/>
            </w:tcMar>
          </w:tcPr>
          <w:p w14:paraId="7DAFD258" w14:textId="5ABC5AA0" w:rsidR="00EB6BD5" w:rsidRPr="00EB6BD5" w:rsidRDefault="00EB6BD5" w:rsidP="00EB6BD5">
            <w:pPr>
              <w:spacing w:after="40"/>
              <w:rPr>
                <w:rFonts w:cs="Calibri"/>
                <w:sz w:val="17"/>
              </w:rPr>
            </w:pPr>
            <w:r w:rsidRPr="00EB6BD5">
              <w:rPr>
                <w:rFonts w:cs="Calibri"/>
                <w:sz w:val="17"/>
              </w:rPr>
              <w:t>Candidate-only matching, human confirmation, unlink correction with audit, conservative thresholds. Review lead.</w:t>
            </w:r>
          </w:p>
        </w:tc>
      </w:tr>
      <w:tr w:rsidR="00EB6BD5" w14:paraId="027BDCB9" w14:textId="77777777" w:rsidTr="00EB6BD5">
        <w:trPr>
          <w:cantSplit/>
        </w:trPr>
        <w:tc>
          <w:tcPr>
            <w:tcW w:w="1150" w:type="pct"/>
            <w:shd w:val="clear" w:color="auto" w:fill="auto"/>
            <w:tcMar>
              <w:top w:w="80" w:type="dxa"/>
              <w:left w:w="120" w:type="dxa"/>
              <w:bottom w:w="80" w:type="dxa"/>
              <w:right w:w="120" w:type="dxa"/>
            </w:tcMar>
          </w:tcPr>
          <w:p w14:paraId="03DDA3F0" w14:textId="06ED86DE" w:rsidR="00EB6BD5" w:rsidRPr="00EB6BD5" w:rsidRDefault="00EB6BD5" w:rsidP="00EB6BD5">
            <w:pPr>
              <w:spacing w:after="40"/>
              <w:rPr>
                <w:rFonts w:cs="Calibri"/>
                <w:sz w:val="17"/>
              </w:rPr>
            </w:pPr>
            <w:r w:rsidRPr="00EB6BD5">
              <w:rPr>
                <w:rFonts w:cs="Calibri"/>
                <w:sz w:val="17"/>
              </w:rPr>
              <w:t>Premature administrative closure</w:t>
            </w:r>
          </w:p>
        </w:tc>
        <w:tc>
          <w:tcPr>
            <w:tcW w:w="1400" w:type="pct"/>
            <w:shd w:val="clear" w:color="auto" w:fill="auto"/>
            <w:tcMar>
              <w:top w:w="80" w:type="dxa"/>
              <w:left w:w="120" w:type="dxa"/>
              <w:bottom w:w="80" w:type="dxa"/>
              <w:right w:w="120" w:type="dxa"/>
            </w:tcMar>
          </w:tcPr>
          <w:p w14:paraId="68E6F12C" w14:textId="615BA4D9" w:rsidR="00EB6BD5" w:rsidRPr="00EB6BD5" w:rsidRDefault="00EB6BD5" w:rsidP="00EB6BD5">
            <w:pPr>
              <w:spacing w:after="40"/>
              <w:rPr>
                <w:rFonts w:cs="Calibri"/>
                <w:sz w:val="17"/>
              </w:rPr>
            </w:pPr>
            <w:r w:rsidRPr="00EB6BD5">
              <w:rPr>
                <w:rFonts w:cs="Calibri"/>
                <w:sz w:val="17"/>
              </w:rPr>
              <w:t>Missed continuing hazard</w:t>
            </w:r>
          </w:p>
        </w:tc>
        <w:tc>
          <w:tcPr>
            <w:tcW w:w="2450" w:type="pct"/>
            <w:shd w:val="clear" w:color="auto" w:fill="auto"/>
            <w:tcMar>
              <w:top w:w="80" w:type="dxa"/>
              <w:left w:w="120" w:type="dxa"/>
              <w:bottom w:w="80" w:type="dxa"/>
              <w:right w:w="120" w:type="dxa"/>
            </w:tcMar>
          </w:tcPr>
          <w:p w14:paraId="7EBF0DA8" w14:textId="13D00D80" w:rsidR="00EB6BD5" w:rsidRPr="00EB6BD5" w:rsidRDefault="00EB6BD5" w:rsidP="00EB6BD5">
            <w:pPr>
              <w:spacing w:after="40"/>
              <w:rPr>
                <w:rFonts w:cs="Calibri"/>
                <w:sz w:val="17"/>
              </w:rPr>
            </w:pPr>
            <w:r w:rsidRPr="00EB6BD5">
              <w:rPr>
                <w:rFonts w:cs="Calibri"/>
                <w:sz w:val="17"/>
              </w:rPr>
              <w:t>Required closure package, stale-response queue, reopen, public summary, supervisory metrics. Case owner.</w:t>
            </w:r>
          </w:p>
        </w:tc>
      </w:tr>
      <w:tr w:rsidR="00EB6BD5" w14:paraId="40450A1E" w14:textId="77777777" w:rsidTr="00EB6BD5">
        <w:trPr>
          <w:cantSplit/>
        </w:trPr>
        <w:tc>
          <w:tcPr>
            <w:tcW w:w="1150" w:type="pct"/>
            <w:shd w:val="clear" w:color="auto" w:fill="auto"/>
            <w:tcMar>
              <w:top w:w="80" w:type="dxa"/>
              <w:left w:w="120" w:type="dxa"/>
              <w:bottom w:w="80" w:type="dxa"/>
              <w:right w:w="120" w:type="dxa"/>
            </w:tcMar>
          </w:tcPr>
          <w:p w14:paraId="64CF4DE4" w14:textId="2FA293DC" w:rsidR="00EB6BD5" w:rsidRPr="00EB6BD5" w:rsidRDefault="00EB6BD5" w:rsidP="00EB6BD5">
            <w:pPr>
              <w:spacing w:after="40"/>
              <w:rPr>
                <w:rFonts w:cs="Calibri"/>
                <w:sz w:val="17"/>
              </w:rPr>
            </w:pPr>
            <w:r w:rsidRPr="00EB6BD5">
              <w:rPr>
                <w:rFonts w:cs="Calibri"/>
                <w:sz w:val="17"/>
              </w:rPr>
              <w:t>Media/location over-trust</w:t>
            </w:r>
          </w:p>
        </w:tc>
        <w:tc>
          <w:tcPr>
            <w:tcW w:w="1400" w:type="pct"/>
            <w:shd w:val="clear" w:color="auto" w:fill="auto"/>
            <w:tcMar>
              <w:top w:w="80" w:type="dxa"/>
              <w:left w:w="120" w:type="dxa"/>
              <w:bottom w:w="80" w:type="dxa"/>
              <w:right w:w="120" w:type="dxa"/>
            </w:tcMar>
          </w:tcPr>
          <w:p w14:paraId="7FEC15DE" w14:textId="0B0F26C8" w:rsidR="00EB6BD5" w:rsidRPr="00EB6BD5" w:rsidRDefault="00EB6BD5" w:rsidP="00EB6BD5">
            <w:pPr>
              <w:spacing w:after="40"/>
              <w:rPr>
                <w:rFonts w:cs="Calibri"/>
                <w:sz w:val="17"/>
              </w:rPr>
            </w:pPr>
            <w:r w:rsidRPr="00EB6BD5">
              <w:rPr>
                <w:rFonts w:cs="Calibri"/>
                <w:sz w:val="17"/>
              </w:rPr>
              <w:t>False verification or privacy exposure</w:t>
            </w:r>
          </w:p>
        </w:tc>
        <w:tc>
          <w:tcPr>
            <w:tcW w:w="2450" w:type="pct"/>
            <w:shd w:val="clear" w:color="auto" w:fill="auto"/>
            <w:tcMar>
              <w:top w:w="80" w:type="dxa"/>
              <w:left w:w="120" w:type="dxa"/>
              <w:bottom w:w="80" w:type="dxa"/>
              <w:right w:w="120" w:type="dxa"/>
            </w:tcMar>
          </w:tcPr>
          <w:p w14:paraId="1F0FE807" w14:textId="5F4F818C" w:rsidR="00EB6BD5" w:rsidRPr="00EB6BD5" w:rsidRDefault="00EB6BD5" w:rsidP="00EB6BD5">
            <w:pPr>
              <w:spacing w:after="40"/>
              <w:rPr>
                <w:rFonts w:cs="Calibri"/>
                <w:sz w:val="17"/>
              </w:rPr>
            </w:pPr>
            <w:r w:rsidRPr="00EB6BD5">
              <w:rPr>
                <w:rFonts w:cs="Calibri"/>
                <w:sz w:val="17"/>
              </w:rPr>
              <w:t>Show uncertainty/fix age; server validation; treat metadata as supporting evidence; sensitivity policy. Review/DPO.</w:t>
            </w:r>
          </w:p>
        </w:tc>
      </w:tr>
      <w:tr w:rsidR="00EB6BD5" w14:paraId="13A16C1D" w14:textId="77777777" w:rsidTr="00EB6BD5">
        <w:trPr>
          <w:cantSplit/>
        </w:trPr>
        <w:tc>
          <w:tcPr>
            <w:tcW w:w="1150" w:type="pct"/>
            <w:shd w:val="clear" w:color="auto" w:fill="auto"/>
            <w:tcMar>
              <w:top w:w="80" w:type="dxa"/>
              <w:left w:w="120" w:type="dxa"/>
              <w:bottom w:w="80" w:type="dxa"/>
              <w:right w:w="120" w:type="dxa"/>
            </w:tcMar>
          </w:tcPr>
          <w:p w14:paraId="33A1F5DE" w14:textId="0829CF39" w:rsidR="00EB6BD5" w:rsidRPr="00EB6BD5" w:rsidRDefault="00EB6BD5" w:rsidP="00EB6BD5">
            <w:pPr>
              <w:spacing w:after="40"/>
              <w:rPr>
                <w:rFonts w:cs="Calibri"/>
                <w:sz w:val="17"/>
              </w:rPr>
            </w:pPr>
            <w:r w:rsidRPr="00EB6BD5">
              <w:rPr>
                <w:rFonts w:cs="Calibri"/>
                <w:sz w:val="17"/>
              </w:rPr>
              <w:t>Mayor privilege persists below UI</w:t>
            </w:r>
          </w:p>
        </w:tc>
        <w:tc>
          <w:tcPr>
            <w:tcW w:w="1400" w:type="pct"/>
            <w:shd w:val="clear" w:color="auto" w:fill="auto"/>
            <w:tcMar>
              <w:top w:w="80" w:type="dxa"/>
              <w:left w:w="120" w:type="dxa"/>
              <w:bottom w:w="80" w:type="dxa"/>
              <w:right w:w="120" w:type="dxa"/>
            </w:tcMar>
          </w:tcPr>
          <w:p w14:paraId="67621EBC" w14:textId="46FF7EBF" w:rsidR="00EB6BD5" w:rsidRPr="00EB6BD5" w:rsidRDefault="00EB6BD5" w:rsidP="00EB6BD5">
            <w:pPr>
              <w:spacing w:after="40"/>
              <w:rPr>
                <w:rFonts w:cs="Calibri"/>
                <w:sz w:val="17"/>
              </w:rPr>
            </w:pPr>
            <w:r w:rsidRPr="00EB6BD5">
              <w:rPr>
                <w:rFonts w:cs="Calibri"/>
                <w:sz w:val="17"/>
              </w:rPr>
              <w:t>Unauthorized operational mutation</w:t>
            </w:r>
          </w:p>
        </w:tc>
        <w:tc>
          <w:tcPr>
            <w:tcW w:w="2450" w:type="pct"/>
            <w:shd w:val="clear" w:color="auto" w:fill="auto"/>
            <w:tcMar>
              <w:top w:w="80" w:type="dxa"/>
              <w:left w:w="120" w:type="dxa"/>
              <w:bottom w:w="80" w:type="dxa"/>
              <w:right w:w="120" w:type="dxa"/>
            </w:tcMar>
          </w:tcPr>
          <w:p w14:paraId="3A421160" w14:textId="52AE3256" w:rsidR="00EB6BD5" w:rsidRPr="00EB6BD5" w:rsidRDefault="00EB6BD5" w:rsidP="00EB6BD5">
            <w:pPr>
              <w:spacing w:after="40"/>
              <w:rPr>
                <w:rFonts w:cs="Calibri"/>
                <w:sz w:val="17"/>
              </w:rPr>
            </w:pPr>
            <w:r w:rsidRPr="00EB6BD5">
              <w:rPr>
                <w:rFonts w:cs="Calibri"/>
                <w:sz w:val="17"/>
              </w:rPr>
              <w:t>Remove database policy/function authorization and test negative paths. Backend/security.</w:t>
            </w:r>
          </w:p>
        </w:tc>
      </w:tr>
      <w:tr w:rsidR="00EB6BD5" w14:paraId="271F29E9" w14:textId="77777777" w:rsidTr="00EB6BD5">
        <w:trPr>
          <w:cantSplit/>
        </w:trPr>
        <w:tc>
          <w:tcPr>
            <w:tcW w:w="1150" w:type="pct"/>
            <w:shd w:val="clear" w:color="auto" w:fill="auto"/>
            <w:tcMar>
              <w:top w:w="80" w:type="dxa"/>
              <w:left w:w="120" w:type="dxa"/>
              <w:bottom w:w="80" w:type="dxa"/>
              <w:right w:w="120" w:type="dxa"/>
            </w:tcMar>
          </w:tcPr>
          <w:p w14:paraId="32BD5F04" w14:textId="7FCDFBFC" w:rsidR="00EB6BD5" w:rsidRPr="00EB6BD5" w:rsidRDefault="00EB6BD5" w:rsidP="00EB6BD5">
            <w:pPr>
              <w:spacing w:after="40"/>
              <w:rPr>
                <w:rFonts w:cs="Calibri"/>
                <w:sz w:val="17"/>
              </w:rPr>
            </w:pPr>
            <w:r w:rsidRPr="00EB6BD5">
              <w:rPr>
                <w:rFonts w:cs="Calibri"/>
                <w:sz w:val="17"/>
              </w:rPr>
              <w:t>Scope creep into dispatch</w:t>
            </w:r>
          </w:p>
        </w:tc>
        <w:tc>
          <w:tcPr>
            <w:tcW w:w="1400" w:type="pct"/>
            <w:shd w:val="clear" w:color="auto" w:fill="auto"/>
            <w:tcMar>
              <w:top w:w="80" w:type="dxa"/>
              <w:left w:w="120" w:type="dxa"/>
              <w:bottom w:w="80" w:type="dxa"/>
              <w:right w:w="120" w:type="dxa"/>
            </w:tcMar>
          </w:tcPr>
          <w:p w14:paraId="25F2E510" w14:textId="1C48DE39" w:rsidR="00EB6BD5" w:rsidRPr="00EB6BD5" w:rsidRDefault="00EB6BD5" w:rsidP="00EB6BD5">
            <w:pPr>
              <w:spacing w:after="40"/>
              <w:rPr>
                <w:rFonts w:cs="Calibri"/>
                <w:sz w:val="17"/>
              </w:rPr>
            </w:pPr>
            <w:r w:rsidRPr="00EB6BD5">
              <w:rPr>
                <w:rFonts w:cs="Calibri"/>
                <w:sz w:val="17"/>
              </w:rPr>
              <w:t>Capstone delay and weak core workflow</w:t>
            </w:r>
          </w:p>
        </w:tc>
        <w:tc>
          <w:tcPr>
            <w:tcW w:w="2450" w:type="pct"/>
            <w:shd w:val="clear" w:color="auto" w:fill="auto"/>
            <w:tcMar>
              <w:top w:w="80" w:type="dxa"/>
              <w:left w:w="120" w:type="dxa"/>
              <w:bottom w:w="80" w:type="dxa"/>
              <w:right w:w="120" w:type="dxa"/>
            </w:tcMar>
          </w:tcPr>
          <w:p w14:paraId="724A4AA9" w14:textId="3281E4EF" w:rsidR="00EB6BD5" w:rsidRPr="00EB6BD5" w:rsidRDefault="00EB6BD5" w:rsidP="00EB6BD5">
            <w:pPr>
              <w:spacing w:after="40"/>
              <w:rPr>
                <w:rFonts w:cs="Calibri"/>
                <w:sz w:val="17"/>
              </w:rPr>
            </w:pPr>
            <w:r w:rsidRPr="00EB6BD5">
              <w:rPr>
                <w:rFonts w:cs="Calibri"/>
                <w:sz w:val="17"/>
              </w:rPr>
              <w:t>Enforce non-goals and require a separate decision for live GPS, routing, ETA, staffing, or fleet features. Product owner.</w:t>
            </w:r>
          </w:p>
        </w:tc>
      </w:tr>
    </w:tbl>
    <w:p w14:paraId="1DA10BBC" w14:textId="77777777" w:rsidR="00EB6BD5" w:rsidRDefault="00EB6BD5" w:rsidP="00EB6BD5"/>
    <w:p w14:paraId="5C188BAE" w14:textId="34B38A8C" w:rsidR="00EB6BD5" w:rsidRDefault="00EB6BD5" w:rsidP="00EB6BD5">
      <w:pPr>
        <w:pStyle w:val="Heading1"/>
        <w:rPr>
          <w:b w:val="0"/>
        </w:rPr>
      </w:pPr>
      <w:bookmarkStart w:id="23" w:name="_Toc240324161"/>
      <w:r>
        <w:rPr>
          <w:b w:val="0"/>
        </w:rPr>
        <w:t>12. Decisions required before development</w:t>
      </w:r>
      <w:bookmarkEnd w:id="23"/>
    </w:p>
    <w:p w14:paraId="5E1F5594" w14:textId="73230261" w:rsidR="00EB6BD5" w:rsidRDefault="00EB6BD5" w:rsidP="00EB6BD5">
      <w:pPr>
        <w:ind w:left="720" w:hanging="360"/>
      </w:pPr>
      <w:r>
        <w:t>1.  Confirm the formal local name and authority of the barangay disaster body: project role BDRRMO versus statutory BDRRMC terminology, and which officials may be Case Owners.</w:t>
      </w:r>
    </w:p>
    <w:p w14:paraId="433AE81C" w14:textId="45E7641F" w:rsidR="00EB6BD5" w:rsidRDefault="00EB6BD5" w:rsidP="00EB6BD5">
      <w:pPr>
        <w:ind w:left="720" w:hanging="360"/>
      </w:pPr>
      <w:r>
        <w:t>2.  Approve configurable spatial/temporal/type candidate windows for duplicate suggestions and the correction/unlink procedure.</w:t>
      </w:r>
    </w:p>
    <w:p w14:paraId="5BDBA8B8" w14:textId="14E49342" w:rsidR="00EB6BD5" w:rsidRDefault="00EB6BD5" w:rsidP="00EB6BD5">
      <w:pPr>
        <w:ind w:left="720" w:hanging="360"/>
      </w:pPr>
      <w:r>
        <w:t>3.  Approve priority rubric, who may change priority, and whether Critical/High changes require a short rationale.</w:t>
      </w:r>
    </w:p>
    <w:p w14:paraId="212320AB" w14:textId="5BA90DBF" w:rsidR="00EB6BD5" w:rsidRDefault="00EB6BD5" w:rsidP="00EB6BD5">
      <w:pPr>
        <w:ind w:left="720" w:hanging="360"/>
      </w:pPr>
      <w:r>
        <w:t>4.  Approve reporter-contact reasons, who may reveal, repeated-contact limits, outcome completion expectations, retention, and audit review owner.</w:t>
      </w:r>
    </w:p>
    <w:p w14:paraId="1B7920D9" w14:textId="10EDDC82" w:rsidR="00EB6BD5" w:rsidRDefault="00EB6BD5" w:rsidP="00EB6BD5">
      <w:pPr>
        <w:ind w:left="720" w:hanging="360"/>
      </w:pPr>
      <w:r>
        <w:t>5.  Approve public location/media sensitivity categories, precision reduction rules, public-update review, and retention schedules.</w:t>
      </w:r>
    </w:p>
    <w:p w14:paraId="469DDFC7" w14:textId="319EB880" w:rsidR="00EB6BD5" w:rsidRDefault="00EB6BD5" w:rsidP="00EB6BD5">
      <w:pPr>
        <w:ind w:left="720" w:hanging="360"/>
      </w:pPr>
      <w:r>
        <w:t>6.  Approve support capabilities, transfer acceptance authority, return/clarification reasons, and default BDRRMO support role after MDRRMO accepts lead.</w:t>
      </w:r>
    </w:p>
    <w:p w14:paraId="1F77DCE8" w14:textId="5462609C" w:rsidR="00EB6BD5" w:rsidRDefault="00EB6BD5" w:rsidP="00EB6BD5">
      <w:pPr>
        <w:ind w:left="720" w:hanging="360"/>
      </w:pPr>
      <w:r>
        <w:t>7.  Approve closure categories, minimum evidence by incident type/priority, public summary owner, and reopen policy.</w:t>
      </w:r>
    </w:p>
    <w:p w14:paraId="5AEBBAC9" w14:textId="206995E0" w:rsidR="00EB6BD5" w:rsidRDefault="00EB6BD5" w:rsidP="00EB6BD5">
      <w:pPr>
        <w:ind w:left="720" w:hanging="360"/>
      </w:pPr>
      <w:r>
        <w:t>8.  Approve legacy mapping after profiling real status/history/contact data. Do not infer acknowledgement or call outcome where the current system did not record it.</w:t>
      </w:r>
    </w:p>
    <w:p w14:paraId="6CC9CD89" w14:textId="14DEDFB5" w:rsidR="00EB6BD5" w:rsidRDefault="00EB6BD5" w:rsidP="00EB6BD5">
      <w:pPr>
        <w:pStyle w:val="Heading1"/>
        <w:rPr>
          <w:b w:val="0"/>
        </w:rPr>
      </w:pPr>
      <w:bookmarkStart w:id="24" w:name="_Toc240324162"/>
      <w:r>
        <w:rPr>
          <w:b w:val="0"/>
        </w:rPr>
        <w:t>13. Definition of done for the redesign</w:t>
      </w:r>
      <w:bookmarkEnd w:id="24"/>
    </w:p>
    <w:p w14:paraId="314E5DCC" w14:textId="26711854" w:rsidR="00EB6BD5" w:rsidRDefault="00EB6BD5" w:rsidP="00EB6BD5">
      <w:pPr>
        <w:pStyle w:val="ListBullet"/>
      </w:pPr>
      <w:r>
        <w:t>Every resident submission remains a Report and starts Pending Review; an Incident Case exists only after confirmation or an explicit assessment/urgent-response decision.</w:t>
      </w:r>
    </w:p>
    <w:p w14:paraId="4C09846F" w14:textId="242A6EE4" w:rsidR="00EB6BD5" w:rsidRDefault="00EB6BD5" w:rsidP="00EB6BD5">
      <w:pPr>
        <w:pStyle w:val="ListBullet"/>
      </w:pPr>
      <w:r>
        <w:t>One incident can contain multiple reports and evidence items without overlapping public markers; provenance and resident contribution history remain intact.</w:t>
      </w:r>
    </w:p>
    <w:p w14:paraId="3E9E97B6" w14:textId="652EE8F9" w:rsidR="00EB6BD5" w:rsidRDefault="00EB6BD5" w:rsidP="00EB6BD5">
      <w:pPr>
        <w:pStyle w:val="ListBullet"/>
      </w:pPr>
      <w:r>
        <w:t>Remote review is usable without a call; contact access is masked, reasoned, audited, manually completed with outcome, and does not equate No answer with false reporting.</w:t>
      </w:r>
    </w:p>
    <w:p w14:paraId="1AC6327B" w14:textId="408B59B9" w:rsidR="00EB6BD5" w:rsidRDefault="00EB6BD5" w:rsidP="00EB6BD5">
      <w:pPr>
        <w:pStyle w:val="ListBullet"/>
      </w:pPr>
      <w:r>
        <w:t>Lead Office, Case Owner, verification, incident state, response state, support requests, actions, units, operational timeline, closure, and reopen follow tested invariants.</w:t>
      </w:r>
    </w:p>
    <w:p w14:paraId="71CD7C46" w14:textId="73257519" w:rsidR="00EB6BD5" w:rsidRDefault="00EB6BD5" w:rsidP="00EB6BD5">
      <w:pPr>
        <w:pStyle w:val="ListBullet"/>
      </w:pPr>
      <w:r>
        <w:lastRenderedPageBreak/>
        <w:t>Officials and reporters see pending/assessment information appropriate to their role; Mayor and other residents do not receive raw pending claims as confirmed incidents.</w:t>
      </w:r>
    </w:p>
    <w:p w14:paraId="476DC0F9" w14:textId="5890EE0B" w:rsidR="00EB6BD5" w:rsidRDefault="00EB6BD5" w:rsidP="00EB6BD5">
      <w:pPr>
        <w:pStyle w:val="ListBullet"/>
      </w:pPr>
      <w:r>
        <w:t>Mayor is operationally read-only at database and interface layers; evacuation permissions match the approved policy.</w:t>
      </w:r>
    </w:p>
    <w:p w14:paraId="310B4D15" w14:textId="1998D93A" w:rsidR="00EB6BD5" w:rsidRDefault="00EB6BD5" w:rsidP="00EB6BD5">
      <w:pPr>
        <w:pStyle w:val="ListBullet"/>
      </w:pPr>
      <w:r>
        <w:t>Resident offline delivery is regression-tested and remains separate from response state.</w:t>
      </w:r>
    </w:p>
    <w:p w14:paraId="7735BEAF" w14:textId="63E13163" w:rsidR="00EB6BD5" w:rsidRDefault="00EB6BD5" w:rsidP="00EB6BD5">
      <w:pPr>
        <w:pStyle w:val="ListBullet"/>
      </w:pPr>
      <w:r>
        <w:t>Runbooks, training, privacy assessment, migration/reconciliation evidence, monitoring, and rollback are approved before broad rollout.</w:t>
      </w:r>
    </w:p>
    <w:p w14:paraId="5171FFFC" w14:textId="1D763573" w:rsidR="00EB6BD5" w:rsidRDefault="00EB6BD5" w:rsidP="00EB6BD5">
      <w:pPr>
        <w:pStyle w:val="Heading1"/>
        <w:rPr>
          <w:b w:val="0"/>
        </w:rPr>
      </w:pPr>
      <w:bookmarkStart w:id="25" w:name="_Toc240324163"/>
      <w:r>
        <w:rPr>
          <w:b w:val="0"/>
        </w:rPr>
        <w:t>Appendix A. Source basis</w:t>
      </w:r>
      <w:bookmarkEnd w:id="25"/>
    </w:p>
    <w:p w14:paraId="59EACD91" w14:textId="1FDD17EF" w:rsidR="00EB6BD5" w:rsidRDefault="00EB6BD5" w:rsidP="00EB6BD5">
      <w:r>
        <w:t>Accessed 14 September 2026. Philippine law and official guidance control where applicable; international sources are supporting practice, not local legal authority.</w:t>
      </w:r>
    </w:p>
    <w:p w14:paraId="17161C52" w14:textId="403BC8CF" w:rsidR="00EB6BD5" w:rsidRDefault="00EB6BD5" w:rsidP="00EB6BD5">
      <w:pPr>
        <w:rPr>
          <w:sz w:val="18"/>
        </w:rPr>
      </w:pPr>
      <w:r>
        <w:rPr>
          <w:b/>
          <w:sz w:val="18"/>
        </w:rPr>
        <w:t xml:space="preserve">[S1] Republic Act No. 10121, Supreme Court E-Library. </w:t>
      </w:r>
      <w:hyperlink r:id="rId7" w:history="1">
        <w:r>
          <w:rPr>
            <w:rStyle w:val="Hyperlink"/>
          </w:rPr>
          <w:t>https://elibrary.judiciary.gov.ph/thebookshelf/showdocs/2/21121</w:t>
        </w:r>
      </w:hyperlink>
      <w:r>
        <w:rPr>
          <w:sz w:val="18"/>
        </w:rPr>
        <w:t>. Local DRRM functions, coordination, monitoring, risk management, response, operations centers, and resource responsibilities.</w:t>
      </w:r>
    </w:p>
    <w:p w14:paraId="44F2D05A" w14:textId="376A93EC" w:rsidR="00EB6BD5" w:rsidRDefault="00EB6BD5" w:rsidP="00EB6BD5">
      <w:pPr>
        <w:rPr>
          <w:sz w:val="18"/>
        </w:rPr>
      </w:pPr>
      <w:r>
        <w:rPr>
          <w:b/>
          <w:sz w:val="18"/>
        </w:rPr>
        <w:t xml:space="preserve">[S2] NDRRMC Harmonized Disaster Response Standard Operating Procedures. </w:t>
      </w:r>
      <w:hyperlink r:id="rId8" w:history="1">
        <w:r>
          <w:rPr>
            <w:rStyle w:val="Hyperlink"/>
          </w:rPr>
          <w:t>https://ndrrmc.gov.ph/attachments/article/4198/NDRRMC-Harmonized-Disaster-Response-SOP.pdf</w:t>
        </w:r>
      </w:hyperlink>
      <w:r>
        <w:rPr>
          <w:sz w:val="18"/>
        </w:rPr>
        <w:t>. Life safety, incident stabilization, initial local command, augmentation, coordination, and command transition.</w:t>
      </w:r>
    </w:p>
    <w:p w14:paraId="02B49730" w14:textId="14C18250" w:rsidR="00EB6BD5" w:rsidRDefault="00EB6BD5" w:rsidP="00EB6BD5">
      <w:pPr>
        <w:rPr>
          <w:sz w:val="18"/>
        </w:rPr>
      </w:pPr>
      <w:r>
        <w:rPr>
          <w:b/>
          <w:sz w:val="18"/>
        </w:rPr>
        <w:t xml:space="preserve">[S3] Implementing Rules and Regulations of the Data Privacy Act of 2012, National Privacy Commission. </w:t>
      </w:r>
      <w:hyperlink r:id="rId9" w:history="1">
        <w:r>
          <w:rPr>
            <w:rStyle w:val="Hyperlink"/>
          </w:rPr>
          <w:t>https://privacy.gov.ph/implementing-rules-regulations-data-privacy-act-2012/</w:t>
        </w:r>
      </w:hyperlink>
      <w:r>
        <w:rPr>
          <w:sz w:val="18"/>
        </w:rPr>
        <w:t>. Transparency, legitimate purpose, proportionality, access management, records, security, and retention.</w:t>
      </w:r>
    </w:p>
    <w:p w14:paraId="47AED8F0" w14:textId="6E7469C9" w:rsidR="00EB6BD5" w:rsidRDefault="00EB6BD5" w:rsidP="00EB6BD5">
      <w:pPr>
        <w:rPr>
          <w:sz w:val="18"/>
        </w:rPr>
      </w:pPr>
      <w:r>
        <w:rPr>
          <w:b/>
          <w:sz w:val="18"/>
        </w:rPr>
        <w:t xml:space="preserve">[S4] NPC Circular 2023-06 announcement and official compendium. </w:t>
      </w:r>
      <w:hyperlink r:id="rId10" w:history="1">
        <w:r>
          <w:rPr>
            <w:rStyle w:val="Hyperlink"/>
          </w:rPr>
          <w:t>https://privacy.gov.ph/npc-issues-circulars-to-strengthen-personal-data-protection-in-ph/</w:t>
        </w:r>
      </w:hyperlink>
      <w:r>
        <w:rPr>
          <w:sz w:val="18"/>
        </w:rPr>
        <w:t>. Current security requirements, PIA, authorized access procedures, authentication, storage/retention, and repeal of Circular 16-01.</w:t>
      </w:r>
    </w:p>
    <w:p w14:paraId="6136DC9C" w14:textId="31CA8A44" w:rsidR="00EB6BD5" w:rsidRDefault="00EB6BD5" w:rsidP="00EB6BD5">
      <w:pPr>
        <w:rPr>
          <w:sz w:val="18"/>
        </w:rPr>
      </w:pPr>
      <w:r>
        <w:rPr>
          <w:b/>
          <w:sz w:val="18"/>
        </w:rPr>
        <w:t xml:space="preserve">[S5] Expo Location documentation. </w:t>
      </w:r>
      <w:hyperlink r:id="rId11" w:history="1">
        <w:r>
          <w:rPr>
            <w:rStyle w:val="Hyperlink"/>
          </w:rPr>
          <w:t>https://docs.expo.dev/versions/latest/sdk/location/</w:t>
        </w:r>
      </w:hyperlink>
      <w:r>
        <w:rPr>
          <w:sz w:val="18"/>
        </w:rPr>
        <w:t>. Location accuracy is expressed in meters and last-known location may be stale.</w:t>
      </w:r>
    </w:p>
    <w:p w14:paraId="743ADE49" w14:textId="7CB2CB73" w:rsidR="00EB6BD5" w:rsidRDefault="00EB6BD5" w:rsidP="00EB6BD5">
      <w:pPr>
        <w:rPr>
          <w:sz w:val="18"/>
        </w:rPr>
      </w:pPr>
      <w:r>
        <w:rPr>
          <w:b/>
          <w:sz w:val="18"/>
        </w:rPr>
        <w:t xml:space="preserve">[S6] Android Location API reference. </w:t>
      </w:r>
      <w:hyperlink r:id="rId12" w:history="1">
        <w:r>
          <w:rPr>
            <w:rStyle w:val="Hyperlink"/>
          </w:rPr>
          <w:t>https://developer.android.com/reference/android/location/Location</w:t>
        </w:r>
      </w:hyperlink>
      <w:r>
        <w:rPr>
          <w:sz w:val="18"/>
        </w:rPr>
        <w:t>. Accuracy is an estimated horizontal uncertainty radius, not proof of the event location.</w:t>
      </w:r>
    </w:p>
    <w:p w14:paraId="503E74C6" w14:textId="3DB8A62A" w:rsidR="00EB6BD5" w:rsidRDefault="00EB6BD5" w:rsidP="00EB6BD5">
      <w:pPr>
        <w:rPr>
          <w:sz w:val="18"/>
        </w:rPr>
      </w:pPr>
      <w:r>
        <w:rPr>
          <w:b/>
          <w:sz w:val="18"/>
        </w:rPr>
        <w:t xml:space="preserve">[S7] Expo Camera documentation. </w:t>
      </w:r>
      <w:hyperlink r:id="rId13" w:history="1">
        <w:r>
          <w:rPr>
            <w:rStyle w:val="Hyperlink"/>
          </w:rPr>
          <w:t>https://docs.expo.dev/versions/latest/sdk/camera/</w:t>
        </w:r>
      </w:hyperlink>
      <w:r>
        <w:rPr>
          <w:sz w:val="18"/>
        </w:rPr>
        <w:t>. EXIF availability varies; metadata should be supporting evidence only.</w:t>
      </w:r>
    </w:p>
    <w:p w14:paraId="692B4D59" w14:textId="06DD70D0" w:rsidR="00EB6BD5" w:rsidRDefault="00EB6BD5" w:rsidP="00EB6BD5">
      <w:pPr>
        <w:rPr>
          <w:sz w:val="18"/>
        </w:rPr>
      </w:pPr>
      <w:r>
        <w:rPr>
          <w:b/>
          <w:sz w:val="18"/>
        </w:rPr>
        <w:t xml:space="preserve">[S8] Android common intents documentation. </w:t>
      </w:r>
      <w:hyperlink r:id="rId14" w:history="1">
        <w:r>
          <w:rPr>
            <w:rStyle w:val="Hyperlink"/>
          </w:rPr>
          <w:t>https://developer.android.com/guide/components/intents-common</w:t>
        </w:r>
      </w:hyperlink>
      <w:r>
        <w:rPr>
          <w:sz w:val="18"/>
        </w:rPr>
        <w:t>. ACTION_DIAL opens the phone app for the user; it does not provide a reliable call outcome to DisasterLink.</w:t>
      </w:r>
    </w:p>
    <w:p w14:paraId="6A0D422D" w14:textId="33F60F0E" w:rsidR="00EB6BD5" w:rsidRDefault="00EB6BD5" w:rsidP="00EB6BD5">
      <w:pPr>
        <w:rPr>
          <w:sz w:val="18"/>
        </w:rPr>
      </w:pPr>
      <w:r>
        <w:rPr>
          <w:b/>
          <w:sz w:val="18"/>
        </w:rPr>
        <w:t xml:space="preserve">[S9] Apple Phone Links documentation. </w:t>
      </w:r>
      <w:hyperlink r:id="rId15" w:history="1">
        <w:r>
          <w:rPr>
            <w:rStyle w:val="Hyperlink"/>
          </w:rPr>
          <w:t>https://developer.apple.com/library/archive/featuredarticles/iPhoneURLScheme_Reference/PhoneLinks/PhoneLinks.html</w:t>
        </w:r>
      </w:hyperlink>
      <w:r>
        <w:rPr>
          <w:sz w:val="18"/>
        </w:rPr>
        <w:t>. A tel link hands control to the Phone app and requires user confirmation.</w:t>
      </w:r>
    </w:p>
    <w:p w14:paraId="4D5EEBD0" w14:textId="424A1798" w:rsidR="00EB6BD5" w:rsidRDefault="00EB6BD5" w:rsidP="00EB6BD5">
      <w:pPr>
        <w:rPr>
          <w:sz w:val="18"/>
        </w:rPr>
      </w:pPr>
      <w:r>
        <w:rPr>
          <w:b/>
          <w:sz w:val="18"/>
        </w:rPr>
        <w:t xml:space="preserve">[S10] Supabase Row Level Security guide. </w:t>
      </w:r>
      <w:hyperlink r:id="rId16" w:history="1">
        <w:r>
          <w:rPr>
            <w:rStyle w:val="Hyperlink"/>
          </w:rPr>
          <w:t>https://supabase.com/docs/guides/database/postgres/row-level-security</w:t>
        </w:r>
      </w:hyperlink>
      <w:r>
        <w:rPr>
          <w:sz w:val="18"/>
        </w:rPr>
        <w:t>. RLS, security-invoker view considerations, and client security boundaries.</w:t>
      </w:r>
    </w:p>
    <w:p w14:paraId="273ED1F2" w14:textId="4AEA5E2D" w:rsidR="00EB6BD5" w:rsidRDefault="00EB6BD5" w:rsidP="00EB6BD5">
      <w:pPr>
        <w:rPr>
          <w:sz w:val="18"/>
        </w:rPr>
      </w:pPr>
      <w:r>
        <w:rPr>
          <w:b/>
          <w:sz w:val="18"/>
        </w:rPr>
        <w:t xml:space="preserve">[S11] Supabase Database Functions guide. </w:t>
      </w:r>
      <w:hyperlink r:id="rId17" w:history="1">
        <w:r>
          <w:rPr>
            <w:rStyle w:val="Hyperlink"/>
          </w:rPr>
          <w:t>https://supabase.com/docs/guides/database/functions</w:t>
        </w:r>
      </w:hyperlink>
      <w:r>
        <w:rPr>
          <w:sz w:val="18"/>
        </w:rPr>
        <w:t>. Invoker preference, definer search_path hardening, and execute grants.</w:t>
      </w:r>
    </w:p>
    <w:p w14:paraId="53CA7904" w14:textId="2E77123B" w:rsidR="00EB6BD5" w:rsidRDefault="00EB6BD5" w:rsidP="00EB6BD5">
      <w:pPr>
        <w:rPr>
          <w:sz w:val="18"/>
        </w:rPr>
      </w:pPr>
      <w:r>
        <w:rPr>
          <w:b/>
          <w:sz w:val="18"/>
        </w:rPr>
        <w:t xml:space="preserve">[S12] WHO systematic review on social media in emergencies. </w:t>
      </w:r>
      <w:hyperlink r:id="rId18" w:history="1">
        <w:r>
          <w:rPr>
            <w:rStyle w:val="Hyperlink"/>
          </w:rPr>
          <w:t>https://www.who.int/docs/default-source/meeting-reports/systematic-review-question-10.pdf</w:t>
        </w:r>
      </w:hyperlink>
      <w:r>
        <w:rPr>
          <w:sz w:val="18"/>
        </w:rPr>
        <w:t>. Crowdsourced signals can support early action but require categorization, source/content vetting, and accuracy proportional to the decision.</w:t>
      </w:r>
    </w:p>
    <w:p w14:paraId="7C8FB7E4" w14:textId="7ABBB96E" w:rsidR="00EB6BD5" w:rsidRDefault="00EB6BD5" w:rsidP="00EB6BD5">
      <w:pPr>
        <w:rPr>
          <w:sz w:val="18"/>
        </w:rPr>
      </w:pPr>
      <w:r>
        <w:rPr>
          <w:b/>
          <w:sz w:val="18"/>
        </w:rPr>
        <w:lastRenderedPageBreak/>
        <w:t xml:space="preserve">[S13] IFRC World Disasters Report 2013. </w:t>
      </w:r>
      <w:hyperlink r:id="rId19" w:history="1">
        <w:r>
          <w:rPr>
            <w:rStyle w:val="Hyperlink"/>
          </w:rPr>
          <w:t>https://www.ifrc.org/sites/default/files/WDR-2013.pdf</w:t>
        </w:r>
      </w:hyperlink>
      <w:r>
        <w:rPr>
          <w:sz w:val="18"/>
        </w:rPr>
        <w:t>. Crowdsourced mapping is valuable but raises verification, trust, and misinformation risks.</w:t>
      </w:r>
    </w:p>
    <w:p w14:paraId="51C2C313" w14:textId="1E46A3B2" w:rsidR="00EB6BD5" w:rsidRDefault="00EB6BD5" w:rsidP="00EB6BD5">
      <w:pPr>
        <w:rPr>
          <w:sz w:val="18"/>
        </w:rPr>
      </w:pPr>
      <w:r>
        <w:rPr>
          <w:b/>
          <w:sz w:val="18"/>
        </w:rPr>
        <w:t xml:space="preserve">[S14] FEMA Incident Command System Resources. </w:t>
      </w:r>
      <w:hyperlink r:id="rId20" w:history="1">
        <w:r>
          <w:rPr>
            <w:rStyle w:val="Hyperlink"/>
          </w:rPr>
          <w:t>https://training.fema.gov/emiweb/is/icsresource/jobaids/</w:t>
        </w:r>
      </w:hyperlink>
      <w:r>
        <w:rPr>
          <w:sz w:val="18"/>
        </w:rPr>
        <w:t>. Supporting reference for incident accountability, resource status, and transfer-of-command practices; not Philippine legal authority.</w:t>
      </w:r>
    </w:p>
    <w:p w14:paraId="5CA8EC81" w14:textId="5785ECA6" w:rsidR="00EB6BD5" w:rsidRDefault="00EB6BD5" w:rsidP="00EB6BD5">
      <w:pPr>
        <w:pStyle w:val="Heading1"/>
        <w:rPr>
          <w:b w:val="0"/>
        </w:rPr>
      </w:pPr>
      <w:bookmarkStart w:id="26" w:name="_Toc240324164"/>
      <w:r>
        <w:rPr>
          <w:b w:val="0"/>
        </w:rPr>
        <w:t>Appendix B. Repository implementation anchors</w:t>
      </w:r>
      <w:bookmarkEnd w:id="26"/>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5370"/>
        <w:gridCol w:w="4422"/>
      </w:tblGrid>
      <w:tr w:rsidR="00EB6BD5" w14:paraId="28F18A2D" w14:textId="77777777" w:rsidTr="00EB6BD5">
        <w:trPr>
          <w:cantSplit/>
        </w:trPr>
        <w:tc>
          <w:tcPr>
            <w:tcW w:w="2100" w:type="pct"/>
            <w:shd w:val="clear" w:color="auto" w:fill="auto"/>
            <w:tcMar>
              <w:top w:w="80" w:type="dxa"/>
              <w:left w:w="120" w:type="dxa"/>
              <w:bottom w:w="80" w:type="dxa"/>
              <w:right w:w="120" w:type="dxa"/>
            </w:tcMar>
          </w:tcPr>
          <w:p w14:paraId="516D3936" w14:textId="38F47899" w:rsidR="00EB6BD5" w:rsidRPr="00EB6BD5" w:rsidRDefault="00EB6BD5" w:rsidP="00EB6BD5">
            <w:pPr>
              <w:spacing w:after="40"/>
              <w:rPr>
                <w:rFonts w:cs="Calibri"/>
                <w:b/>
                <w:color w:val="16324F"/>
                <w:sz w:val="17"/>
              </w:rPr>
            </w:pPr>
            <w:r w:rsidRPr="00EB6BD5">
              <w:rPr>
                <w:rFonts w:cs="Calibri"/>
                <w:b/>
                <w:color w:val="16324F"/>
                <w:sz w:val="17"/>
              </w:rPr>
              <w:t>Current file / area</w:t>
            </w:r>
          </w:p>
        </w:tc>
        <w:tc>
          <w:tcPr>
            <w:tcW w:w="2900" w:type="pct"/>
            <w:shd w:val="clear" w:color="auto" w:fill="auto"/>
            <w:tcMar>
              <w:top w:w="80" w:type="dxa"/>
              <w:left w:w="120" w:type="dxa"/>
              <w:bottom w:w="80" w:type="dxa"/>
              <w:right w:w="120" w:type="dxa"/>
            </w:tcMar>
          </w:tcPr>
          <w:p w14:paraId="6638B7D6" w14:textId="15C36172" w:rsidR="00EB6BD5" w:rsidRPr="00EB6BD5" w:rsidRDefault="00EB6BD5" w:rsidP="00EB6BD5">
            <w:pPr>
              <w:spacing w:after="40"/>
              <w:rPr>
                <w:rFonts w:cs="Calibri"/>
                <w:b/>
                <w:color w:val="16324F"/>
                <w:sz w:val="17"/>
              </w:rPr>
            </w:pPr>
            <w:r w:rsidRPr="00EB6BD5">
              <w:rPr>
                <w:rFonts w:cs="Calibri"/>
                <w:b/>
                <w:color w:val="16324F"/>
                <w:sz w:val="17"/>
              </w:rPr>
              <w:t>Why it matters to implementation</w:t>
            </w:r>
          </w:p>
        </w:tc>
      </w:tr>
      <w:tr w:rsidR="00EB6BD5" w14:paraId="627074D3" w14:textId="77777777" w:rsidTr="00EB6BD5">
        <w:trPr>
          <w:cantSplit/>
        </w:trPr>
        <w:tc>
          <w:tcPr>
            <w:tcW w:w="2100" w:type="pct"/>
            <w:shd w:val="clear" w:color="auto" w:fill="auto"/>
            <w:tcMar>
              <w:top w:w="80" w:type="dxa"/>
              <w:left w:w="120" w:type="dxa"/>
              <w:bottom w:w="80" w:type="dxa"/>
              <w:right w:w="120" w:type="dxa"/>
            </w:tcMar>
          </w:tcPr>
          <w:p w14:paraId="554E965F" w14:textId="037E206B" w:rsidR="00EB6BD5" w:rsidRPr="00EB6BD5" w:rsidRDefault="00EB6BD5" w:rsidP="00EB6BD5">
            <w:pPr>
              <w:spacing w:after="40"/>
              <w:rPr>
                <w:rFonts w:cs="Calibri"/>
                <w:sz w:val="17"/>
              </w:rPr>
            </w:pPr>
            <w:r w:rsidRPr="00EB6BD5">
              <w:rPr>
                <w:rFonts w:cs="Calibri"/>
                <w:sz w:val="17"/>
              </w:rPr>
              <w:t>supabase/migrations/20250617000200_reports_media_history.sql</w:t>
            </w:r>
          </w:p>
        </w:tc>
        <w:tc>
          <w:tcPr>
            <w:tcW w:w="2900" w:type="pct"/>
            <w:shd w:val="clear" w:color="auto" w:fill="auto"/>
            <w:tcMar>
              <w:top w:w="80" w:type="dxa"/>
              <w:left w:w="120" w:type="dxa"/>
              <w:bottom w:w="80" w:type="dxa"/>
              <w:right w:w="120" w:type="dxa"/>
            </w:tcMar>
          </w:tcPr>
          <w:p w14:paraId="42EB92ED" w14:textId="18AE5FB9" w:rsidR="00EB6BD5" w:rsidRPr="00EB6BD5" w:rsidRDefault="00EB6BD5" w:rsidP="00EB6BD5">
            <w:pPr>
              <w:spacing w:after="40"/>
              <w:rPr>
                <w:rFonts w:cs="Calibri"/>
                <w:sz w:val="17"/>
              </w:rPr>
            </w:pPr>
            <w:r w:rsidRPr="00EB6BD5">
              <w:rPr>
                <w:rFonts w:cs="Calibri"/>
                <w:sz w:val="17"/>
              </w:rPr>
              <w:t>Defines the four-value report_status model and reports/status-history foundation that must be migrated.</w:t>
            </w:r>
          </w:p>
        </w:tc>
      </w:tr>
      <w:tr w:rsidR="00EB6BD5" w14:paraId="35A8A62A" w14:textId="77777777" w:rsidTr="00EB6BD5">
        <w:trPr>
          <w:cantSplit/>
        </w:trPr>
        <w:tc>
          <w:tcPr>
            <w:tcW w:w="2100" w:type="pct"/>
            <w:shd w:val="clear" w:color="auto" w:fill="auto"/>
            <w:tcMar>
              <w:top w:w="80" w:type="dxa"/>
              <w:left w:w="120" w:type="dxa"/>
              <w:bottom w:w="80" w:type="dxa"/>
              <w:right w:w="120" w:type="dxa"/>
            </w:tcMar>
          </w:tcPr>
          <w:p w14:paraId="0F3E9D9E" w14:textId="749AEE2E" w:rsidR="00EB6BD5" w:rsidRPr="00EB6BD5" w:rsidRDefault="00EB6BD5" w:rsidP="00EB6BD5">
            <w:pPr>
              <w:spacing w:after="40"/>
              <w:rPr>
                <w:rFonts w:cs="Calibri"/>
                <w:sz w:val="17"/>
              </w:rPr>
            </w:pPr>
            <w:r w:rsidRPr="00EB6BD5">
              <w:rPr>
                <w:rFonts w:cs="Calibri"/>
                <w:sz w:val="17"/>
              </w:rPr>
              <w:t>supabase/migrations/20260728000000_official_incident_operations.sql</w:t>
            </w:r>
          </w:p>
        </w:tc>
        <w:tc>
          <w:tcPr>
            <w:tcW w:w="2900" w:type="pct"/>
            <w:shd w:val="clear" w:color="auto" w:fill="auto"/>
            <w:tcMar>
              <w:top w:w="80" w:type="dxa"/>
              <w:left w:w="120" w:type="dxa"/>
              <w:bottom w:w="80" w:type="dxa"/>
              <w:right w:w="120" w:type="dxa"/>
            </w:tcMar>
          </w:tcPr>
          <w:p w14:paraId="70317D81" w14:textId="76B060D4" w:rsidR="00EB6BD5" w:rsidRPr="00EB6BD5" w:rsidRDefault="00EB6BD5" w:rsidP="00EB6BD5">
            <w:pPr>
              <w:spacing w:after="40"/>
              <w:rPr>
                <w:rFonts w:cs="Calibri"/>
                <w:sz w:val="17"/>
              </w:rPr>
            </w:pPr>
            <w:r w:rsidRPr="00EB6BD5">
              <w:rPr>
                <w:rFonts w:cs="Calibri"/>
                <w:sz w:val="17"/>
              </w:rPr>
              <w:t>Defines current role transitions and contact reveal log; useful pattern but insufficient fields and workflow.</w:t>
            </w:r>
          </w:p>
        </w:tc>
      </w:tr>
      <w:tr w:rsidR="00EB6BD5" w14:paraId="0EE14941" w14:textId="77777777" w:rsidTr="00EB6BD5">
        <w:trPr>
          <w:cantSplit/>
        </w:trPr>
        <w:tc>
          <w:tcPr>
            <w:tcW w:w="2100" w:type="pct"/>
            <w:shd w:val="clear" w:color="auto" w:fill="auto"/>
            <w:tcMar>
              <w:top w:w="80" w:type="dxa"/>
              <w:left w:w="120" w:type="dxa"/>
              <w:bottom w:w="80" w:type="dxa"/>
              <w:right w:w="120" w:type="dxa"/>
            </w:tcMar>
          </w:tcPr>
          <w:p w14:paraId="21FB6D1B" w14:textId="677FAA9C" w:rsidR="00EB6BD5" w:rsidRPr="00EB6BD5" w:rsidRDefault="00EB6BD5" w:rsidP="00EB6BD5">
            <w:pPr>
              <w:spacing w:after="40"/>
              <w:rPr>
                <w:rFonts w:cs="Calibri"/>
                <w:sz w:val="17"/>
              </w:rPr>
            </w:pPr>
            <w:r w:rsidRPr="00EB6BD5">
              <w:rPr>
                <w:rFonts w:cs="Calibri"/>
                <w:sz w:val="17"/>
              </w:rPr>
              <w:t>supabase/migrations/20260911000000_report_incident_location_flow.sql</w:t>
            </w:r>
          </w:p>
        </w:tc>
        <w:tc>
          <w:tcPr>
            <w:tcW w:w="2900" w:type="pct"/>
            <w:shd w:val="clear" w:color="auto" w:fill="auto"/>
            <w:tcMar>
              <w:top w:w="80" w:type="dxa"/>
              <w:left w:w="120" w:type="dxa"/>
              <w:bottom w:w="80" w:type="dxa"/>
              <w:right w:w="120" w:type="dxa"/>
            </w:tcMar>
          </w:tcPr>
          <w:p w14:paraId="4595621A" w14:textId="27C11DC8" w:rsidR="00EB6BD5" w:rsidRPr="00EB6BD5" w:rsidRDefault="00EB6BD5" w:rsidP="00EB6BD5">
            <w:pPr>
              <w:spacing w:after="40"/>
              <w:rPr>
                <w:rFonts w:cs="Calibri"/>
                <w:sz w:val="17"/>
              </w:rPr>
            </w:pPr>
            <w:r w:rsidRPr="00EB6BD5">
              <w:rPr>
                <w:rFonts w:cs="Calibri"/>
                <w:sz w:val="17"/>
              </w:rPr>
              <w:t>Preserves device location/accuracy/current pin and client-safe map projection; extend rather than discard its evidence provenance.</w:t>
            </w:r>
          </w:p>
        </w:tc>
      </w:tr>
      <w:tr w:rsidR="00EB6BD5" w14:paraId="6FB4F6B5" w14:textId="77777777" w:rsidTr="00EB6BD5">
        <w:trPr>
          <w:cantSplit/>
        </w:trPr>
        <w:tc>
          <w:tcPr>
            <w:tcW w:w="2100" w:type="pct"/>
            <w:shd w:val="clear" w:color="auto" w:fill="auto"/>
            <w:tcMar>
              <w:top w:w="80" w:type="dxa"/>
              <w:left w:w="120" w:type="dxa"/>
              <w:bottom w:w="80" w:type="dxa"/>
              <w:right w:w="120" w:type="dxa"/>
            </w:tcMar>
          </w:tcPr>
          <w:p w14:paraId="73C3F2DD" w14:textId="36A045D8" w:rsidR="00EB6BD5" w:rsidRPr="00EB6BD5" w:rsidRDefault="00EB6BD5" w:rsidP="00EB6BD5">
            <w:pPr>
              <w:spacing w:after="40"/>
              <w:rPr>
                <w:rFonts w:cs="Calibri"/>
                <w:sz w:val="17"/>
              </w:rPr>
            </w:pPr>
            <w:r w:rsidRPr="00EB6BD5">
              <w:rPr>
                <w:rFonts w:cs="Calibri"/>
                <w:sz w:val="17"/>
              </w:rPr>
              <w:t>lib/officialReports.ts and app/official/[id].tsx</w:t>
            </w:r>
          </w:p>
        </w:tc>
        <w:tc>
          <w:tcPr>
            <w:tcW w:w="2900" w:type="pct"/>
            <w:shd w:val="clear" w:color="auto" w:fill="auto"/>
            <w:tcMar>
              <w:top w:w="80" w:type="dxa"/>
              <w:left w:w="120" w:type="dxa"/>
              <w:bottom w:w="80" w:type="dxa"/>
              <w:right w:w="120" w:type="dxa"/>
            </w:tcMar>
          </w:tcPr>
          <w:p w14:paraId="3F490797" w14:textId="3DA42E2F" w:rsidR="00EB6BD5" w:rsidRPr="00EB6BD5" w:rsidRDefault="00EB6BD5" w:rsidP="00EB6BD5">
            <w:pPr>
              <w:spacing w:after="40"/>
              <w:rPr>
                <w:rFonts w:cs="Calibri"/>
                <w:sz w:val="17"/>
              </w:rPr>
            </w:pPr>
            <w:r w:rsidRPr="00EB6BD5">
              <w:rPr>
                <w:rFonts w:cs="Calibri"/>
                <w:sz w:val="17"/>
              </w:rPr>
              <w:t>Current combined report/incident model, remote evidence display, transitions, and dialer handoff to split into review and case modules.</w:t>
            </w:r>
          </w:p>
        </w:tc>
      </w:tr>
      <w:tr w:rsidR="00EB6BD5" w14:paraId="67467F43" w14:textId="77777777" w:rsidTr="00EB6BD5">
        <w:trPr>
          <w:cantSplit/>
        </w:trPr>
        <w:tc>
          <w:tcPr>
            <w:tcW w:w="2100" w:type="pct"/>
            <w:shd w:val="clear" w:color="auto" w:fill="auto"/>
            <w:tcMar>
              <w:top w:w="80" w:type="dxa"/>
              <w:left w:w="120" w:type="dxa"/>
              <w:bottom w:w="80" w:type="dxa"/>
              <w:right w:w="120" w:type="dxa"/>
            </w:tcMar>
          </w:tcPr>
          <w:p w14:paraId="0C696934" w14:textId="5E8C9C2F" w:rsidR="00EB6BD5" w:rsidRPr="00EB6BD5" w:rsidRDefault="00EB6BD5" w:rsidP="00EB6BD5">
            <w:pPr>
              <w:spacing w:after="40"/>
              <w:rPr>
                <w:rFonts w:cs="Calibri"/>
                <w:sz w:val="17"/>
              </w:rPr>
            </w:pPr>
            <w:r w:rsidRPr="00EB6BD5">
              <w:rPr>
                <w:rFonts w:cs="Calibri"/>
                <w:sz w:val="17"/>
              </w:rPr>
              <w:t>lib/reportQueue.ts and lib/reportQueueFlush.ts</w:t>
            </w:r>
          </w:p>
        </w:tc>
        <w:tc>
          <w:tcPr>
            <w:tcW w:w="2900" w:type="pct"/>
            <w:shd w:val="clear" w:color="auto" w:fill="auto"/>
            <w:tcMar>
              <w:top w:w="80" w:type="dxa"/>
              <w:left w:w="120" w:type="dxa"/>
              <w:bottom w:w="80" w:type="dxa"/>
              <w:right w:w="120" w:type="dxa"/>
            </w:tcMar>
          </w:tcPr>
          <w:p w14:paraId="42F5B5A6" w14:textId="5350B27B" w:rsidR="00EB6BD5" w:rsidRPr="00EB6BD5" w:rsidRDefault="00EB6BD5" w:rsidP="00EB6BD5">
            <w:pPr>
              <w:spacing w:after="40"/>
              <w:rPr>
                <w:rFonts w:cs="Calibri"/>
                <w:sz w:val="17"/>
              </w:rPr>
            </w:pPr>
            <w:r w:rsidRPr="00EB6BD5">
              <w:rPr>
                <w:rFonts w:cs="Calibri"/>
                <w:sz w:val="17"/>
              </w:rPr>
              <w:t>Reliable resident offline/idempotent delivery to preserve and regression-test.</w:t>
            </w:r>
          </w:p>
        </w:tc>
      </w:tr>
      <w:tr w:rsidR="00EB6BD5" w14:paraId="5BA6C679" w14:textId="77777777" w:rsidTr="00EB6BD5">
        <w:trPr>
          <w:cantSplit/>
        </w:trPr>
        <w:tc>
          <w:tcPr>
            <w:tcW w:w="2100" w:type="pct"/>
            <w:shd w:val="clear" w:color="auto" w:fill="auto"/>
            <w:tcMar>
              <w:top w:w="80" w:type="dxa"/>
              <w:left w:w="120" w:type="dxa"/>
              <w:bottom w:w="80" w:type="dxa"/>
              <w:right w:w="120" w:type="dxa"/>
            </w:tcMar>
          </w:tcPr>
          <w:p w14:paraId="168D2501" w14:textId="59DBF8BE" w:rsidR="00EB6BD5" w:rsidRPr="00EB6BD5" w:rsidRDefault="00EB6BD5" w:rsidP="00EB6BD5">
            <w:pPr>
              <w:spacing w:after="40"/>
              <w:rPr>
                <w:rFonts w:cs="Calibri"/>
                <w:sz w:val="17"/>
              </w:rPr>
            </w:pPr>
            <w:r w:rsidRPr="00EB6BD5">
              <w:rPr>
                <w:rFonts w:cs="Calibri"/>
                <w:sz w:val="17"/>
              </w:rPr>
              <w:t>lib/reports.ts and resident/official map screens</w:t>
            </w:r>
          </w:p>
        </w:tc>
        <w:tc>
          <w:tcPr>
            <w:tcW w:w="2900" w:type="pct"/>
            <w:shd w:val="clear" w:color="auto" w:fill="auto"/>
            <w:tcMar>
              <w:top w:w="80" w:type="dxa"/>
              <w:left w:w="120" w:type="dxa"/>
              <w:bottom w:w="80" w:type="dxa"/>
              <w:right w:w="120" w:type="dxa"/>
            </w:tcMar>
          </w:tcPr>
          <w:p w14:paraId="3FD14DE9" w14:textId="66E2659E" w:rsidR="00EB6BD5" w:rsidRPr="00EB6BD5" w:rsidRDefault="00EB6BD5" w:rsidP="00EB6BD5">
            <w:pPr>
              <w:spacing w:after="40"/>
              <w:rPr>
                <w:rFonts w:cs="Calibri"/>
                <w:sz w:val="17"/>
              </w:rPr>
            </w:pPr>
            <w:r w:rsidRPr="00EB6BD5">
              <w:rPr>
                <w:rFonts w:cs="Calibri"/>
                <w:sz w:val="17"/>
              </w:rPr>
              <w:t>Current all-status marker feed must become role-specific secure projections.</w:t>
            </w:r>
          </w:p>
        </w:tc>
      </w:tr>
      <w:tr w:rsidR="00EB6BD5" w14:paraId="6D71675A" w14:textId="77777777" w:rsidTr="00EB6BD5">
        <w:trPr>
          <w:cantSplit/>
        </w:trPr>
        <w:tc>
          <w:tcPr>
            <w:tcW w:w="2100" w:type="pct"/>
            <w:shd w:val="clear" w:color="auto" w:fill="auto"/>
            <w:tcMar>
              <w:top w:w="80" w:type="dxa"/>
              <w:left w:w="120" w:type="dxa"/>
              <w:bottom w:w="80" w:type="dxa"/>
              <w:right w:w="120" w:type="dxa"/>
            </w:tcMar>
          </w:tcPr>
          <w:p w14:paraId="28190034" w14:textId="16613B03" w:rsidR="00EB6BD5" w:rsidRPr="00EB6BD5" w:rsidRDefault="00EB6BD5" w:rsidP="00EB6BD5">
            <w:pPr>
              <w:spacing w:after="40"/>
              <w:rPr>
                <w:rFonts w:cs="Calibri"/>
                <w:sz w:val="17"/>
              </w:rPr>
            </w:pPr>
            <w:r w:rsidRPr="00EB6BD5">
              <w:rPr>
                <w:rFonts w:cs="Calibri"/>
                <w:sz w:val="17"/>
              </w:rPr>
              <w:t>app/official/MDRRMO/MRDashboard.tsx and Mayor screens</w:t>
            </w:r>
          </w:p>
        </w:tc>
        <w:tc>
          <w:tcPr>
            <w:tcW w:w="2900" w:type="pct"/>
            <w:shd w:val="clear" w:color="auto" w:fill="auto"/>
            <w:tcMar>
              <w:top w:w="80" w:type="dxa"/>
              <w:left w:w="120" w:type="dxa"/>
              <w:bottom w:w="80" w:type="dxa"/>
              <w:right w:w="120" w:type="dxa"/>
            </w:tcMar>
          </w:tcPr>
          <w:p w14:paraId="6229821C" w14:textId="2B21A90C" w:rsidR="00EB6BD5" w:rsidRPr="00EB6BD5" w:rsidRDefault="00EB6BD5" w:rsidP="00EB6BD5">
            <w:pPr>
              <w:spacing w:after="40"/>
              <w:rPr>
                <w:rFonts w:cs="Calibri"/>
                <w:sz w:val="17"/>
              </w:rPr>
            </w:pPr>
            <w:r w:rsidRPr="00EB6BD5">
              <w:rPr>
                <w:rFonts w:cs="Calibri"/>
                <w:sz w:val="17"/>
              </w:rPr>
              <w:t>Current analytics are report-status centric; remap to cases, actions, support, readiness, and resolution.</w:t>
            </w:r>
          </w:p>
        </w:tc>
      </w:tr>
      <w:tr w:rsidR="00EB6BD5" w14:paraId="0C393BC4" w14:textId="77777777" w:rsidTr="00EB6BD5">
        <w:trPr>
          <w:cantSplit/>
        </w:trPr>
        <w:tc>
          <w:tcPr>
            <w:tcW w:w="2100" w:type="pct"/>
            <w:shd w:val="clear" w:color="auto" w:fill="auto"/>
            <w:tcMar>
              <w:top w:w="80" w:type="dxa"/>
              <w:left w:w="120" w:type="dxa"/>
              <w:bottom w:w="80" w:type="dxa"/>
              <w:right w:w="120" w:type="dxa"/>
            </w:tcMar>
          </w:tcPr>
          <w:p w14:paraId="3296D936" w14:textId="455F0BB9" w:rsidR="00EB6BD5" w:rsidRPr="00EB6BD5" w:rsidRDefault="00EB6BD5" w:rsidP="00EB6BD5">
            <w:pPr>
              <w:spacing w:after="40"/>
              <w:rPr>
                <w:rFonts w:cs="Calibri"/>
                <w:sz w:val="17"/>
              </w:rPr>
            </w:pPr>
            <w:r w:rsidRPr="00EB6BD5">
              <w:rPr>
                <w:rFonts w:cs="Calibri"/>
                <w:sz w:val="17"/>
              </w:rPr>
              <w:t>supabase/tests/active_profile_authorization.sql</w:t>
            </w:r>
          </w:p>
        </w:tc>
        <w:tc>
          <w:tcPr>
            <w:tcW w:w="2900" w:type="pct"/>
            <w:shd w:val="clear" w:color="auto" w:fill="auto"/>
            <w:tcMar>
              <w:top w:w="80" w:type="dxa"/>
              <w:left w:w="120" w:type="dxa"/>
              <w:bottom w:w="80" w:type="dxa"/>
              <w:right w:w="120" w:type="dxa"/>
            </w:tcMar>
          </w:tcPr>
          <w:p w14:paraId="6017CDA6" w14:textId="6A51944B" w:rsidR="00EB6BD5" w:rsidRPr="00EB6BD5" w:rsidRDefault="00EB6BD5" w:rsidP="00EB6BD5">
            <w:pPr>
              <w:spacing w:after="40"/>
              <w:rPr>
                <w:rFonts w:cs="Calibri"/>
                <w:sz w:val="17"/>
              </w:rPr>
            </w:pPr>
            <w:r w:rsidRPr="00EB6BD5">
              <w:rPr>
                <w:rFonts w:cs="Calibri"/>
                <w:sz w:val="17"/>
              </w:rPr>
              <w:t>Extend as the primary database permission/state matrix.</w:t>
            </w:r>
          </w:p>
        </w:tc>
      </w:tr>
      <w:tr w:rsidR="00EB6BD5" w14:paraId="22072AA5" w14:textId="77777777" w:rsidTr="00EB6BD5">
        <w:trPr>
          <w:cantSplit/>
        </w:trPr>
        <w:tc>
          <w:tcPr>
            <w:tcW w:w="2100" w:type="pct"/>
            <w:shd w:val="clear" w:color="auto" w:fill="auto"/>
            <w:tcMar>
              <w:top w:w="80" w:type="dxa"/>
              <w:left w:w="120" w:type="dxa"/>
              <w:bottom w:w="80" w:type="dxa"/>
              <w:right w:w="120" w:type="dxa"/>
            </w:tcMar>
          </w:tcPr>
          <w:p w14:paraId="0AB6753F" w14:textId="56B2E426" w:rsidR="00EB6BD5" w:rsidRPr="00EB6BD5" w:rsidRDefault="00EB6BD5" w:rsidP="00EB6BD5">
            <w:pPr>
              <w:spacing w:after="40"/>
              <w:rPr>
                <w:rFonts w:cs="Calibri"/>
                <w:sz w:val="17"/>
              </w:rPr>
            </w:pPr>
            <w:r w:rsidRPr="00EB6BD5">
              <w:rPr>
                <w:rFonts w:cs="Calibri"/>
                <w:sz w:val="17"/>
              </w:rPr>
              <w:t>app/(main)/profile.tsx</w:t>
            </w:r>
          </w:p>
        </w:tc>
        <w:tc>
          <w:tcPr>
            <w:tcW w:w="2900" w:type="pct"/>
            <w:shd w:val="clear" w:color="auto" w:fill="auto"/>
            <w:tcMar>
              <w:top w:w="80" w:type="dxa"/>
              <w:left w:w="120" w:type="dxa"/>
              <w:bottom w:w="80" w:type="dxa"/>
              <w:right w:w="120" w:type="dxa"/>
            </w:tcMar>
          </w:tcPr>
          <w:p w14:paraId="14BC975B" w14:textId="27E77D04" w:rsidR="00EB6BD5" w:rsidRPr="00EB6BD5" w:rsidRDefault="00EB6BD5" w:rsidP="00EB6BD5">
            <w:pPr>
              <w:spacing w:after="40"/>
              <w:rPr>
                <w:rFonts w:cs="Calibri"/>
                <w:sz w:val="17"/>
              </w:rPr>
            </w:pPr>
            <w:r w:rsidRPr="00EB6BD5">
              <w:rPr>
                <w:rFonts w:cs="Calibri"/>
                <w:sz w:val="17"/>
              </w:rPr>
              <w:t>Hide unfinished resident settings until controls are functional.</w:t>
            </w:r>
          </w:p>
        </w:tc>
      </w:tr>
      <w:tr w:rsidR="00EB6BD5" w14:paraId="2F82689F" w14:textId="77777777" w:rsidTr="00EB6BD5">
        <w:trPr>
          <w:cantSplit/>
        </w:trPr>
        <w:tc>
          <w:tcPr>
            <w:tcW w:w="2100" w:type="pct"/>
            <w:shd w:val="clear" w:color="auto" w:fill="auto"/>
            <w:tcMar>
              <w:top w:w="80" w:type="dxa"/>
              <w:left w:w="120" w:type="dxa"/>
              <w:bottom w:w="80" w:type="dxa"/>
              <w:right w:w="120" w:type="dxa"/>
            </w:tcMar>
          </w:tcPr>
          <w:p w14:paraId="07FBB258" w14:textId="76B3DBEA" w:rsidR="00EB6BD5" w:rsidRPr="00EB6BD5" w:rsidRDefault="00EB6BD5" w:rsidP="00EB6BD5">
            <w:pPr>
              <w:spacing w:after="40"/>
              <w:rPr>
                <w:rFonts w:cs="Calibri"/>
                <w:sz w:val="17"/>
              </w:rPr>
            </w:pPr>
            <w:r w:rsidRPr="00EB6BD5">
              <w:rPr>
                <w:rFonts w:cs="Calibri"/>
                <w:sz w:val="17"/>
              </w:rPr>
              <w:t>app/official/community.tsx and app/official/resources.tsx</w:t>
            </w:r>
          </w:p>
        </w:tc>
        <w:tc>
          <w:tcPr>
            <w:tcW w:w="2900" w:type="pct"/>
            <w:shd w:val="clear" w:color="auto" w:fill="auto"/>
            <w:tcMar>
              <w:top w:w="80" w:type="dxa"/>
              <w:left w:w="120" w:type="dxa"/>
              <w:bottom w:w="80" w:type="dxa"/>
              <w:right w:w="120" w:type="dxa"/>
            </w:tcMar>
          </w:tcPr>
          <w:p w14:paraId="5DF5887F" w14:textId="6D089B90" w:rsidR="00EB6BD5" w:rsidRPr="00EB6BD5" w:rsidRDefault="00EB6BD5" w:rsidP="00EB6BD5">
            <w:pPr>
              <w:spacing w:after="40"/>
              <w:rPr>
                <w:rFonts w:cs="Calibri"/>
                <w:sz w:val="17"/>
              </w:rPr>
            </w:pPr>
            <w:r w:rsidRPr="00EB6BD5">
              <w:rPr>
                <w:rFonts w:cs="Calibri"/>
                <w:sz w:val="17"/>
              </w:rPr>
              <w:t>Separate Community from Resources and formalize role-specific resource operations.</w:t>
            </w:r>
          </w:p>
        </w:tc>
      </w:tr>
    </w:tbl>
    <w:p w14:paraId="3FB3795C" w14:textId="77777777" w:rsidR="00EB6BD5" w:rsidRDefault="00EB6BD5" w:rsidP="00EB6BD5"/>
    <w:p w14:paraId="31216FFF" w14:textId="77777777" w:rsidR="00EB6BD5" w:rsidRPr="00EB6BD5" w:rsidRDefault="00EB6BD5" w:rsidP="00EB6BD5"/>
    <w:sectPr w:rsidR="00EB6BD5" w:rsidRPr="00EB6BD5" w:rsidSect="00EB6BD5">
      <w:headerReference w:type="even" r:id="rId21"/>
      <w:headerReference w:type="default" r:id="rId22"/>
      <w:footerReference w:type="even" r:id="rId23"/>
      <w:footerReference w:type="default" r:id="rId24"/>
      <w:headerReference w:type="first" r:id="rId25"/>
      <w:footerReference w:type="first" r:id="rId26"/>
      <w:pgSz w:w="12240" w:h="15840"/>
      <w:pgMar w:top="1152" w:right="1224" w:bottom="1080"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C09CB" w14:textId="77777777" w:rsidR="00EB6BD5" w:rsidRDefault="00EB6BD5" w:rsidP="00EB6BD5">
      <w:pPr>
        <w:spacing w:after="0" w:line="240" w:lineRule="auto"/>
      </w:pPr>
      <w:r>
        <w:separator/>
      </w:r>
    </w:p>
  </w:endnote>
  <w:endnote w:type="continuationSeparator" w:id="0">
    <w:p w14:paraId="4EFDD187" w14:textId="77777777" w:rsidR="00EB6BD5" w:rsidRDefault="00EB6BD5" w:rsidP="00EB6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A49CF" w14:textId="77777777" w:rsidR="00EB6BD5" w:rsidRDefault="00EB6B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F9197" w14:textId="6FC058B5" w:rsidR="00EB6BD5" w:rsidRPr="00EB6BD5" w:rsidRDefault="00EB6BD5" w:rsidP="00EB6BD5">
    <w:pPr>
      <w:pStyle w:val="Footer"/>
      <w:tabs>
        <w:tab w:val="clear" w:pos="4680"/>
        <w:tab w:val="clear" w:pos="9360"/>
        <w:tab w:val="right" w:pos="9792"/>
      </w:tabs>
      <w:rPr>
        <w:rFonts w:cs="Calibri"/>
        <w:color w:val="667085"/>
        <w:sz w:val="16"/>
      </w:rPr>
    </w:pPr>
    <w:r w:rsidRPr="00EB6BD5">
      <w:rPr>
        <w:rFonts w:cs="Calibri"/>
        <w:color w:val="667085"/>
        <w:sz w:val="16"/>
      </w:rPr>
      <w:t>DisasterLink | Internal planning document</w:t>
    </w:r>
    <w:r w:rsidRPr="00EB6BD5">
      <w:rPr>
        <w:rFonts w:cs="Calibri"/>
        <w:color w:val="667085"/>
        <w:sz w:val="16"/>
      </w:rPr>
      <w:tab/>
      <w:t xml:space="preserve">Page </w:t>
    </w:r>
    <w:r>
      <w:rPr>
        <w:rFonts w:cs="Calibri"/>
        <w:color w:val="667085"/>
        <w:sz w:val="16"/>
      </w:rPr>
      <w:fldChar w:fldCharType="begin"/>
    </w:r>
    <w:r>
      <w:rPr>
        <w:rFonts w:cs="Calibri"/>
        <w:color w:val="667085"/>
        <w:sz w:val="16"/>
      </w:rPr>
      <w:instrText xml:space="preserve"> PAGE  \* MERGEFORMAT </w:instrText>
    </w:r>
    <w:r>
      <w:rPr>
        <w:rFonts w:cs="Calibri"/>
        <w:color w:val="667085"/>
        <w:sz w:val="16"/>
      </w:rPr>
      <w:fldChar w:fldCharType="separate"/>
    </w:r>
    <w:r>
      <w:rPr>
        <w:rFonts w:cs="Calibri"/>
        <w:noProof/>
        <w:color w:val="667085"/>
        <w:sz w:val="16"/>
      </w:rPr>
      <w:t>1</w:t>
    </w:r>
    <w:r>
      <w:rPr>
        <w:rFonts w:cs="Calibri"/>
        <w:color w:val="66708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F1626" w14:textId="77777777" w:rsidR="00EB6BD5" w:rsidRDefault="00EB6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B07F4" w14:textId="77777777" w:rsidR="00EB6BD5" w:rsidRDefault="00EB6BD5" w:rsidP="00EB6BD5">
      <w:pPr>
        <w:spacing w:after="0" w:line="240" w:lineRule="auto"/>
      </w:pPr>
      <w:r>
        <w:separator/>
      </w:r>
    </w:p>
  </w:footnote>
  <w:footnote w:type="continuationSeparator" w:id="0">
    <w:p w14:paraId="1CF40C4B" w14:textId="77777777" w:rsidR="00EB6BD5" w:rsidRDefault="00EB6BD5" w:rsidP="00EB6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C60BF" w14:textId="77777777" w:rsidR="00EB6BD5" w:rsidRDefault="00EB6B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3D7BD" w14:textId="4FE19E8C" w:rsidR="00EB6BD5" w:rsidRPr="00EB6BD5" w:rsidRDefault="00EB6BD5" w:rsidP="00EB6BD5">
    <w:pPr>
      <w:pStyle w:val="Header"/>
      <w:tabs>
        <w:tab w:val="clear" w:pos="4680"/>
        <w:tab w:val="clear" w:pos="9360"/>
        <w:tab w:val="right" w:pos="9792"/>
      </w:tabs>
      <w:rPr>
        <w:rFonts w:cs="Calibri"/>
        <w:b/>
        <w:color w:val="667085"/>
        <w:sz w:val="16"/>
      </w:rPr>
    </w:pPr>
    <w:r w:rsidRPr="00EB6BD5">
      <w:rPr>
        <w:rFonts w:cs="Calibri"/>
        <w:b/>
        <w:color w:val="667085"/>
        <w:sz w:val="16"/>
      </w:rPr>
      <w:t>DISASTERLINK | PRODUCT AND ENGINEERING</w:t>
    </w:r>
    <w:r w:rsidRPr="00EB6BD5">
      <w:rPr>
        <w:rFonts w:cs="Calibri"/>
        <w:b/>
        <w:color w:val="667085"/>
        <w:sz w:val="16"/>
      </w:rPr>
      <w:tab/>
      <w:t>IMPLEMENTATION PLAN | 14 SEP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93C89" w14:textId="77777777" w:rsidR="00EB6BD5" w:rsidRDefault="00EB6B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D00436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A5499BA"/>
    <w:lvl w:ilvl="0">
      <w:start w:val="1"/>
      <w:numFmt w:val="bullet"/>
      <w:pStyle w:val="ListBullet"/>
      <w:lvlText w:val=""/>
      <w:lvlJc w:val="left"/>
      <w:pPr>
        <w:tabs>
          <w:tab w:val="num" w:pos="360"/>
        </w:tabs>
        <w:ind w:left="360" w:hanging="360"/>
      </w:pPr>
      <w:rPr>
        <w:rFonts w:ascii="Symbol" w:hAnsi="Symbol" w:hint="default"/>
      </w:rPr>
    </w:lvl>
  </w:abstractNum>
  <w:num w:numId="1" w16cid:durableId="2018533845">
    <w:abstractNumId w:val="1"/>
  </w:num>
  <w:num w:numId="2" w16cid:durableId="958603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D5"/>
    <w:rsid w:val="005D31CF"/>
    <w:rsid w:val="00902F85"/>
    <w:rsid w:val="00A30B9A"/>
    <w:rsid w:val="00EB6BD5"/>
    <w:rsid w:val="00F80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5204"/>
  <w15:chartTrackingRefBased/>
  <w15:docId w15:val="{4A92F324-E633-4934-8F15-8B2842CDA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olor w:val="1D2939"/>
      <w:sz w:val="22"/>
    </w:rPr>
  </w:style>
  <w:style w:type="paragraph" w:styleId="Heading1">
    <w:name w:val="heading 1"/>
    <w:basedOn w:val="Normal"/>
    <w:next w:val="Normal"/>
    <w:link w:val="Heading1Char"/>
    <w:uiPriority w:val="9"/>
    <w:qFormat/>
    <w:rsid w:val="00EB6BD5"/>
    <w:pPr>
      <w:keepNext/>
      <w:keepLines/>
      <w:spacing w:before="320" w:after="16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EB6BD5"/>
    <w:pPr>
      <w:keepNext/>
      <w:keepLines/>
      <w:spacing w:before="2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EB6BD5"/>
    <w:pPr>
      <w:keepNext/>
      <w:keepLines/>
      <w:spacing w:before="160" w:after="80"/>
      <w:outlineLvl w:val="2"/>
    </w:pPr>
    <w:rPr>
      <w:rFonts w:eastAsiaTheme="majorEastAsia" w:cstheme="majorBidi"/>
      <w:b/>
      <w:color w:val="1F4D78"/>
      <w:sz w:val="24"/>
      <w:szCs w:val="28"/>
    </w:rPr>
  </w:style>
  <w:style w:type="paragraph" w:styleId="Heading4">
    <w:name w:val="heading 4"/>
    <w:basedOn w:val="Normal"/>
    <w:next w:val="Normal"/>
    <w:link w:val="Heading4Char"/>
    <w:uiPriority w:val="9"/>
    <w:semiHidden/>
    <w:unhideWhenUsed/>
    <w:qFormat/>
    <w:rsid w:val="00EB6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BD5"/>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EB6BD5"/>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EB6BD5"/>
    <w:rPr>
      <w:rFonts w:ascii="Calibri" w:eastAsiaTheme="majorEastAsia" w:hAnsi="Calibri" w:cstheme="majorBidi"/>
      <w:b/>
      <w:color w:val="1F4D78"/>
      <w:szCs w:val="28"/>
    </w:rPr>
  </w:style>
  <w:style w:type="character" w:customStyle="1" w:styleId="Heading4Char">
    <w:name w:val="Heading 4 Char"/>
    <w:basedOn w:val="DefaultParagraphFont"/>
    <w:link w:val="Heading4"/>
    <w:uiPriority w:val="9"/>
    <w:semiHidden/>
    <w:rsid w:val="00EB6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BD5"/>
    <w:rPr>
      <w:rFonts w:eastAsiaTheme="majorEastAsia" w:cstheme="majorBidi"/>
      <w:color w:val="272727" w:themeColor="text1" w:themeTint="D8"/>
    </w:rPr>
  </w:style>
  <w:style w:type="paragraph" w:styleId="Title">
    <w:name w:val="Title"/>
    <w:basedOn w:val="Normal"/>
    <w:next w:val="Normal"/>
    <w:link w:val="TitleChar"/>
    <w:uiPriority w:val="10"/>
    <w:qFormat/>
    <w:rsid w:val="00EB6BD5"/>
    <w:pPr>
      <w:spacing w:after="160" w:line="240" w:lineRule="auto"/>
      <w:contextualSpacing/>
    </w:pPr>
    <w:rPr>
      <w:rFonts w:ascii="Calibri Light" w:eastAsiaTheme="majorEastAsia" w:hAnsi="Calibri Light" w:cstheme="majorBidi"/>
      <w:b/>
      <w:color w:val="16324F"/>
      <w:spacing w:val="-10"/>
      <w:kern w:val="28"/>
      <w:sz w:val="60"/>
      <w:szCs w:val="56"/>
    </w:rPr>
  </w:style>
  <w:style w:type="character" w:customStyle="1" w:styleId="TitleChar">
    <w:name w:val="Title Char"/>
    <w:basedOn w:val="DefaultParagraphFont"/>
    <w:link w:val="Title"/>
    <w:uiPriority w:val="10"/>
    <w:rsid w:val="00EB6BD5"/>
    <w:rPr>
      <w:rFonts w:ascii="Calibri Light" w:eastAsiaTheme="majorEastAsia" w:hAnsi="Calibri Light" w:cstheme="majorBidi"/>
      <w:b/>
      <w:color w:val="16324F"/>
      <w:spacing w:val="-10"/>
      <w:kern w:val="28"/>
      <w:sz w:val="60"/>
      <w:szCs w:val="56"/>
    </w:rPr>
  </w:style>
  <w:style w:type="paragraph" w:styleId="Subtitle">
    <w:name w:val="Subtitle"/>
    <w:basedOn w:val="Normal"/>
    <w:next w:val="Normal"/>
    <w:link w:val="SubtitleChar"/>
    <w:uiPriority w:val="11"/>
    <w:qFormat/>
    <w:rsid w:val="00EB6BD5"/>
    <w:pPr>
      <w:numPr>
        <w:ilvl w:val="1"/>
      </w:numPr>
      <w:spacing w:after="360"/>
    </w:pPr>
    <w:rPr>
      <w:rFonts w:eastAsiaTheme="majorEastAsia" w:cstheme="majorBidi"/>
      <w:color w:val="667085"/>
      <w:spacing w:val="15"/>
      <w:sz w:val="26"/>
      <w:szCs w:val="28"/>
    </w:rPr>
  </w:style>
  <w:style w:type="character" w:customStyle="1" w:styleId="SubtitleChar">
    <w:name w:val="Subtitle Char"/>
    <w:basedOn w:val="DefaultParagraphFont"/>
    <w:link w:val="Subtitle"/>
    <w:uiPriority w:val="11"/>
    <w:rsid w:val="00EB6BD5"/>
    <w:rPr>
      <w:rFonts w:ascii="Calibri" w:eastAsiaTheme="majorEastAsia" w:hAnsi="Calibri" w:cstheme="majorBidi"/>
      <w:color w:val="667085"/>
      <w:spacing w:val="15"/>
      <w:sz w:val="26"/>
      <w:szCs w:val="28"/>
    </w:rPr>
  </w:style>
  <w:style w:type="paragraph" w:styleId="Quote">
    <w:name w:val="Quote"/>
    <w:basedOn w:val="Normal"/>
    <w:next w:val="Normal"/>
    <w:link w:val="QuoteChar"/>
    <w:uiPriority w:val="29"/>
    <w:qFormat/>
    <w:rsid w:val="00EB6BD5"/>
    <w:pPr>
      <w:spacing w:before="160"/>
      <w:jc w:val="center"/>
    </w:pPr>
    <w:rPr>
      <w:i/>
      <w:iCs/>
      <w:color w:val="404040" w:themeColor="text1" w:themeTint="BF"/>
    </w:rPr>
  </w:style>
  <w:style w:type="character" w:customStyle="1" w:styleId="QuoteChar">
    <w:name w:val="Quote Char"/>
    <w:basedOn w:val="DefaultParagraphFont"/>
    <w:link w:val="Quote"/>
    <w:uiPriority w:val="29"/>
    <w:rsid w:val="00EB6BD5"/>
    <w:rPr>
      <w:i/>
      <w:iCs/>
      <w:color w:val="404040" w:themeColor="text1" w:themeTint="BF"/>
    </w:rPr>
  </w:style>
  <w:style w:type="paragraph" w:styleId="ListParagraph">
    <w:name w:val="List Paragraph"/>
    <w:basedOn w:val="Normal"/>
    <w:uiPriority w:val="34"/>
    <w:qFormat/>
    <w:rsid w:val="00EB6BD5"/>
    <w:pPr>
      <w:ind w:left="720"/>
      <w:contextualSpacing/>
    </w:pPr>
  </w:style>
  <w:style w:type="character" w:styleId="IntenseEmphasis">
    <w:name w:val="Intense Emphasis"/>
    <w:basedOn w:val="DefaultParagraphFont"/>
    <w:uiPriority w:val="21"/>
    <w:qFormat/>
    <w:rsid w:val="00EB6BD5"/>
    <w:rPr>
      <w:i/>
      <w:iCs/>
      <w:color w:val="0F4761" w:themeColor="accent1" w:themeShade="BF"/>
    </w:rPr>
  </w:style>
  <w:style w:type="paragraph" w:styleId="IntenseQuote">
    <w:name w:val="Intense Quote"/>
    <w:basedOn w:val="Normal"/>
    <w:next w:val="Normal"/>
    <w:link w:val="IntenseQuoteChar"/>
    <w:uiPriority w:val="30"/>
    <w:qFormat/>
    <w:rsid w:val="00EB6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BD5"/>
    <w:rPr>
      <w:i/>
      <w:iCs/>
      <w:color w:val="0F4761" w:themeColor="accent1" w:themeShade="BF"/>
    </w:rPr>
  </w:style>
  <w:style w:type="character" w:styleId="IntenseReference">
    <w:name w:val="Intense Reference"/>
    <w:basedOn w:val="DefaultParagraphFont"/>
    <w:uiPriority w:val="32"/>
    <w:qFormat/>
    <w:rsid w:val="00EB6BD5"/>
    <w:rPr>
      <w:b/>
      <w:bCs/>
      <w:smallCaps/>
      <w:color w:val="0F4761" w:themeColor="accent1" w:themeShade="BF"/>
      <w:spacing w:val="5"/>
    </w:rPr>
  </w:style>
  <w:style w:type="paragraph" w:styleId="ListBullet">
    <w:name w:val="List Bullet"/>
    <w:basedOn w:val="Normal"/>
    <w:uiPriority w:val="99"/>
    <w:unhideWhenUsed/>
    <w:rsid w:val="00EB6BD5"/>
    <w:pPr>
      <w:numPr>
        <w:numId w:val="1"/>
      </w:numPr>
      <w:ind w:left="720"/>
      <w:contextualSpacing/>
    </w:pPr>
  </w:style>
  <w:style w:type="paragraph" w:styleId="ListNumber">
    <w:name w:val="List Number"/>
    <w:basedOn w:val="Normal"/>
    <w:uiPriority w:val="99"/>
    <w:unhideWhenUsed/>
    <w:rsid w:val="00EB6BD5"/>
    <w:pPr>
      <w:numPr>
        <w:numId w:val="2"/>
      </w:numPr>
      <w:ind w:left="720"/>
      <w:contextualSpacing/>
    </w:pPr>
    <w:rPr>
      <w:rFonts w:cs="Calibri"/>
    </w:rPr>
  </w:style>
  <w:style w:type="paragraph" w:styleId="Header">
    <w:name w:val="header"/>
    <w:basedOn w:val="Normal"/>
    <w:link w:val="HeaderChar"/>
    <w:uiPriority w:val="99"/>
    <w:unhideWhenUsed/>
    <w:rsid w:val="00EB6B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BD5"/>
    <w:rPr>
      <w:rFonts w:ascii="Calibri" w:hAnsi="Calibri"/>
      <w:color w:val="1D2939"/>
      <w:sz w:val="22"/>
    </w:rPr>
  </w:style>
  <w:style w:type="paragraph" w:styleId="Footer">
    <w:name w:val="footer"/>
    <w:basedOn w:val="Normal"/>
    <w:link w:val="FooterChar"/>
    <w:uiPriority w:val="99"/>
    <w:unhideWhenUsed/>
    <w:rsid w:val="00EB6B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BD5"/>
    <w:rPr>
      <w:rFonts w:ascii="Calibri" w:hAnsi="Calibri"/>
      <w:color w:val="1D2939"/>
      <w:sz w:val="22"/>
    </w:rPr>
  </w:style>
  <w:style w:type="table" w:styleId="TableGrid">
    <w:name w:val="Table Grid"/>
    <w:basedOn w:val="TableNormal"/>
    <w:uiPriority w:val="39"/>
    <w:rsid w:val="00EB6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B6BD5"/>
    <w:pPr>
      <w:spacing w:after="100"/>
    </w:pPr>
  </w:style>
  <w:style w:type="character" w:styleId="Hyperlink">
    <w:name w:val="Hyperlink"/>
    <w:basedOn w:val="DefaultParagraphFont"/>
    <w:uiPriority w:val="99"/>
    <w:unhideWhenUsed/>
    <w:rsid w:val="00EB6BD5"/>
    <w:rPr>
      <w:color w:val="467886" w:themeColor="hyperlink"/>
      <w:u w:val="single"/>
    </w:rPr>
  </w:style>
  <w:style w:type="character" w:styleId="UnresolvedMention">
    <w:name w:val="Unresolved Mention"/>
    <w:basedOn w:val="DefaultParagraphFont"/>
    <w:uiPriority w:val="99"/>
    <w:semiHidden/>
    <w:unhideWhenUsed/>
    <w:rsid w:val="00EB6BD5"/>
    <w:rPr>
      <w:color w:val="605E5C"/>
      <w:shd w:val="clear" w:color="auto" w:fill="E1DFDD"/>
    </w:rPr>
  </w:style>
  <w:style w:type="paragraph" w:styleId="TOC2">
    <w:name w:val="toc 2"/>
    <w:basedOn w:val="Normal"/>
    <w:next w:val="Normal"/>
    <w:autoRedefine/>
    <w:uiPriority w:val="39"/>
    <w:unhideWhenUsed/>
    <w:rsid w:val="00EB6B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drrmc.gov.ph/attachments/article/4198/NDRRMC-Harmonized-Disaster-Response-SOP.pdf" TargetMode="External"/><Relationship Id="rId13" Type="http://schemas.openxmlformats.org/officeDocument/2006/relationships/hyperlink" Target="https://docs.expo.dev/versions/latest/sdk/camera/" TargetMode="External"/><Relationship Id="rId18" Type="http://schemas.openxmlformats.org/officeDocument/2006/relationships/hyperlink" Target="https://www.who.int/docs/default-source/meeting-reports/systematic-review-question-10.pdf"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elibrary.judiciary.gov.ph/thebookshelf/showdocs/2/21121" TargetMode="External"/><Relationship Id="rId12" Type="http://schemas.openxmlformats.org/officeDocument/2006/relationships/hyperlink" Target="https://developer.android.com/reference/android/location/Location" TargetMode="External"/><Relationship Id="rId17" Type="http://schemas.openxmlformats.org/officeDocument/2006/relationships/hyperlink" Target="https://supabase.com/docs/guides/database/functions"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supabase.com/docs/guides/database/postgres/row-level-security" TargetMode="External"/><Relationship Id="rId20" Type="http://schemas.openxmlformats.org/officeDocument/2006/relationships/hyperlink" Target="https://training.fema.gov/emiweb/is/icsresource/jobai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expo.dev/versions/latest/sdk/location/"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eveloper.apple.com/library/archive/featuredarticles/iPhoneURLScheme_Reference/PhoneLinks/PhoneLinks.htm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privacy.gov.ph/npc-issues-circulars-to-strengthen-personal-data-protection-in-ph/" TargetMode="External"/><Relationship Id="rId19" Type="http://schemas.openxmlformats.org/officeDocument/2006/relationships/hyperlink" Target="https://www.ifrc.org/sites/default/files/WDR-2013.pdf" TargetMode="External"/><Relationship Id="rId4" Type="http://schemas.openxmlformats.org/officeDocument/2006/relationships/webSettings" Target="webSettings.xml"/><Relationship Id="rId9" Type="http://schemas.openxmlformats.org/officeDocument/2006/relationships/hyperlink" Target="https://privacy.gov.ph/implementing-rules-regulations-data-privacy-act-2012/" TargetMode="External"/><Relationship Id="rId14" Type="http://schemas.openxmlformats.org/officeDocument/2006/relationships/hyperlink" Target="https://developer.android.com/guide/components/intents-common"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5819</Words>
  <Characters>33172</Characters>
  <Application>Microsoft Office Word</Application>
  <DocSecurity>0</DocSecurity>
  <Lines>276</Lines>
  <Paragraphs>77</Paragraphs>
  <ScaleCrop>false</ScaleCrop>
  <Company/>
  <LinksUpToDate>false</LinksUpToDate>
  <CharactersWithSpaces>38914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Steven Violon</dc:creator>
  <cp:keywords/>
  <dc:description/>
  <cp:lastModifiedBy>Marc Steven Violon</cp:lastModifiedBy>
  <cp:revision>1</cp:revision>
  <dcterms:created xsi:type="dcterms:W3CDTF">2026-09-14T16:20:00Z</dcterms:created>
  <dcterms:modified xsi:type="dcterms:W3CDTF">2026-09-14T16:22:00Z</dcterms:modified>
</cp:coreProperties>
</file>