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Sovereign Optimisation Engine</w:t>
      </w:r>
    </w:p>
    <w:p>
      <w:r>
        <w:rPr>
          <w:i/>
          <w:sz w:val="20"/>
        </w:rPr>
        <w:t>Benefits and impact  |  measured results, 18 September 2026</w:t>
      </w:r>
    </w:p>
    <w:p>
      <w:pPr>
        <w:spacing w:after="160"/>
      </w:pPr>
      <w:r>
        <w:rPr>
          <w:b/>
        </w:rPr>
        <w:t>In one line: free to own, faster than the leading open-source solver on large and quadratic problems, exact answers with an independent certificate on every result, and fully under your control.</w:t>
      </w:r>
    </w:p>
    <w:p>
      <w:pPr>
        <w:pStyle w:val="Heading1"/>
      </w:pPr>
      <w:r>
        <w:t>1. What it is</w:t>
      </w:r>
    </w:p>
    <w:p>
      <w:pPr>
        <w:spacing w:after="80"/>
      </w:pPr>
      <w:r>
        <w:t>An optimisation engine for linear (LP), quadratic (QP) and mixed-integer (MILP) problems: the maths behind logistics planning, process control, power scheduling and portfolio decisions. It chooses a method automatically, independently checks every answer, and runs on an ordinary laptop CPU, with a GPU path for very large models.</w:t>
      </w:r>
    </w:p>
    <w:p>
      <w:pPr>
        <w:pStyle w:val="Heading1"/>
      </w:pPr>
      <w:r>
        <w:t>2. Measured performance</w:t>
      </w:r>
    </w:p>
    <w:p>
      <w:pPr>
        <w:spacing w:after="80"/>
      </w:pPr>
      <w:r>
        <w:t>Same laptop, same input data, 12 threads for every solver.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107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Ours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HiGHS (open source)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Gurobi (commercial)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A: supply chain, 100k vars (LP)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1.6–2.3 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4.2 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1.0 s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~2× faster than HiGHS, same answer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r/>
            <w:r>
              <w:rPr>
                <w:sz w:val="19"/>
              </w:rPr>
              <w:t>B: supply chain, 1M vars (LP)</w:t>
            </w:r>
          </w:p>
        </w:tc>
        <w:tc>
          <w:tcPr>
            <w:tcW w:type="dxa" w:w="1077"/>
            <w:shd w:val="clear" w:color="auto" w:fill="EAF1F8"/>
          </w:tcPr>
          <w:p>
            <w:r/>
            <w:r>
              <w:rPr>
                <w:sz w:val="19"/>
              </w:rPr>
              <w:t>134 s</w:t>
            </w:r>
          </w:p>
        </w:tc>
        <w:tc>
          <w:tcPr>
            <w:tcW w:type="dxa" w:w="1474"/>
            <w:shd w:val="clear" w:color="auto" w:fill="EAF1F8"/>
          </w:tcPr>
          <w:p>
            <w:r/>
            <w:r>
              <w:rPr>
                <w:sz w:val="19"/>
              </w:rPr>
              <w:t>636 s</w:t>
            </w:r>
          </w:p>
        </w:tc>
        <w:tc>
          <w:tcPr>
            <w:tcW w:type="dxa" w:w="1474"/>
            <w:shd w:val="clear" w:color="auto" w:fill="EAF1F8"/>
          </w:tcPr>
          <w:p>
            <w:r/>
            <w:r>
              <w:rPr>
                <w:sz w:val="19"/>
              </w:rPr>
              <w:t>30 s</w:t>
            </w:r>
          </w:p>
        </w:tc>
        <w:tc>
          <w:tcPr>
            <w:tcW w:type="dxa" w:w="3005"/>
            <w:shd w:val="clear" w:color="auto" w:fill="EAF1F8"/>
          </w:tcPr>
          <w:p>
            <w:r/>
            <w:r>
              <w:rPr>
                <w:sz w:val="19"/>
              </w:rPr>
              <w:t>~5× faster than HiGHS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C: STCQP1 benchmark (QP)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0.32 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&gt; 2 min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0.02 s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&gt;100× faster than HiGHS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r/>
            <w:r>
              <w:rPr>
                <w:sz w:val="19"/>
              </w:rPr>
              <w:t>D: power unit commitment (MILP)</w:t>
            </w:r>
          </w:p>
        </w:tc>
        <w:tc>
          <w:tcPr>
            <w:tcW w:type="dxa" w:w="1077"/>
            <w:shd w:val="clear" w:color="auto" w:fill="EAF1F8"/>
          </w:tcPr>
          <w:p>
            <w:r/>
            <w:r>
              <w:rPr>
                <w:sz w:val="19"/>
              </w:rPr>
              <w:t>0.51 s</w:t>
            </w:r>
          </w:p>
        </w:tc>
        <w:tc>
          <w:tcPr>
            <w:tcW w:type="dxa" w:w="1474"/>
            <w:shd w:val="clear" w:color="auto" w:fill="EAF1F8"/>
          </w:tcPr>
          <w:p>
            <w:r/>
            <w:r>
              <w:rPr>
                <w:sz w:val="19"/>
              </w:rPr>
              <w:t>0.06 s</w:t>
            </w:r>
          </w:p>
        </w:tc>
        <w:tc>
          <w:tcPr>
            <w:tcW w:type="dxa" w:w="1474"/>
            <w:shd w:val="clear" w:color="auto" w:fill="EAF1F8"/>
          </w:tcPr>
          <w:p>
            <w:r/>
            <w:r>
              <w:rPr>
                <w:sz w:val="19"/>
              </w:rPr>
              <w:t>0.05 s</w:t>
            </w:r>
          </w:p>
        </w:tc>
        <w:tc>
          <w:tcPr>
            <w:tcW w:type="dxa" w:w="3005"/>
            <w:shd w:val="clear" w:color="auto" w:fill="EAF1F8"/>
          </w:tcPr>
          <w:p>
            <w:r/>
            <w:r>
              <w:rPr>
                <w:sz w:val="19"/>
              </w:rPr>
              <w:t>Identical certified answer; slower</w:t>
            </w:r>
          </w:p>
        </w:tc>
      </w:tr>
    </w:tbl>
    <w:p>
      <w:pPr>
        <w:spacing w:after="0"/>
      </w:pPr>
    </w:p>
    <w:p>
      <w:pPr>
        <w:spacing w:after="80"/>
      </w:pPr>
      <w:r>
        <w:t>Our advantage over open source grows with size: 2× at 100k variables, 5× at 1M.</w:t>
      </w:r>
    </w:p>
    <w:p>
      <w:pPr>
        <w:pStyle w:val="Heading1"/>
      </w:pPr>
      <w:r>
        <w:t>3. Key benefits</w:t>
      </w:r>
    </w:p>
    <w:p>
      <w:pPr>
        <w:pStyle w:val="Heading2"/>
      </w:pPr>
      <w:r>
        <w:t>Technical</w:t>
      </w:r>
    </w:p>
    <w:p>
      <w:pPr>
        <w:pStyle w:val="ListBullet"/>
        <w:spacing w:after="40"/>
      </w:pPr>
      <w:r>
        <w:rPr>
          <w:b/>
        </w:rPr>
        <w:t xml:space="preserve">Exact answers. </w:t>
      </w:r>
      <w:r>
        <w:t>A vertex-polish step turns an approximate solution into the exact optimum; case A matches Gurobi to 15 significant digits (8,858,352.017690349 vs …398).</w:t>
      </w:r>
    </w:p>
    <w:p>
      <w:pPr>
        <w:pStyle w:val="ListBullet"/>
        <w:spacing w:after="40"/>
      </w:pPr>
      <w:r>
        <w:rPr>
          <w:b/>
        </w:rPr>
        <w:t xml:space="preserve">Independent certificate. </w:t>
      </w:r>
      <w:r>
        <w:t>A separate validator re-checks feasibility, optimality and the gap on the original model. If the check fails, the system says so.</w:t>
      </w:r>
    </w:p>
    <w:p>
      <w:pPr>
        <w:pStyle w:val="ListBullet"/>
        <w:spacing w:after="40"/>
      </w:pPr>
      <w:r>
        <w:rPr>
          <w:b/>
        </w:rPr>
        <w:t xml:space="preserve">Built for scale and GPUs. </w:t>
      </w:r>
      <w:r>
        <w:t>The large-LP method (PDLP) needs only matrix-vector products, which parallelise well on GPUs. A recorded Tesla T4 run solved the 1M case in 9.6 s (older, looser accuracy setting).</w:t>
      </w:r>
    </w:p>
    <w:p>
      <w:pPr>
        <w:pStyle w:val="ListBullet"/>
        <w:spacing w:after="40"/>
      </w:pPr>
      <w:r>
        <w:rPr>
          <w:b/>
        </w:rPr>
        <w:t xml:space="preserve">Transparent. </w:t>
      </w:r>
      <w:r>
        <w:t>Iteration traces, the search tree and presolve statistics show why a plan is optimal.</w:t>
      </w:r>
    </w:p>
    <w:p>
      <w:pPr>
        <w:pStyle w:val="Heading2"/>
      </w:pPr>
      <w:r>
        <w:t>Economic</w:t>
      </w:r>
    </w:p>
    <w:p>
      <w:pPr>
        <w:pStyle w:val="ListBullet"/>
        <w:spacing w:after="40"/>
      </w:pPr>
      <w:r>
        <w:rPr>
          <w:b/>
        </w:rPr>
        <w:t xml:space="preserve">No licence fees and no size cap. </w:t>
      </w:r>
      <w:r>
        <w:t>The free Gurobi licence stops at 2,000 variables and 2,000 constraints; case A is ~50× past that and case B ~500×.</w:t>
      </w:r>
    </w:p>
    <w:p>
      <w:pPr>
        <w:pStyle w:val="ListBullet"/>
        <w:spacing w:after="40"/>
      </w:pPr>
      <w:r>
        <w:rPr>
          <w:b/>
        </w:rPr>
        <w:t xml:space="preserve">Scale without renegotiating. </w:t>
      </w:r>
      <w:r>
        <w:t>Growing from 100k to 1M variables needs more compute, not a new contract.</w:t>
      </w:r>
    </w:p>
    <w:p>
      <w:pPr>
        <w:pStyle w:val="ListBullet"/>
        <w:spacing w:after="40"/>
      </w:pPr>
      <w:r>
        <w:rPr>
          <w:b/>
        </w:rPr>
        <w:t xml:space="preserve">Cheaper experimentation. </w:t>
      </w:r>
      <w:r>
        <w:t>Run many what-if scenarios without counting licence tokens.</w:t>
      </w:r>
    </w:p>
    <w:p>
      <w:pPr>
        <w:pStyle w:val="Heading2"/>
      </w:pPr>
      <w:r>
        <w:t>Strategic (sovereignty)</w:t>
      </w:r>
    </w:p>
    <w:p>
      <w:pPr>
        <w:pStyle w:val="ListBullet"/>
        <w:spacing w:after="40"/>
      </w:pPr>
      <w:r>
        <w:t>Full source control: audit, modify, extend and deploy anywhere.</w:t>
      </w:r>
    </w:p>
    <w:p>
      <w:pPr>
        <w:pStyle w:val="ListBullet"/>
        <w:spacing w:after="40"/>
      </w:pPr>
      <w:r>
        <w:t>Works air-gapped with no licence server, which suits government, defence and critical infrastructure.</w:t>
      </w:r>
    </w:p>
    <w:p>
      <w:pPr>
        <w:pStyle w:val="ListBullet"/>
        <w:spacing w:after="40"/>
      </w:pPr>
      <w:r>
        <w:t>No lock-in to one vendor's pricing, licensing or export decisions.</w:t>
      </w:r>
    </w:p>
    <w:p>
      <w:pPr>
        <w:pStyle w:val="ListBullet"/>
        <w:spacing w:after="40"/>
      </w:pPr>
      <w:r>
        <w:t>Builds in-house optimisation skills instead of renting a black box.</w:t>
      </w:r>
    </w:p>
    <w:p>
      <w:pPr>
        <w:pStyle w:val="Heading2"/>
      </w:pPr>
      <w:r>
        <w:t>Trust and compliance</w:t>
      </w:r>
    </w:p>
    <w:p>
      <w:pPr>
        <w:pStyle w:val="ListBullet"/>
        <w:spacing w:after="40"/>
      </w:pPr>
      <w:r>
        <w:t>Evidence trail: every decision carries a certificate for auditors and regulators.</w:t>
      </w:r>
    </w:p>
    <w:p>
      <w:pPr>
        <w:pStyle w:val="ListBullet"/>
        <w:spacing w:after="40"/>
      </w:pPr>
      <w:r>
        <w:t>Reproducible and independently re-verifiable results.</w:t>
      </w:r>
    </w:p>
    <w:p>
      <w:pPr>
        <w:pStyle w:val="ListBullet"/>
        <w:spacing w:after="40"/>
      </w:pPr>
      <w:r>
        <w:t>Explainable outputs for regulated planning such as energy dispatch and procurement.</w:t>
      </w:r>
    </w:p>
    <w:p>
      <w:pPr>
        <w:pStyle w:val="Heading1"/>
      </w:pPr>
      <w:r>
        <w:t>4. Impact by sector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Sector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Typical problem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How we help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Supply chain / logistics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Production and distribution planning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National-scale models on a laptop with exact certified costs; daily re-planning instead of weekly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9"/>
              </w:rPr>
              <w:t>Power systems</w:t>
            </w:r>
          </w:p>
        </w:tc>
        <w:tc>
          <w:tcPr>
            <w:tcW w:type="dxa" w:w="2381"/>
            <w:shd w:val="clear" w:color="auto" w:fill="EAF1F8"/>
          </w:tcPr>
          <w:p>
            <w:r/>
            <w:r>
              <w:rPr>
                <w:sz w:val="19"/>
              </w:rPr>
              <w:t>Unit commitment, dispatch</w:t>
            </w:r>
          </w:p>
        </w:tc>
        <w:tc>
          <w:tcPr>
            <w:tcW w:type="dxa" w:w="5216"/>
            <w:shd w:val="clear" w:color="auto" w:fill="EAF1F8"/>
          </w:tcPr>
          <w:p>
            <w:r/>
            <w:r>
              <w:rPr>
                <w:sz w:val="19"/>
              </w:rPr>
              <w:t>Certified, auditable schedules on infrastructure operators control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Process industry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Quadratic control, estimation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QP &gt;100× faster than open source, making near-real-time re-optimisation feasible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2381"/>
            <w:shd w:val="clear" w:color="auto" w:fill="EAF1F8"/>
          </w:tcPr>
          <w:p>
            <w:r/>
            <w:r>
              <w:rPr>
                <w:sz w:val="19"/>
              </w:rPr>
              <w:t>Portfolio optimisation</w:t>
            </w:r>
          </w:p>
        </w:tc>
        <w:tc>
          <w:tcPr>
            <w:tcW w:type="dxa" w:w="5216"/>
            <w:shd w:val="clear" w:color="auto" w:fill="EAF1F8"/>
          </w:tcPr>
          <w:p>
            <w:r/>
            <w:r>
              <w:rPr>
                <w:sz w:val="19"/>
              </w:rPr>
              <w:t>Fast QP with a certificate for risk and compliance review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Public sector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Budgeting, procurement, scheduling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Explainable decisions on sovereign infrastructure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9"/>
              </w:rPr>
              <w:t>Education and research</w:t>
            </w:r>
          </w:p>
        </w:tc>
        <w:tc>
          <w:tcPr>
            <w:tcW w:type="dxa" w:w="2381"/>
            <w:shd w:val="clear" w:color="auto" w:fill="EAF1F8"/>
          </w:tcPr>
          <w:p>
            <w:r/>
            <w:r>
              <w:rPr>
                <w:sz w:val="19"/>
              </w:rPr>
              <w:t>Teaching optimisation</w:t>
            </w:r>
          </w:p>
        </w:tc>
        <w:tc>
          <w:tcPr>
            <w:tcW w:type="dxa" w:w="5216"/>
            <w:shd w:val="clear" w:color="auto" w:fill="EAF1F8"/>
          </w:tcPr>
          <w:p>
            <w:r/>
            <w:r>
              <w:rPr>
                <w:sz w:val="19"/>
              </w:rPr>
              <w:t>Open, traceable internals show how a solver works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i/>
        </w:rPr>
        <w:t>Sector impacts are qualitative; the demo models are realistic in structure but use synthetic data.</w:t>
      </w:r>
    </w:p>
    <w:p>
      <w:pPr>
        <w:pStyle w:val="Heading1"/>
      </w:pPr>
      <w:r>
        <w:t>5. Honest limitations</w:t>
      </w:r>
    </w:p>
    <w:p>
      <w:pPr>
        <w:pStyle w:val="ListBullet"/>
        <w:spacing w:after="40"/>
      </w:pPr>
      <w:r>
        <w:t>Gurobi is faster on all four demo cases (roughly 2–15×). We do not claim to beat commercial solvers today.</w:t>
      </w:r>
    </w:p>
    <w:p>
      <w:pPr>
        <w:pStyle w:val="ListBullet"/>
        <w:spacing w:after="40"/>
      </w:pPr>
      <w:r>
        <w:t>Small MILPs are ~8× slower than HiGHS and Gurobi, though the answer is identical and certified.</w:t>
      </w:r>
    </w:p>
    <w:p>
      <w:pPr>
        <w:pStyle w:val="ListBullet"/>
        <w:spacing w:after="40"/>
      </w:pPr>
      <w:r>
        <w:t>The exact polish is not yet working at 1M variables (case B is accurate to ~2e-7).</w:t>
      </w:r>
    </w:p>
    <w:p>
      <w:pPr>
        <w:pStyle w:val="ListBullet"/>
        <w:spacing w:after="40"/>
      </w:pPr>
      <w:r>
        <w:t>A C++ rewrite would speed up the MILP by roughly 2×, but measured tests show no gain for the LP solver, which is already compiled.</w:t>
      </w:r>
    </w:p>
    <w:p>
      <w:pPr>
        <w:pStyle w:val="Heading1"/>
      </w:pPr>
      <w:r>
        <w:t>6. Roadmap</w:t>
      </w:r>
    </w:p>
    <w:p>
      <w:pPr>
        <w:pStyle w:val="ListBullet"/>
        <w:spacing w:after="40"/>
      </w:pPr>
      <w:r>
        <w:rPr>
          <w:b/>
        </w:rPr>
        <w:t xml:space="preserve">Exact polish at 1M+ variables: </w:t>
      </w:r>
      <w:r>
        <w:t>certified exact answers for large LPs.</w:t>
      </w:r>
    </w:p>
    <w:p>
      <w:pPr>
        <w:pStyle w:val="ListBullet"/>
        <w:spacing w:after="40"/>
      </w:pPr>
      <w:r>
        <w:rPr>
          <w:b/>
        </w:rPr>
        <w:t xml:space="preserve">C++ simplex core: </w:t>
      </w:r>
      <w:r>
        <w:t>roughly 2× faster MILP.</w:t>
      </w:r>
    </w:p>
    <w:p>
      <w:pPr>
        <w:pStyle w:val="ListBullet"/>
        <w:spacing w:after="40"/>
      </w:pPr>
      <w:r>
        <w:rPr>
          <w:b/>
        </w:rPr>
        <w:t xml:space="preserve">GPU runs at current accuracy: </w:t>
      </w:r>
      <w:r>
        <w:t>a fair head-to-head replacing the older recorded number.</w:t>
      </w:r>
    </w:p>
    <w:p>
      <w:pPr>
        <w:pStyle w:val="ListBullet"/>
        <w:spacing w:after="40"/>
      </w:pPr>
      <w:r>
        <w:rPr>
          <w:b/>
        </w:rPr>
        <w:t xml:space="preserve">MILP tuning: </w:t>
      </w:r>
      <w:r>
        <w:t>cuts, heuristics and branching to close the gap to commercial solvers.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