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Sovereign Optimisation Engine</w:t>
      </w:r>
    </w:p>
    <w:p>
      <w:r>
        <w:rPr>
          <w:i/>
          <w:sz w:val="20"/>
        </w:rPr>
        <w:t>Feasibility and viability assessment  |  18 September 2026</w:t>
      </w:r>
    </w:p>
    <w:p>
      <w:pPr>
        <w:spacing w:after="160"/>
      </w:pPr>
      <w:r>
        <w:rPr>
          <w:b/>
        </w:rPr>
        <w:t xml:space="preserve">In short: </w:t>
      </w:r>
      <w:r>
        <w:t>the technology works and is proven on real benchmarks. It is viable as a product if we sell trust and ownership (sovereign deployment, a certificate on every answer), not raw speed.</w:t>
      </w:r>
    </w:p>
    <w:p>
      <w:pPr>
        <w:pStyle w:val="Heading1"/>
      </w:pPr>
      <w:r>
        <w:t>1. Technical feasibility: does it work?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98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Large LP (100k–1M variables)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Proven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Faster than HiGHS at both sizes (2× and 5×)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r/>
            <w:r>
              <w:rPr>
                <w:sz w:val="19"/>
              </w:rPr>
              <w:t>Exact LP answers</w:t>
            </w:r>
          </w:p>
        </w:tc>
        <w:tc>
          <w:tcPr>
            <w:tcW w:type="dxa" w:w="2154"/>
            <w:shd w:val="clear" w:color="auto" w:fill="EAF1F8"/>
          </w:tcPr>
          <w:p>
            <w:r/>
            <w:r>
              <w:rPr>
                <w:sz w:val="19"/>
              </w:rPr>
              <w:t>Proven at 100k; not yet at 1M</w:t>
            </w:r>
          </w:p>
        </w:tc>
        <w:tc>
          <w:tcPr>
            <w:tcW w:type="dxa" w:w="4989"/>
            <w:shd w:val="clear" w:color="auto" w:fill="EAF1F8"/>
          </w:tcPr>
          <w:p>
            <w:r/>
            <w:r>
              <w:rPr>
                <w:sz w:val="19"/>
              </w:rPr>
              <w:t>Case A matches Gurobi to 15 digits; the polish fails at 1M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QP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Proven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&gt;100× faster than HiGHS on a published benchmark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r/>
            <w:r>
              <w:rPr>
                <w:sz w:val="19"/>
              </w:rPr>
              <w:t>MILP</w:t>
            </w:r>
          </w:p>
        </w:tc>
        <w:tc>
          <w:tcPr>
            <w:tcW w:type="dxa" w:w="2154"/>
            <w:shd w:val="clear" w:color="auto" w:fill="EAF1F8"/>
          </w:tcPr>
          <w:p>
            <w:r/>
            <w:r>
              <w:rPr>
                <w:sz w:val="19"/>
              </w:rPr>
              <w:t>Works, not competitive</w:t>
            </w:r>
          </w:p>
        </w:tc>
        <w:tc>
          <w:tcPr>
            <w:tcW w:type="dxa" w:w="4989"/>
            <w:shd w:val="clear" w:color="auto" w:fill="EAF1F8"/>
          </w:tcPr>
          <w:p>
            <w:r/>
            <w:r>
              <w:rPr>
                <w:sz w:val="19"/>
              </w:rPr>
              <w:t>Correct, certified answer; ~8× slower than HiGHS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Answer certificate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Proven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Independent validator; full test suite passes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r/>
            <w:r>
              <w:rPr>
                <w:sz w:val="19"/>
              </w:rPr>
              <w:t>GPU</w:t>
            </w:r>
          </w:p>
        </w:tc>
        <w:tc>
          <w:tcPr>
            <w:tcW w:type="dxa" w:w="2154"/>
            <w:shd w:val="clear" w:color="auto" w:fill="EAF1F8"/>
          </w:tcPr>
          <w:p>
            <w:r/>
            <w:r>
              <w:rPr>
                <w:sz w:val="19"/>
              </w:rPr>
              <w:t>Shown once</w:t>
            </w:r>
          </w:p>
        </w:tc>
        <w:tc>
          <w:tcPr>
            <w:tcW w:type="dxa" w:w="4989"/>
            <w:shd w:val="clear" w:color="auto" w:fill="EAF1F8"/>
          </w:tcPr>
          <w:p>
            <w:r/>
            <w:r>
              <w:rPr>
                <w:sz w:val="19"/>
              </w:rPr>
              <w:t>One recorded Tesla T4 run at an older accuracy setting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Messy real-world models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Unproven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Tested on synthetic and textbook models, not client data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Verdict: the core is feasible and already works. </w:t>
      </w:r>
      <w:r>
        <w:t>Open technical risks are MILP speed, the 1M exact polish, and behaviour on real client models, which are often badly scaled or degenerate.</w:t>
      </w:r>
    </w:p>
    <w:p>
      <w:pPr>
        <w:pStyle w:val="Heading1"/>
      </w:pPr>
      <w:r>
        <w:t>2. Operational feasibility: can people use it?</w:t>
      </w:r>
    </w:p>
    <w:p>
      <w:pPr>
        <w:pStyle w:val="ListBullet"/>
        <w:spacing w:after="40"/>
      </w:pPr>
      <w:r>
        <w:rPr>
          <w:b/>
        </w:rPr>
        <w:t xml:space="preserve">Ordinary hardware: </w:t>
      </w:r>
      <w:r>
        <w:t>runs on a laptop CPU, with no licence server or special setup.</w:t>
      </w:r>
    </w:p>
    <w:p>
      <w:pPr>
        <w:pStyle w:val="ListBullet"/>
        <w:spacing w:after="40"/>
      </w:pPr>
      <w:r>
        <w:rPr>
          <w:b/>
        </w:rPr>
        <w:t xml:space="preserve">Integration: </w:t>
      </w:r>
      <w:r>
        <w:t>REST API, CLI and web demo exist; reads standard MPS/QPS files.</w:t>
      </w:r>
    </w:p>
    <w:p>
      <w:pPr>
        <w:pStyle w:val="ListBullet"/>
        <w:spacing w:after="40"/>
      </w:pPr>
      <w:r>
        <w:rPr>
          <w:b/>
        </w:rPr>
        <w:t xml:space="preserve">Maintainability risk: </w:t>
      </w:r>
      <w:r>
        <w:t>solvers are specialist code; a small team carries a lot of knowledge.</w:t>
      </w:r>
    </w:p>
    <w:p>
      <w:pPr>
        <w:pStyle w:val="ListBullet"/>
        <w:spacing w:after="40"/>
      </w:pPr>
      <w:r>
        <w:rPr>
          <w:b/>
        </w:rPr>
        <w:t xml:space="preserve">Support gap: </w:t>
      </w:r>
      <w:r>
        <w:t>enterprise users expect support contracts, SLAs and documentation, which we do not have yet.</w:t>
      </w:r>
    </w:p>
    <w:p>
      <w:pPr>
        <w:pStyle w:val="Heading1"/>
      </w:pPr>
      <w:r>
        <w:t>3. Economic viability: can it sustain itself?</w:t>
      </w:r>
    </w:p>
    <w:p>
      <w:pPr>
        <w:spacing w:after="80"/>
      </w:pPr>
      <w:r>
        <w:rPr>
          <w:b/>
        </w:rPr>
        <w:t xml:space="preserve">Costs: </w:t>
      </w:r>
      <w:r>
        <w:t>Mainly engineering time. There are no licence fees, and compute can be as small as a laptop.</w:t>
      </w:r>
    </w:p>
    <w:p>
      <w:pPr>
        <w:spacing w:after="80"/>
      </w:pPr>
      <w:r>
        <w:t>Possible business models:</w:t>
      </w:r>
    </w:p>
    <w:p>
      <w:pPr>
        <w:pStyle w:val="ListBullet"/>
        <w:spacing w:after="40"/>
      </w:pPr>
      <w:r>
        <w:rPr>
          <w:b/>
        </w:rPr>
        <w:t xml:space="preserve">Sovereign / on-premise deployments </w:t>
      </w:r>
      <w:r>
        <w:t>for government, defence and utilities, as a licence plus support contract.</w:t>
      </w:r>
    </w:p>
    <w:p>
      <w:pPr>
        <w:pStyle w:val="ListBullet"/>
        <w:spacing w:after="40"/>
      </w:pPr>
      <w:r>
        <w:rPr>
          <w:b/>
        </w:rPr>
        <w:t xml:space="preserve">Consulting and solutions: </w:t>
      </w:r>
      <w:r>
        <w:t>build planning models (supply chain, power dispatch) on the engine; the engine differentiates, the service earns revenue.</w:t>
      </w:r>
    </w:p>
    <w:p>
      <w:pPr>
        <w:pStyle w:val="ListBullet"/>
        <w:spacing w:after="40"/>
      </w:pPr>
      <w:r>
        <w:rPr>
          <w:b/>
        </w:rPr>
        <w:t xml:space="preserve">Certification-as-a-service: </w:t>
      </w:r>
      <w:r>
        <w:t>verify answers from any solver with our independent validator.</w:t>
      </w:r>
    </w:p>
    <w:p>
      <w:pPr>
        <w:pStyle w:val="ListBullet"/>
        <w:spacing w:after="40"/>
      </w:pPr>
      <w:r>
        <w:rPr>
          <w:b/>
        </w:rPr>
        <w:t xml:space="preserve">Open core: </w:t>
      </w:r>
      <w:r>
        <w:t>a free engine, with paid enterprise features, support and GPU scale-out.</w:t>
      </w:r>
    </w:p>
    <w:p>
      <w:pPr>
        <w:spacing w:after="80"/>
      </w:pPr>
      <w:r>
        <w:rPr>
          <w:b/>
        </w:rPr>
        <w:t xml:space="preserve">Main risk: </w:t>
      </w:r>
      <w:r>
        <w:t>the standalone solver market is hard. Strong free options (HiGHS, Google OR-Tools, NVIDIA cuOpt) and entrenched commercial ones (Gurobi, CPLEX, FICO Xpress) mean competing on price or speed alone is not viable.</w:t>
      </w:r>
    </w:p>
    <w:p>
      <w:pPr>
        <w:pStyle w:val="Heading1"/>
      </w:pPr>
      <w:r>
        <w:t>4. Competitive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Competitor</w:t>
            </w:r>
          </w:p>
        </w:tc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Their edge</w:t>
            </w:r>
          </w:p>
        </w:tc>
        <w:tc>
          <w:tcPr>
            <w:tcW w:type="dxa" w:w="419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Our edge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Gurobi / CPLEX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Much faster (2–15× in our tests); mature MILP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No licence cost or size cap; source control; air-gapped; certificates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r/>
            <w:r>
              <w:rPr>
                <w:sz w:val="19"/>
              </w:rPr>
              <w:t>HiGHS (free)</w:t>
            </w:r>
          </w:p>
        </w:tc>
        <w:tc>
          <w:tcPr>
            <w:tcW w:type="dxa" w:w="3175"/>
            <w:shd w:val="clear" w:color="auto" w:fill="EAF1F8"/>
          </w:tcPr>
          <w:p>
            <w:r/>
            <w:r>
              <w:rPr>
                <w:sz w:val="19"/>
              </w:rPr>
              <w:t>Fast MILP; mature</w:t>
            </w:r>
          </w:p>
        </w:tc>
        <w:tc>
          <w:tcPr>
            <w:tcW w:type="dxa" w:w="4195"/>
            <w:shd w:val="clear" w:color="auto" w:fill="EAF1F8"/>
          </w:tcPr>
          <w:p>
            <w:r/>
            <w:r>
              <w:rPr>
                <w:sz w:val="19"/>
              </w:rPr>
              <w:t>2–5× faster on large LP; &gt;100× on QP; certificates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NVIDIA cuOpt / GPU LP solvers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Also ship GPU first-order LP methods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Runs well on CPU without a GPU; certificates; sovereign control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Caveat: </w:t>
      </w:r>
      <w:r>
        <w:t>GPU first-order LP methods are not unique to us, so they should not be the headline. The defensible position is the combination of sovereign ownership, a certificate on every answer, and strong large-LP/QP performance.</w:t>
      </w:r>
    </w:p>
    <w:p>
      <w:pPr>
        <w:pStyle w:val="Heading1"/>
      </w:pPr>
      <w:r>
        <w:t>5. Key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130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425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Real client models behave worse than benchmarks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Medium–high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Pilot on 2–3 real datasets first</w:t>
            </w:r>
          </w:p>
        </w:tc>
      </w:tr>
      <w:tr>
        <w:tc>
          <w:tcPr>
            <w:tcW w:type="dxa" w:w="3061"/>
            <w:shd w:val="clear" w:color="auto" w:fill="EAF1F8"/>
          </w:tcPr>
          <w:p>
            <w:r/>
            <w:r>
              <w:rPr>
                <w:sz w:val="19"/>
              </w:rPr>
              <w:t>MILP too slow for scheduling clients</w:t>
            </w:r>
          </w:p>
        </w:tc>
        <w:tc>
          <w:tcPr>
            <w:tcW w:type="dxa" w:w="1304"/>
            <w:shd w:val="clear" w:color="auto" w:fill="EAF1F8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1020"/>
            <w:shd w:val="clear" w:color="auto" w:fill="EAF1F8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4252"/>
            <w:shd w:val="clear" w:color="auto" w:fill="EAF1F8"/>
          </w:tcPr>
          <w:p>
            <w:r/>
            <w:r>
              <w:rPr>
                <w:sz w:val="19"/>
              </w:rPr>
              <w:t>Target LP/QP use cases first; C++ simplex later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Overclaiming (“beats Gurobi”)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Always show the honest comparison</w:t>
            </w:r>
          </w:p>
        </w:tc>
      </w:tr>
      <w:tr>
        <w:tc>
          <w:tcPr>
            <w:tcW w:type="dxa" w:w="3061"/>
            <w:shd w:val="clear" w:color="auto" w:fill="EAF1F8"/>
          </w:tcPr>
          <w:p>
            <w:r/>
            <w:r>
              <w:rPr>
                <w:sz w:val="19"/>
              </w:rPr>
              <w:t>Small team / key-person dependency</w:t>
            </w:r>
          </w:p>
        </w:tc>
        <w:tc>
          <w:tcPr>
            <w:tcW w:type="dxa" w:w="1304"/>
            <w:shd w:val="clear" w:color="auto" w:fill="EAF1F8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1020"/>
            <w:shd w:val="clear" w:color="auto" w:fill="EAF1F8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4252"/>
            <w:shd w:val="clear" w:color="auto" w:fill="EAF1F8"/>
          </w:tcPr>
          <w:p>
            <w:r/>
            <w:r>
              <w:rPr>
                <w:sz w:val="19"/>
              </w:rPr>
              <w:t>Documentation, tests, more people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Free competitors improve faster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Compete on sovereignty and trust</w:t>
            </w:r>
          </w:p>
        </w:tc>
      </w:tr>
    </w:tbl>
    <w:p>
      <w:pPr>
        <w:spacing w:after="0"/>
      </w:pPr>
    </w:p>
    <w:p>
      <w:pPr>
        <w:pStyle w:val="Heading1"/>
      </w:pPr>
      <w:r>
        <w:t>6. Overall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6803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Rating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Technical feasibility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High for LP/QP; medium for MILP</w:t>
            </w:r>
          </w:p>
        </w:tc>
      </w:tr>
      <w:tr>
        <w:tc>
          <w:tcPr>
            <w:tcW w:type="dxa" w:w="2835"/>
            <w:shd w:val="clear" w:color="auto" w:fill="EAF1F8"/>
          </w:tcPr>
          <w:p>
            <w:r/>
            <w:r>
              <w:rPr>
                <w:sz w:val="19"/>
              </w:rPr>
              <w:t>Operational feasibility</w:t>
            </w:r>
          </w:p>
        </w:tc>
        <w:tc>
          <w:tcPr>
            <w:tcW w:type="dxa" w:w="6803"/>
            <w:shd w:val="clear" w:color="auto" w:fill="EAF1F8"/>
          </w:tcPr>
          <w:p>
            <w:r/>
            <w:r>
              <w:rPr>
                <w:sz w:val="19"/>
              </w:rPr>
              <w:t>Medium: works today, not yet enterprise-ready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Economic viability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Medium: viable in niches, weak as a general solver product</w:t>
            </w:r>
          </w:p>
        </w:tc>
      </w:tr>
      <w:tr>
        <w:tc>
          <w:tcPr>
            <w:tcW w:type="dxa" w:w="2835"/>
            <w:shd w:val="clear" w:color="auto" w:fill="EAF1F8"/>
          </w:tcPr>
          <w:p>
            <w:r/>
            <w:r>
              <w:rPr>
                <w:sz w:val="19"/>
              </w:rPr>
              <w:t>Strategic value</w:t>
            </w:r>
          </w:p>
        </w:tc>
        <w:tc>
          <w:tcPr>
            <w:tcW w:type="dxa" w:w="6803"/>
            <w:shd w:val="clear" w:color="auto" w:fill="EAF1F8"/>
          </w:tcPr>
          <w:p>
            <w:r/>
            <w:r>
              <w:rPr>
                <w:sz w:val="19"/>
              </w:rPr>
              <w:t>High: sovereignty and certification are real, underserved needs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Recommendation: </w:t>
      </w:r>
      <w:r>
        <w:t>proceed, positioned as a sovereign, certified optimisation platform for large planning problems (logistics, energy, public sector), not as a replacement for Gurobi.</w:t>
      </w:r>
    </w:p>
    <w:p>
      <w:pPr>
        <w:spacing w:after="80"/>
      </w:pPr>
      <w:r>
        <w:t>Next steps, in order of risk reduction:</w:t>
      </w:r>
    </w:p>
    <w:p>
      <w:pPr>
        <w:pStyle w:val="ListBullet"/>
        <w:spacing w:after="40"/>
      </w:pPr>
      <w:r>
        <w:rPr>
          <w:b/>
        </w:rPr>
        <w:t xml:space="preserve">Pilot </w:t>
      </w:r>
      <w:r>
        <w:t>on real data from one logistics or energy partner.</w:t>
      </w:r>
    </w:p>
    <w:p>
      <w:pPr>
        <w:pStyle w:val="ListBullet"/>
        <w:spacing w:after="40"/>
      </w:pPr>
      <w:r>
        <w:rPr>
          <w:b/>
        </w:rPr>
        <w:t xml:space="preserve">Finish </w:t>
      </w:r>
      <w:r>
        <w:t>the exact polish at 1M+ variables.</w:t>
      </w:r>
    </w:p>
    <w:p>
      <w:pPr>
        <w:pStyle w:val="ListBullet"/>
        <w:spacing w:after="40"/>
      </w:pPr>
      <w:r>
        <w:rPr>
          <w:b/>
        </w:rPr>
        <w:t xml:space="preserve">Package </w:t>
      </w:r>
      <w:r>
        <w:t>a support and deployment offer for on-premise clients.</w:t>
      </w:r>
    </w:p>
    <w:p>
      <w:pPr>
        <w:pStyle w:val="ListBullet"/>
        <w:spacing w:after="40"/>
      </w:pPr>
      <w:r>
        <w:rPr>
          <w:b/>
        </w:rPr>
        <w:t xml:space="preserve">Speed up MILP </w:t>
      </w:r>
      <w:r>
        <w:t>(C++ simplex) once LP/QP use cases prove demand.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