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весьма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Так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  <w:tab/>
        <w:tab/>
        <w:tab/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 а это запятая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символы, входящие в синтаксис языка, такие, как точка с запятой (;) или двоеточие (:),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Например, данная строка содержит в себе точку с запятой, табуляцию и запятую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Это точка с запятой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[SEMICOLON]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табуляция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[TAB]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запятая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Это точка с запятой ;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табуляция</w:t>
        <w:tab/>
        <w:tab/>
        <w:t>а это запятая ,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[COLON]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Двоеточие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[SEMICOLON]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Точка с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[COMMA]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Запятая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[QUOTE]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[TAB]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[ENDL]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[HASH]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символ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Комментарий начинается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 ;# Это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 ;# И это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# Это тоже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56"/>
          <w:szCs w:val="5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тестовая команда, ничего не делающая. Обязателен пробел после двоеточия перед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 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 или выпечатывает общий результат выполнения 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$.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[HASH]1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равна[COLON][TAB]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[HASH]2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равна[COLON][TAB]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'[ENDL]';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TONTG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Принимает либо 1 либо 2 параметра. В случае, если принимается 1 параметр, параметр должен быть именем существующей переменной, а приведенное значение к новому типу записывается в указанную переменную. Если же используется вариант с двумя параметрами, то оба параметра должны быть именами существующих переменных, в таком случае, значение второго параметра приводится к новому типу и записывается в переменную первого параметра. Второй параметр как и первый, НЕ могут быть литералами.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 обоих случаях, если привести переменную к нужному типу не удалось, программа выдает ошибку и завершает свою работу.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TONTG: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TOUNTG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типу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UNTG.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TOUNTG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TODBL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приводящая иной тип переменной к типу D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BL.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Работа с командой точно такая же, как и с командой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TONTG.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TODBL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 $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VAR1, $VAR2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LibreOffice/7.5.0.3$Windows_X86_64 LibreOffice_project/c21113d003cd3efa8c53188764377a8272d9d6de</Application>
  <AppVersion>15.0000</AppVersion>
  <Pages>7</Pages>
  <Words>1102</Words>
  <Characters>7034</Characters>
  <CharactersWithSpaces>8146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2024-07-25T21:48:27Z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