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60"/>
        <w:jc w:val="center"/>
      </w:pPr>
      <w:r>
        <w:rPr>
          <w:b/>
          <w:bCs/>
          <w:color w:val="8A5CF6"/>
          <w:sz w:val="26"/>
          <w:szCs w:val="26"/>
        </w:rPr>
        <w:t xml:space="preserve">BUSINESS REQUIREMENTS DOCUMENT</w:t>
      </w:r>
    </w:p>
    <w:p>
      <w:pPr>
        <w:pBdr>
          <w:bottom w:val="single" w:color="8A5CF6" w:sz="12" w:space="6"/>
        </w:pBdr>
        <w:spacing w:after="60"/>
        <w:jc w:val="center"/>
      </w:pPr>
      <w:r>
        <w:rPr>
          <w:b/>
          <w:bCs/>
          <w:color w:val="000000"/>
          <w:sz w:val="56"/>
          <w:szCs w:val="56"/>
        </w:rPr>
        <w:t xml:space="preserve">Aarambh Bank</w:t>
      </w:r>
    </w:p>
    <w:p>
      <w:pPr>
        <w:spacing w:after="40" w:before="120"/>
        <w:jc w:val="center"/>
      </w:pPr>
      <w:r>
        <w:rPr>
          <w:color w:val="000000"/>
          <w:sz w:val="30"/>
          <w:szCs w:val="30"/>
        </w:rPr>
        <w:t xml:space="preserve">GenAI-Powered Banking Application</w:t>
      </w:r>
    </w:p>
    <w:p>
      <w:pPr>
        <w:spacing w:after="400"/>
        <w:jc w:val="center"/>
      </w:pPr>
      <w:r>
        <w:rPr>
          <w:i/>
          <w:iCs/>
          <w:color w:val="555555"/>
          <w:sz w:val="22"/>
          <w:szCs w:val="22"/>
        </w:rPr>
        <w:t xml:space="preserve">Demo / Training Build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676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Value</w:t>
            </w:r>
          </w:p>
        </w:tc>
      </w:tr>
      <w:tr>
        <w:tc>
          <w:tcPr>
            <w:tcW w:type="dxa" w:w="26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Document Title</w:t>
            </w:r>
          </w:p>
        </w:tc>
        <w:tc>
          <w:tcPr>
            <w:tcW w:type="dxa" w:w="67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BRD — Aarambh Bank (GenAI Banking Application)</w:t>
            </w:r>
          </w:p>
        </w:tc>
      </w:tr>
      <w:tr>
        <w:tc>
          <w:tcPr>
            <w:tcW w:type="dxa" w:w="26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Version</w:t>
            </w:r>
          </w:p>
        </w:tc>
        <w:tc>
          <w:tcPr>
            <w:tcW w:type="dxa" w:w="67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1.1 (Updated for review)</w:t>
            </w:r>
          </w:p>
        </w:tc>
      </w:tr>
      <w:tr>
        <w:tc>
          <w:tcPr>
            <w:tcW w:type="dxa" w:w="26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Status</w:t>
            </w:r>
          </w:p>
        </w:tc>
        <w:tc>
          <w:tcPr>
            <w:tcW w:type="dxa" w:w="67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Draft</w:t>
            </w:r>
          </w:p>
        </w:tc>
      </w:tr>
      <w:tr>
        <w:tc>
          <w:tcPr>
            <w:tcW w:type="dxa" w:w="26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Owner</w:t>
            </w:r>
          </w:p>
        </w:tc>
        <w:tc>
          <w:tcPr>
            <w:tcW w:type="dxa" w:w="67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Rahul — Aarambh AI</w:t>
            </w:r>
          </w:p>
        </w:tc>
      </w:tr>
      <w:tr>
        <w:tc>
          <w:tcPr>
            <w:tcW w:type="dxa" w:w="26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Purpose</w:t>
            </w:r>
          </w:p>
        </w:tc>
        <w:tc>
          <w:tcPr>
            <w:tcW w:type="dxa" w:w="67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Source-of-truth requirements feeding spec-driven development in Claude Code</w:t>
            </w:r>
          </w:p>
        </w:tc>
      </w:tr>
      <w:tr>
        <w:tc>
          <w:tcPr>
            <w:tcW w:type="dxa" w:w="26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Build Type</w:t>
            </w:r>
          </w:p>
        </w:tc>
        <w:tc>
          <w:tcPr>
            <w:tcW w:type="dxa" w:w="67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Teaching / demonstration application (no real money, no production banking compliance)</w:t>
            </w:r>
          </w:p>
        </w:tc>
      </w:tr>
    </w:tbl>
    <w:p>
      <w:pPr>
        <w:spacing w:after="220"/>
      </w:pPr>
    </w:p>
    <w:p>
      <w:pPr>
        <w:spacing w:after="120"/>
      </w:pPr>
      <w:r>
        <w:rPr>
          <w:b/>
          <w:bCs/>
          <w:color w:val="FF2D95"/>
          <w:sz w:val="22"/>
          <w:szCs w:val="22"/>
        </w:rPr>
        <w:t xml:space="preserve">Changes in v1.1:  </w:t>
      </w:r>
      <w:r>
        <w:rPr>
          <w:sz w:val="22"/>
          <w:szCs w:val="22"/>
        </w:rPr>
        <w:t xml:space="preserve">Single MySQL user (root) for the whole app; OpenAI API for the GenAI layer; new login dashboard / account summary; phone number captured at registration; GenAI feature is now a WhatsApp-style chat assistant with conversation memory; brand design system (green / purple / pink, white background, black text); presentable, deployment-ready UI as an explicit requirement.</w:t>
      </w:r>
    </w:p>
    <w:p>
      <w:pPr>
        <w:spacing w:after="160"/>
      </w:pPr>
    </w:p>
    <w:p>
      <w:pPr>
        <w:spacing w:after="120"/>
      </w:pPr>
      <w:r>
        <w:rPr>
          <w:b/>
          <w:bCs/>
          <w:sz w:val="22"/>
          <w:szCs w:val="22"/>
        </w:rPr>
        <w:t xml:space="preserve">How this document is used:  </w:t>
      </w:r>
      <w:r>
        <w:rPr>
          <w:sz w:val="22"/>
          <w:szCs w:val="22"/>
        </w:rPr>
        <w:t xml:space="preserve">Every functional requirement carries an ID (e.g. FR-DEP-01). Each Claude Code spec references these IDs, and each test case references a spec's acceptance criteria — giving the traceability chain: </w:t>
      </w:r>
      <w:r>
        <w:rPr>
          <w:b/>
          <w:bCs/>
          <w:color w:val="8A5CF6"/>
          <w:sz w:val="22"/>
          <w:szCs w:val="22"/>
        </w:rPr>
        <w:t xml:space="preserve">BRD requirement → spec acceptance criterion → test case.</w:t>
      </w:r>
    </w:p>
    <w:p>
      <w:r>
        <w:br w:type="page"/>
      </w:r>
    </w:p>
    <w:p>
      <w:pPr>
        <w:spacing w:after="160"/>
      </w:pPr>
      <w:r>
        <w:rPr>
          <w:b/>
          <w:bCs/>
          <w:color w:val="000000"/>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rPr>
          <w:sz w:val="22"/>
          <w:szCs w:val="22"/>
        </w:rPr>
        <w:t xml:space="preserve">Aarambh Bank is a single-currency, web-based retail banking demo built to teach core banking operations and practical GenAI integration, while serving as the flagship project for demonstrating the full Claude Code development stack (CLAUDE.md, specs, subagents, skills/slash commands, hooks).</w:t>
      </w:r>
    </w:p>
    <w:p>
      <w:pPr>
        <w:spacing w:after="120"/>
      </w:pPr>
      <w:r>
        <w:rPr>
          <w:sz w:val="22"/>
          <w:szCs w:val="22"/>
        </w:rPr>
        <w:t xml:space="preserve">After logging in, a user lands on a summary dashboard showing their account number, current balance, phone number and recent activity, and can deposit and withdraw funds, view and download a bank statement, and chat with a GenAI assistant about their spending in a WhatsApp-style conversational interface that remembers the conversation. The application is built to be visually polished and deployment-ready, using the Aarambh brand palette. It remains a learning artifact: it favours clarity and correct patterns over real-world banking completeness.</w:t>
      </w:r>
    </w:p>
    <w:p>
      <w:pPr>
        <w:pStyle w:val="Heading1"/>
      </w:pPr>
      <w:r>
        <w:t xml:space="preserve">2. Business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06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Objective</w:t>
            </w:r>
          </w:p>
        </w:tc>
      </w:tr>
      <w:tr>
        <w:tc>
          <w:tcPr>
            <w:tcW w:type="dxa" w:w="13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BO-01</w:t>
            </w:r>
          </w:p>
        </w:tc>
        <w:tc>
          <w:tcPr>
            <w:tcW w:type="dxa" w:w="80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Demonstrate end-to-end spec-driven development using Claude Code on a realistic, well-bounded domain.</w:t>
            </w:r>
          </w:p>
        </w:tc>
      </w:tr>
      <w:tr>
        <w:tc>
          <w:tcPr>
            <w:tcW w:type="dxa" w:w="13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BO-02</w:t>
            </w:r>
          </w:p>
        </w:tc>
        <w:tc>
          <w:tcPr>
            <w:tcW w:type="dxa" w:w="80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Teach correct banking fundamentals: atomic transactions, money precision, auditability.</w:t>
            </w:r>
          </w:p>
        </w:tc>
      </w:tr>
      <w:tr>
        <w:tc>
          <w:tcPr>
            <w:tcW w:type="dxa" w:w="13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BO-03</w:t>
            </w:r>
          </w:p>
        </w:tc>
        <w:tc>
          <w:tcPr>
            <w:tcW w:type="dxa" w:w="80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Teach a practical pattern for embedding a conversational LLM feature (chat with memory + guarded text-to-SQL) over the user's own data.</w:t>
            </w:r>
          </w:p>
        </w:tc>
      </w:tr>
      <w:tr>
        <w:tc>
          <w:tcPr>
            <w:tcW w:type="dxa" w:w="13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BO-04</w:t>
            </w:r>
          </w:p>
        </w:tc>
        <w:tc>
          <w:tcPr>
            <w:tcW w:type="dxa" w:w="80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Produce a polished, presentable, deployment-ready teaching asset that learners can run locally and demo.</w:t>
            </w:r>
          </w:p>
        </w:tc>
      </w:tr>
    </w:tbl>
    <w:p>
      <w:pPr>
        <w:pStyle w:val="Heading1"/>
      </w:pPr>
      <w:r>
        <w:t xml:space="preserve">3. Scope</w:t>
      </w:r>
    </w:p>
    <w:p>
      <w:pPr>
        <w:pStyle w:val="Heading2"/>
      </w:pPr>
      <w:r>
        <w:t xml:space="preserve">3.1 In Scope</w:t>
      </w:r>
    </w:p>
    <w:p>
      <w:pPr>
        <w:pStyle w:val="ListParagraph"/>
        <w:numPr>
          <w:ilvl w:val="0"/>
          <w:numId w:val="2"/>
        </w:numPr>
        <w:spacing w:after="60"/>
      </w:pPr>
      <w:r>
        <w:rPr>
          <w:sz w:val="22"/>
          <w:szCs w:val="22"/>
        </w:rPr>
        <w:t xml:space="preserve">User authentication (register with phone number, login, logout, session).</w:t>
      </w:r>
    </w:p>
    <w:p>
      <w:pPr>
        <w:pStyle w:val="ListParagraph"/>
        <w:numPr>
          <w:ilvl w:val="0"/>
          <w:numId w:val="2"/>
        </w:numPr>
        <w:spacing w:after="60"/>
      </w:pPr>
      <w:r>
        <w:rPr>
          <w:sz w:val="22"/>
          <w:szCs w:val="22"/>
        </w:rPr>
        <w:t xml:space="preserve">Login dashboard / account summary (balance, account number, phone, recent transactions, quick actions).</w:t>
      </w:r>
    </w:p>
    <w:p>
      <w:pPr>
        <w:pStyle w:val="ListParagraph"/>
        <w:numPr>
          <w:ilvl w:val="0"/>
          <w:numId w:val="2"/>
        </w:numPr>
        <w:spacing w:after="60"/>
      </w:pPr>
      <w:r>
        <w:rPr>
          <w:sz w:val="22"/>
          <w:szCs w:val="22"/>
        </w:rPr>
        <w:t xml:space="preserve">Single account per user (savings-style), single currency (INR).</w:t>
      </w:r>
    </w:p>
    <w:p>
      <w:pPr>
        <w:pStyle w:val="ListParagraph"/>
        <w:numPr>
          <w:ilvl w:val="0"/>
          <w:numId w:val="2"/>
        </w:numPr>
        <w:spacing w:after="60"/>
      </w:pPr>
      <w:r>
        <w:rPr>
          <w:sz w:val="22"/>
          <w:szCs w:val="22"/>
        </w:rPr>
        <w:t xml:space="preserve">Deposit, withdraw, balance enquiry.</w:t>
      </w:r>
    </w:p>
    <w:p>
      <w:pPr>
        <w:pStyle w:val="ListParagraph"/>
        <w:numPr>
          <w:ilvl w:val="0"/>
          <w:numId w:val="2"/>
        </w:numPr>
        <w:spacing w:after="60"/>
      </w:pPr>
      <w:r>
        <w:rPr>
          <w:sz w:val="22"/>
          <w:szCs w:val="22"/>
        </w:rPr>
        <w:t xml:space="preserve">Transaction history and downloadable bank statement.</w:t>
      </w:r>
    </w:p>
    <w:p>
      <w:pPr>
        <w:pStyle w:val="ListParagraph"/>
        <w:numPr>
          <w:ilvl w:val="0"/>
          <w:numId w:val="2"/>
        </w:numPr>
        <w:spacing w:after="60"/>
      </w:pPr>
      <w:r>
        <w:rPr>
          <w:sz w:val="22"/>
          <w:szCs w:val="22"/>
        </w:rPr>
        <w:t xml:space="preserve">GenAI conversational chat assistant (WhatsApp-style) with memory over the logged-in user's data.</w:t>
      </w:r>
    </w:p>
    <w:p>
      <w:pPr>
        <w:pStyle w:val="ListParagraph"/>
        <w:numPr>
          <w:ilvl w:val="0"/>
          <w:numId w:val="2"/>
        </w:numPr>
        <w:spacing w:after="60"/>
      </w:pPr>
      <w:r>
        <w:rPr>
          <w:sz w:val="22"/>
          <w:szCs w:val="22"/>
        </w:rPr>
        <w:t xml:space="preserve">Demo data seeding for realistic analysis.</w:t>
      </w:r>
    </w:p>
    <w:p>
      <w:pPr>
        <w:pStyle w:val="ListParagraph"/>
        <w:numPr>
          <w:ilvl w:val="0"/>
          <w:numId w:val="2"/>
        </w:numPr>
        <w:spacing w:after="60"/>
      </w:pPr>
      <w:r>
        <w:rPr>
          <w:sz w:val="22"/>
          <w:szCs w:val="22"/>
        </w:rPr>
        <w:t xml:space="preserve">Polished Streamlit frontend using the Aarambh brand design system; deployment-ready.</w:t>
      </w:r>
    </w:p>
    <w:p>
      <w:pPr>
        <w:pStyle w:val="Heading2"/>
      </w:pPr>
      <w:r>
        <w:t xml:space="preserve">3.2 Out of Scope</w:t>
      </w:r>
    </w:p>
    <w:p>
      <w:pPr>
        <w:pStyle w:val="ListParagraph"/>
        <w:numPr>
          <w:ilvl w:val="0"/>
          <w:numId w:val="2"/>
        </w:numPr>
        <w:spacing w:after="60"/>
      </w:pPr>
      <w:r>
        <w:rPr>
          <w:sz w:val="22"/>
          <w:szCs w:val="22"/>
        </w:rPr>
        <w:t xml:space="preserve">Real payments, inter-bank transfers, UPI/cards, interest accrual.</w:t>
      </w:r>
    </w:p>
    <w:p>
      <w:pPr>
        <w:pStyle w:val="ListParagraph"/>
        <w:numPr>
          <w:ilvl w:val="0"/>
          <w:numId w:val="2"/>
        </w:numPr>
        <w:spacing w:after="60"/>
      </w:pPr>
      <w:r>
        <w:rPr>
          <w:sz w:val="22"/>
          <w:szCs w:val="22"/>
        </w:rPr>
        <w:t xml:space="preserve">Multi-currency, multiple accounts per user, joint accounts.</w:t>
      </w:r>
    </w:p>
    <w:p>
      <w:pPr>
        <w:pStyle w:val="ListParagraph"/>
        <w:numPr>
          <w:ilvl w:val="0"/>
          <w:numId w:val="2"/>
        </w:numPr>
        <w:spacing w:after="60"/>
      </w:pPr>
      <w:r>
        <w:rPr>
          <w:sz w:val="22"/>
          <w:szCs w:val="22"/>
        </w:rPr>
        <w:t xml:space="preserve">KYC, regulatory compliance, AML, real PII handling.</w:t>
      </w:r>
    </w:p>
    <w:p>
      <w:pPr>
        <w:pStyle w:val="ListParagraph"/>
        <w:numPr>
          <w:ilvl w:val="0"/>
          <w:numId w:val="2"/>
        </w:numPr>
        <w:spacing w:after="60"/>
      </w:pPr>
      <w:r>
        <w:rPr>
          <w:sz w:val="22"/>
          <w:szCs w:val="22"/>
        </w:rPr>
        <w:t xml:space="preserve">Admin / teller back office (may be a future module).</w:t>
      </w:r>
    </w:p>
    <w:p>
      <w:pPr>
        <w:pStyle w:val="ListParagraph"/>
        <w:numPr>
          <w:ilvl w:val="0"/>
          <w:numId w:val="2"/>
        </w:numPr>
        <w:spacing w:after="60"/>
      </w:pPr>
      <w:r>
        <w:rPr>
          <w:sz w:val="22"/>
          <w:szCs w:val="22"/>
        </w:rPr>
        <w:t xml:space="preserve">Mobile-native app, production security hardening (single root DB user is demo-only).</w:t>
      </w:r>
    </w:p>
    <w:p>
      <w:pPr>
        <w:pStyle w:val="Heading1"/>
      </w:pPr>
      <w:r>
        <w:t xml:space="preserve">4. Stakeholders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Stakeholder</w:t>
            </w:r>
          </w:p>
        </w:tc>
        <w:tc>
          <w:tcPr>
            <w:tcW w:type="dxa" w:w="636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Interest</w:t>
            </w:r>
          </w:p>
        </w:tc>
      </w:tr>
      <w:tr>
        <w:tc>
          <w:tcPr>
            <w:tcW w:type="dxa" w:w="30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Course learners</w:t>
            </w:r>
          </w:p>
        </w:tc>
        <w:tc>
          <w:tcPr>
            <w:tcW w:type="dxa" w:w="63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Follow the build; understand each Claude Code feature in context.</w:t>
            </w:r>
          </w:p>
        </w:tc>
      </w:tr>
      <w:tr>
        <w:tc>
          <w:tcPr>
            <w:tcW w:type="dxa" w:w="30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End user (persona “Priya”)</w:t>
            </w:r>
          </w:p>
        </w:tc>
        <w:tc>
          <w:tcPr>
            <w:tcW w:type="dxa" w:w="63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Logs in, sees her summary, moves demo money, and chats with the assistant about spending.</w:t>
            </w:r>
          </w:p>
        </w:tc>
      </w:tr>
      <w:tr>
        <w:tc>
          <w:tcPr>
            <w:tcW w:type="dxa" w:w="30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Aarambh AI (Rahul)</w:t>
            </w:r>
          </w:p>
        </w:tc>
        <w:tc>
          <w:tcPr>
            <w:tcW w:type="dxa" w:w="63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Owns the asset; uses it for YouTube / corporate training and as a deployable demo.</w:t>
            </w:r>
          </w:p>
        </w:tc>
      </w:tr>
    </w:tbl>
    <w:p>
      <w:pPr>
        <w:spacing w:after="120"/>
      </w:pPr>
      <w:r>
        <w:rPr>
          <w:b/>
          <w:bCs/>
          <w:sz w:val="22"/>
          <w:szCs w:val="22"/>
        </w:rPr>
        <w:t xml:space="preserve">Primary persona — Priya, 29, salaried professional: </w:t>
      </w:r>
      <w:r>
        <w:rPr>
          <w:sz w:val="22"/>
          <w:szCs w:val="22"/>
        </w:rPr>
        <w:t xml:space="preserve">comfortable with apps, not technical. Wants a clean dashboard at a glance and to casually ask “where is my money going?” in a chat that remembers what she just asked.</w:t>
      </w:r>
    </w:p>
    <w:p>
      <w:pPr>
        <w:pStyle w:val="Heading1"/>
      </w:pPr>
      <w:r>
        <w:t xml:space="preserve">5. Assumptions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06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Assumption / Constraint</w:t>
            </w:r>
          </w:p>
        </w:tc>
      </w:tr>
      <w:tr>
        <w:tc>
          <w:tcPr>
            <w:tcW w:type="dxa" w:w="13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AC-01</w:t>
            </w:r>
          </w:p>
        </w:tc>
        <w:tc>
          <w:tcPr>
            <w:tcW w:type="dxa" w:w="80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MySQL is installed locally and reachable; the app connects via a connection string.</w:t>
            </w:r>
          </w:p>
        </w:tc>
      </w:tr>
      <w:tr>
        <w:tc>
          <w:tcPr>
            <w:tcW w:type="dxa" w:w="13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AC-02</w:t>
            </w:r>
          </w:p>
        </w:tc>
        <w:tc>
          <w:tcPr>
            <w:tcW w:type="dxa" w:w="80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A single MySQL user (root) is used for all database access in this demo. (Production would use a least-privilege, read-only user for the AI layer.)</w:t>
            </w:r>
          </w:p>
        </w:tc>
      </w:tr>
      <w:tr>
        <w:tc>
          <w:tcPr>
            <w:tcW w:type="dxa" w:w="13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AC-03</w:t>
            </w:r>
          </w:p>
        </w:tc>
        <w:tc>
          <w:tcPr>
            <w:tcW w:type="dxa" w:w="80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All monetary values stored as DECIMAL(15,2); application logic uses Python Decimal, never float.</w:t>
            </w:r>
          </w:p>
        </w:tc>
      </w:tr>
      <w:tr>
        <w:tc>
          <w:tcPr>
            <w:tcW w:type="dxa" w:w="13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AC-04</w:t>
            </w:r>
          </w:p>
        </w:tc>
        <w:tc>
          <w:tcPr>
            <w:tcW w:type="dxa" w:w="80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Single currency (INR). No FX.</w:t>
            </w:r>
          </w:p>
        </w:tc>
      </w:tr>
      <w:tr>
        <w:tc>
          <w:tcPr>
            <w:tcW w:type="dxa" w:w="13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AC-05</w:t>
            </w:r>
          </w:p>
        </w:tc>
        <w:tc>
          <w:tcPr>
            <w:tcW w:type="dxa" w:w="80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OpenAI API key supplied via environment variable; never hardcoded or logged.</w:t>
            </w:r>
          </w:p>
        </w:tc>
      </w:tr>
      <w:tr>
        <w:tc>
          <w:tcPr>
            <w:tcW w:type="dxa" w:w="13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AC-06</w:t>
            </w:r>
          </w:p>
        </w:tc>
        <w:tc>
          <w:tcPr>
            <w:tcW w:type="dxa" w:w="80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This is a demo: no real funds, no real customer PII.</w:t>
            </w:r>
          </w:p>
        </w:tc>
      </w:tr>
    </w:tbl>
    <w:p>
      <w:pPr>
        <w:pStyle w:val="Heading1"/>
      </w:pPr>
      <w:r>
        <w:t xml:space="preserve">6. Functional Requirements</w:t>
      </w:r>
    </w:p>
    <w:p>
      <w:pPr>
        <w:pStyle w:val="Heading2"/>
      </w:pPr>
      <w:r>
        <w:t xml:space="preserve">6.1 Authentication (FR-AUTH)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766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FR-AUTH-01</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 visitor can register with a unique username, email, phone number, and password.</w:t>
            </w:r>
          </w:p>
        </w:tc>
      </w:tr>
      <w:tr>
        <w:tc>
          <w:tcPr>
            <w:tcW w:type="dxa" w:w="17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FR-AUTH-02</w:t>
            </w:r>
          </w:p>
        </w:tc>
        <w:tc>
          <w:tcPr>
            <w:tcW w:type="dxa" w:w="76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Passwords are stored only as bcrypt hashes; plaintext is never persisted or logged.</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FR-AUTH-03</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 registered user can log in; invalid credentials return a generic failure (no user enumeration).</w:t>
            </w:r>
          </w:p>
        </w:tc>
      </w:tr>
      <w:tr>
        <w:tc>
          <w:tcPr>
            <w:tcW w:type="dxa" w:w="17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FR-AUTH-04</w:t>
            </w:r>
          </w:p>
        </w:tc>
        <w:tc>
          <w:tcPr>
            <w:tcW w:type="dxa" w:w="76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A logged-in session persists across pages until logout or expiry.</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FR-AUTH-05</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 user can log out, clearing the session.</w:t>
            </w:r>
          </w:p>
        </w:tc>
      </w:tr>
      <w:tr>
        <w:tc>
          <w:tcPr>
            <w:tcW w:type="dxa" w:w="17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FR-AUTH-06</w:t>
            </w:r>
          </w:p>
        </w:tc>
        <w:tc>
          <w:tcPr>
            <w:tcW w:type="dxa" w:w="76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All account, transaction, and chat operations require an authenticated session.</w:t>
            </w:r>
          </w:p>
        </w:tc>
      </w:tr>
    </w:tbl>
    <w:p>
      <w:pPr>
        <w:pStyle w:val="Heading2"/>
      </w:pPr>
      <w:r>
        <w:t xml:space="preserve">6.2 Account Creation (FR-ACC)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766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FR-ACC-01</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On first login (or via “Open Account”), a user can create exactly one bank account.</w:t>
            </w:r>
          </w:p>
        </w:tc>
      </w:tr>
      <w:tr>
        <w:tc>
          <w:tcPr>
            <w:tcW w:type="dxa" w:w="17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FR-ACC-02</w:t>
            </w:r>
          </w:p>
        </w:tc>
        <w:tc>
          <w:tcPr>
            <w:tcW w:type="dxa" w:w="76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Each account gets a unique account number and an opening balance of 0.00.</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FR-ACC-03</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 user cannot create a second account (enforced at DB + application layer).</w:t>
            </w:r>
          </w:p>
        </w:tc>
      </w:tr>
      <w:tr>
        <w:tc>
          <w:tcPr>
            <w:tcW w:type="dxa" w:w="17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FR-ACC-04</w:t>
            </w:r>
          </w:p>
        </w:tc>
        <w:tc>
          <w:tcPr>
            <w:tcW w:type="dxa" w:w="76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Account number is masked in the UI except last 4 digits; full number never logged.</w:t>
            </w:r>
          </w:p>
        </w:tc>
      </w:tr>
    </w:tbl>
    <w:p>
      <w:pPr>
        <w:pStyle w:val="Heading2"/>
      </w:pPr>
      <w:r>
        <w:t xml:space="preserve">6.3 Login Dashboard / Account Summary (FR-DASH)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766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FR-DASH-01</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Immediately after login, the user sees a summary dashboard.</w:t>
            </w:r>
          </w:p>
        </w:tc>
      </w:tr>
      <w:tr>
        <w:tc>
          <w:tcPr>
            <w:tcW w:type="dxa" w:w="17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FR-DASH-02</w:t>
            </w:r>
          </w:p>
        </w:tc>
        <w:tc>
          <w:tcPr>
            <w:tcW w:type="dxa" w:w="76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The dashboard displays: account holder name, masked account number, current balance, registered phone number, and email.</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FR-DASH-03</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The dashboard shows the most recent transactions (e.g. last 5) with type, amount, and date.</w:t>
            </w:r>
          </w:p>
        </w:tc>
      </w:tr>
      <w:tr>
        <w:tc>
          <w:tcPr>
            <w:tcW w:type="dxa" w:w="17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FR-DASH-04</w:t>
            </w:r>
          </w:p>
        </w:tc>
        <w:tc>
          <w:tcPr>
            <w:tcW w:type="dxa" w:w="76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The dashboard offers quick actions / navigation to Deposit, Withdraw, Statement, and Chat Assistant.</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FR-DASH-05</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All figures reflect live data and update after any deposit or withdrawal.</w:t>
            </w:r>
          </w:p>
        </w:tc>
      </w:tr>
    </w:tbl>
    <w:p>
      <w:pPr>
        <w:pStyle w:val="Heading2"/>
      </w:pPr>
      <w:r>
        <w:t xml:space="preserve">6.4 Deposit (FR-DEP)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766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FR-DEP-01</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 user can deposit a positive amount into their account.</w:t>
            </w:r>
          </w:p>
        </w:tc>
      </w:tr>
      <w:tr>
        <w:tc>
          <w:tcPr>
            <w:tcW w:type="dxa" w:w="17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FR-DEP-02</w:t>
            </w:r>
          </w:p>
        </w:tc>
        <w:tc>
          <w:tcPr>
            <w:tcW w:type="dxa" w:w="76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Deposit amount must be &gt; 0.00; zero/negative is rejected with a clear message.</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FR-DEP-03</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 successful deposit increases balance and writes a CREDIT transaction record atomically.</w:t>
            </w:r>
          </w:p>
        </w:tc>
      </w:tr>
      <w:tr>
        <w:tc>
          <w:tcPr>
            <w:tcW w:type="dxa" w:w="17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FR-DEP-04</w:t>
            </w:r>
          </w:p>
        </w:tc>
        <w:tc>
          <w:tcPr>
            <w:tcW w:type="dxa" w:w="76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A deposit may carry an optional category and note (used by analytics).</w:t>
            </w:r>
          </w:p>
        </w:tc>
      </w:tr>
    </w:tbl>
    <w:p>
      <w:pPr>
        <w:pStyle w:val="Heading2"/>
      </w:pPr>
      <w:r>
        <w:t xml:space="preserve">6.5 Withdraw (FR-WD)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766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FR-WD-01</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 user can withdraw a positive amount from their account.</w:t>
            </w:r>
          </w:p>
        </w:tc>
      </w:tr>
      <w:tr>
        <w:tc>
          <w:tcPr>
            <w:tcW w:type="dxa" w:w="17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FR-WD-02</w:t>
            </w:r>
          </w:p>
        </w:tc>
        <w:tc>
          <w:tcPr>
            <w:tcW w:type="dxa" w:w="76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Withdrawal is rejected if amount &gt; current balance (no overdraft in demo).</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FR-WD-03</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 successful withdrawal decreases balance and writes a DEBIT transaction record atomically.</w:t>
            </w:r>
          </w:p>
        </w:tc>
      </w:tr>
      <w:tr>
        <w:tc>
          <w:tcPr>
            <w:tcW w:type="dxa" w:w="17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FR-WD-04</w:t>
            </w:r>
          </w:p>
        </w:tc>
        <w:tc>
          <w:tcPr>
            <w:tcW w:type="dxa" w:w="76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Balance and transaction write occur in a single DB transaction; partial updates are impossible.</w:t>
            </w:r>
          </w:p>
        </w:tc>
      </w:tr>
    </w:tbl>
    <w:p>
      <w:pPr>
        <w:pStyle w:val="Heading2"/>
      </w:pPr>
      <w:r>
        <w:t xml:space="preserve">6.6 Bank Statement (FR-STMT)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766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FR-STMT-01</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 user can view their transaction history, newest first, with running balance.</w:t>
            </w:r>
          </w:p>
        </w:tc>
      </w:tr>
      <w:tr>
        <w:tc>
          <w:tcPr>
            <w:tcW w:type="dxa" w:w="17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FR-STMT-02</w:t>
            </w:r>
          </w:p>
        </w:tc>
        <w:tc>
          <w:tcPr>
            <w:tcW w:type="dxa" w:w="76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History can be filtered by date range and by type (credit/debit).</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FR-STMT-03</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 user can download the statement (CSV; PDF optional) for a selected period.</w:t>
            </w:r>
          </w:p>
        </w:tc>
      </w:tr>
      <w:tr>
        <w:tc>
          <w:tcPr>
            <w:tcW w:type="dxa" w:w="17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FR-STMT-04</w:t>
            </w:r>
          </w:p>
        </w:tc>
        <w:tc>
          <w:tcPr>
            <w:tcW w:type="dxa" w:w="76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Statement shows only the logged-in user's data; cross-user access is impossible.</w:t>
            </w:r>
          </w:p>
        </w:tc>
      </w:tr>
    </w:tbl>
    <w:p>
      <w:pPr>
        <w:pStyle w:val="Heading2"/>
      </w:pPr>
      <w:r>
        <w:t xml:space="preserve">6.7 GenAI Chat Assistant (FR-AI)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766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FR-AI-01</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The assistant is presented as a WhatsApp-style chat: user messages right-aligned, assistant messages left-aligned, in a scrolling conversation.</w:t>
            </w:r>
          </w:p>
        </w:tc>
      </w:tr>
      <w:tr>
        <w:tc>
          <w:tcPr>
            <w:tcW w:type="dxa" w:w="17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FR-AI-02</w:t>
            </w:r>
          </w:p>
        </w:tc>
        <w:tc>
          <w:tcPr>
            <w:tcW w:type="dxa" w:w="76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The conversation has memory: the assistant retains prior turns in the session and can answer follow-up questions in context (continuous chat).</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FR-AI-03</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The user can ask free-text questions about their own account and spending and receive accurate, data-grounded answers (balance, totals by category, trends, recent activity).</w:t>
            </w:r>
          </w:p>
        </w:tc>
      </w:tr>
      <w:tr>
        <w:tc>
          <w:tcPr>
            <w:tcW w:type="dxa" w:w="17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FR-AI-04</w:t>
            </w:r>
          </w:p>
        </w:tc>
        <w:tc>
          <w:tcPr>
            <w:tcW w:type="dxa" w:w="76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The assistant answers using only the logged-in user's data; it never fabricates figures and never exposes another user's data.</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FR-AI-05</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For data questions, the LLM (OpenAI API) produces a parameterized SQL query scoped to the current user; the app validates it is a single read-only SELECT before executing it, then summarizes the result conversationally.</w:t>
            </w:r>
          </w:p>
        </w:tc>
      </w:tr>
      <w:tr>
        <w:tc>
          <w:tcPr>
            <w:tcW w:type="dxa" w:w="17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FR-AI-06</w:t>
            </w:r>
          </w:p>
        </w:tc>
        <w:tc>
          <w:tcPr>
            <w:tcW w:type="dxa" w:w="76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Any generated query that is not a single user-scoped SELECT is rejected and never executed (code-level guard, since a single root DB user is in use).</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FR-AI-07</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Conversation memory persists for the duration of the session; clearing the chat resets the memory.</w:t>
            </w:r>
          </w:p>
        </w:tc>
      </w:tr>
    </w:tbl>
    <w:p>
      <w:pPr>
        <w:pStyle w:val="Heading2"/>
      </w:pPr>
      <w:r>
        <w:t xml:space="preserve">6.8 Demo Data Seeding (FR-SEED)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766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FR-SEED-01</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 seeding capability generates N demo users, each with M months of realistic, categorized transactions.</w:t>
            </w:r>
          </w:p>
        </w:tc>
      </w:tr>
      <w:tr>
        <w:tc>
          <w:tcPr>
            <w:tcW w:type="dxa" w:w="17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FR-SEED-02</w:t>
            </w:r>
          </w:p>
        </w:tc>
        <w:tc>
          <w:tcPr>
            <w:tcW w:type="dxa" w:w="76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Categories cover common spend types (food, transport, shopping, bills, entertainment, salary credit).</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FR-SEED-03</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Seeded balances are internally consistent (running balance never goes negative).</w:t>
            </w:r>
          </w:p>
        </w:tc>
      </w:tr>
      <w:tr>
        <w:tc>
          <w:tcPr>
            <w:tcW w:type="dxa" w:w="17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FR-SEED-04</w:t>
            </w:r>
          </w:p>
        </w:tc>
        <w:tc>
          <w:tcPr>
            <w:tcW w:type="dxa" w:w="76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Seeding is idempotent or clearly resettable (re-running does not corrupt data).</w:t>
            </w:r>
          </w:p>
        </w:tc>
      </w:tr>
      <w:tr>
        <w:tc>
          <w:tcPr>
            <w:tcW w:type="dxa" w:w="17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FR-SEED-05</w:t>
            </w:r>
          </w:p>
        </w:tc>
        <w:tc>
          <w:tcPr>
            <w:tcW w:type="dxa" w:w="76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Delivered as a Claude Code skill (/seed-data &lt;users&gt; &lt;months&gt;), invokable manually or autonomously during testing.</w:t>
            </w:r>
          </w:p>
        </w:tc>
      </w:tr>
    </w:tbl>
    <w:p>
      <w:pPr>
        <w:pStyle w:val="Heading1"/>
      </w:pPr>
      <w: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6260"/>
      </w:tblGrid>
      <w:tr>
        <w:trPr>
          <w:tblHeader/>
        </w:trPr>
        <w:tc>
          <w:tcPr>
            <w:tcW w:type="dxa" w:w="12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19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626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12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NFR-01</w:t>
            </w:r>
          </w:p>
        </w:tc>
        <w:tc>
          <w:tcPr>
            <w:tcW w:type="dxa" w:w="19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Security</w:t>
            </w:r>
          </w:p>
        </w:tc>
        <w:tc>
          <w:tcPr>
            <w:tcW w:type="dxa" w:w="62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Secrets only via env vars; never committed or logged. Bcrypt for passwords. AI-generated SQL validated as read-only and user-scoped before execution.</w:t>
            </w:r>
          </w:p>
        </w:tc>
      </w:tr>
      <w:tr>
        <w:tc>
          <w:tcPr>
            <w:tcW w:type="dxa" w:w="12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NFR-02</w:t>
            </w:r>
          </w:p>
        </w:tc>
        <w:tc>
          <w:tcPr>
            <w:tcW w:type="dxa" w:w="19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Data integrity</w:t>
            </w:r>
          </w:p>
        </w:tc>
        <w:tc>
          <w:tcPr>
            <w:tcW w:type="dxa" w:w="62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All balance-changing operations are atomic (single DB transaction). Money as DECIMAL / Decimal.</w:t>
            </w:r>
          </w:p>
        </w:tc>
      </w:tr>
      <w:tr>
        <w:tc>
          <w:tcPr>
            <w:tcW w:type="dxa" w:w="12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NFR-03</w:t>
            </w:r>
          </w:p>
        </w:tc>
        <w:tc>
          <w:tcPr>
            <w:tcW w:type="dxa" w:w="19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Privacy</w:t>
            </w:r>
          </w:p>
        </w:tc>
        <w:tc>
          <w:tcPr>
            <w:tcW w:type="dxa" w:w="62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Full account numbers and PII are never written to logs.</w:t>
            </w:r>
          </w:p>
        </w:tc>
      </w:tr>
      <w:tr>
        <w:tc>
          <w:tcPr>
            <w:tcW w:type="dxa" w:w="12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NFR-04</w:t>
            </w:r>
          </w:p>
        </w:tc>
        <w:tc>
          <w:tcPr>
            <w:tcW w:type="dxa" w:w="19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Usability</w:t>
            </w:r>
          </w:p>
        </w:tc>
        <w:tc>
          <w:tcPr>
            <w:tcW w:type="dxa" w:w="62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Clean dashboard-first flow; clear error messages; no banking jargon for the end user; chat behaves like a familiar messaging app.</w:t>
            </w:r>
          </w:p>
        </w:tc>
      </w:tr>
      <w:tr>
        <w:tc>
          <w:tcPr>
            <w:tcW w:type="dxa" w:w="12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NFR-05</w:t>
            </w:r>
          </w:p>
        </w:tc>
        <w:tc>
          <w:tcPr>
            <w:tcW w:type="dxa" w:w="19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Performance</w:t>
            </w:r>
          </w:p>
        </w:tc>
        <w:tc>
          <w:tcPr>
            <w:tcW w:type="dxa" w:w="62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Common operations respond within ~2s on local MySQL; chat responses stream/return promptly.</w:t>
            </w:r>
          </w:p>
        </w:tc>
      </w:tr>
      <w:tr>
        <w:tc>
          <w:tcPr>
            <w:tcW w:type="dxa" w:w="12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NFR-06</w:t>
            </w:r>
          </w:p>
        </w:tc>
        <w:tc>
          <w:tcPr>
            <w:tcW w:type="dxa" w:w="19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Maintainability</w:t>
            </w:r>
          </w:p>
        </w:tc>
        <w:tc>
          <w:tcPr>
            <w:tcW w:type="dxa" w:w="62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Code organized by feature; each feature maps to a spec; conventions defined in CLAUDE.md.</w:t>
            </w:r>
          </w:p>
        </w:tc>
      </w:tr>
      <w:tr>
        <w:tc>
          <w:tcPr>
            <w:tcW w:type="dxa" w:w="12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NFR-07</w:t>
            </w:r>
          </w:p>
        </w:tc>
        <w:tc>
          <w:tcPr>
            <w:tcW w:type="dxa" w:w="19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Testability</w:t>
            </w:r>
          </w:p>
        </w:tc>
        <w:tc>
          <w:tcPr>
            <w:tcW w:type="dxa" w:w="62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Every acceptance criterion has at least one automated test; end-to-end flow is scripted.</w:t>
            </w:r>
          </w:p>
        </w:tc>
      </w:tr>
      <w:tr>
        <w:tc>
          <w:tcPr>
            <w:tcW w:type="dxa" w:w="12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NFR-08</w:t>
            </w:r>
          </w:p>
        </w:tc>
        <w:tc>
          <w:tcPr>
            <w:tcW w:type="dxa" w:w="19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Presentation &amp; Deployment</w:t>
            </w:r>
          </w:p>
        </w:tc>
        <w:tc>
          <w:tcPr>
            <w:tcW w:type="dxa" w:w="62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UI is visually polished and consistent with the brand design system (Section 12), responsive, and ready to deploy (documented setup, env-based config).</w:t>
            </w:r>
          </w:p>
        </w:tc>
      </w:tr>
    </w:tbl>
    <w:p>
      <w:pPr>
        <w:pStyle w:val="Heading1"/>
      </w:pPr>
      <w:r>
        <w:t xml:space="preserve">8. Data Model (High Level)</w:t>
      </w:r>
    </w:p>
    <w:p>
      <w:pPr>
        <w:pStyle w:val="ListParagraph"/>
        <w:numPr>
          <w:ilvl w:val="0"/>
          <w:numId w:val="2"/>
        </w:numPr>
        <w:spacing w:after="60"/>
      </w:pPr>
      <w:r>
        <w:rPr>
          <w:sz w:val="22"/>
          <w:szCs w:val="22"/>
        </w:rPr>
        <w:t xml:space="preserve">users — id, username (unique), email, phone, password_hash, created_at.</w:t>
      </w:r>
    </w:p>
    <w:p>
      <w:pPr>
        <w:pStyle w:val="ListParagraph"/>
        <w:numPr>
          <w:ilvl w:val="0"/>
          <w:numId w:val="2"/>
        </w:numPr>
        <w:spacing w:after="60"/>
      </w:pPr>
      <w:r>
        <w:rPr>
          <w:sz w:val="22"/>
          <w:szCs w:val="22"/>
        </w:rPr>
        <w:t xml:space="preserve">accounts — id, user_id (FK, unique → one account per user), account_number (unique), balance DECIMAL(15,2), created_at.</w:t>
      </w:r>
    </w:p>
    <w:p>
      <w:pPr>
        <w:pStyle w:val="ListParagraph"/>
        <w:numPr>
          <w:ilvl w:val="0"/>
          <w:numId w:val="2"/>
        </w:numPr>
        <w:spacing w:after="60"/>
      </w:pPr>
      <w:r>
        <w:rPr>
          <w:sz w:val="22"/>
          <w:szCs w:val="22"/>
        </w:rPr>
        <w:t xml:space="preserve">transactions — id, account_id (FK), type (CREDIT/DEBIT), amount DECIMAL(15,2), category, note, created_at, balance_after DECIMAL(15,2).</w:t>
      </w:r>
    </w:p>
    <w:p>
      <w:pPr>
        <w:pStyle w:val="ListParagraph"/>
        <w:numPr>
          <w:ilvl w:val="0"/>
          <w:numId w:val="2"/>
        </w:numPr>
        <w:spacing w:after="60"/>
      </w:pPr>
      <w:r>
        <w:rPr>
          <w:sz w:val="22"/>
          <w:szCs w:val="22"/>
        </w:rPr>
        <w:t xml:space="preserve">chat_messages (optional) — id, user_id (FK), role (user/assistant), content, created_at (if chat history is persisted beyond the session).</w:t>
      </w:r>
    </w:p>
    <w:p>
      <w:pPr>
        <w:spacing w:after="120"/>
      </w:pPr>
      <w:r>
        <w:rPr>
          <w:i/>
          <w:iCs/>
          <w:color w:val="555555"/>
          <w:sz w:val="22"/>
          <w:szCs w:val="22"/>
        </w:rPr>
        <w:t xml:space="preserve">Detailed schema (column types, indexes, constraints) is owned by the relevant spec, not the BRD.</w:t>
      </w:r>
    </w:p>
    <w:p>
      <w:pPr>
        <w:pStyle w:val="Heading1"/>
      </w:pPr>
      <w:r>
        <w:t xml:space="preserve">9.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06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Rule</w:t>
            </w:r>
          </w:p>
        </w:tc>
      </w:tr>
      <w:tr>
        <w:tc>
          <w:tcPr>
            <w:tcW w:type="dxa" w:w="13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BR-01</w:t>
            </w:r>
          </w:p>
        </w:tc>
        <w:tc>
          <w:tcPr>
            <w:tcW w:type="dxa" w:w="80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One account per user.</w:t>
            </w:r>
          </w:p>
        </w:tc>
      </w:tr>
      <w:tr>
        <w:tc>
          <w:tcPr>
            <w:tcW w:type="dxa" w:w="13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BR-02</w:t>
            </w:r>
          </w:p>
        </w:tc>
        <w:tc>
          <w:tcPr>
            <w:tcW w:type="dxa" w:w="80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No overdraft: balance may never go below 0.00.</w:t>
            </w:r>
          </w:p>
        </w:tc>
      </w:tr>
      <w:tr>
        <w:tc>
          <w:tcPr>
            <w:tcW w:type="dxa" w:w="13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BR-03</w:t>
            </w:r>
          </w:p>
        </w:tc>
        <w:tc>
          <w:tcPr>
            <w:tcW w:type="dxa" w:w="80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Deposits and withdrawals must be strictly positive.</w:t>
            </w:r>
          </w:p>
        </w:tc>
      </w:tr>
      <w:tr>
        <w:tc>
          <w:tcPr>
            <w:tcW w:type="dxa" w:w="13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BR-04</w:t>
            </w:r>
          </w:p>
        </w:tc>
        <w:tc>
          <w:tcPr>
            <w:tcW w:type="dxa" w:w="80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Every balance change has a corresponding transaction row (no silent adjustments).</w:t>
            </w:r>
          </w:p>
        </w:tc>
      </w:tr>
      <w:tr>
        <w:tc>
          <w:tcPr>
            <w:tcW w:type="dxa" w:w="13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BR-05</w:t>
            </w:r>
          </w:p>
        </w:tc>
        <w:tc>
          <w:tcPr>
            <w:tcW w:type="dxa" w:w="80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 user can only ever read/write their own account, transactions, and chat.</w:t>
            </w:r>
          </w:p>
        </w:tc>
      </w:tr>
      <w:tr>
        <w:tc>
          <w:tcPr>
            <w:tcW w:type="dxa" w:w="13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BR-06</w:t>
            </w:r>
          </w:p>
        </w:tc>
        <w:tc>
          <w:tcPr>
            <w:tcW w:type="dxa" w:w="80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The chat assistant reads only; it never writes to banking tables, and is always user-scoped.</w:t>
            </w:r>
          </w:p>
        </w:tc>
      </w:tr>
    </w:tbl>
    <w:p>
      <w:pPr>
        <w:pStyle w:val="Heading1"/>
      </w:pPr>
      <w:r>
        <w:t xml:space="preserve">10.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Role</w:t>
            </w:r>
          </w:p>
        </w:tc>
        <w:tc>
          <w:tcPr>
            <w:tcW w:type="dxa" w:w="656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Permissions</w:t>
            </w:r>
          </w:p>
        </w:tc>
      </w:tr>
      <w:tr>
        <w:tc>
          <w:tcPr>
            <w:tcW w:type="dxa" w:w="28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Visitor</w:t>
            </w:r>
          </w:p>
        </w:tc>
        <w:tc>
          <w:tcPr>
            <w:tcW w:type="dxa" w:w="65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Register, log in.</w:t>
            </w:r>
          </w:p>
        </w:tc>
      </w:tr>
      <w:tr>
        <w:tc>
          <w:tcPr>
            <w:tcW w:type="dxa" w:w="28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Authenticated user</w:t>
            </w:r>
          </w:p>
        </w:tc>
        <w:tc>
          <w:tcPr>
            <w:tcW w:type="dxa" w:w="65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View dashboard, open account (once), deposit, withdraw, view/download statement, chat with assistant — all scoped to self.</w:t>
            </w:r>
          </w:p>
        </w:tc>
      </w:tr>
      <w:tr>
        <w:tc>
          <w:tcPr>
            <w:tcW w:type="dxa" w:w="28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AI chat layer (system)</w:t>
            </w:r>
          </w:p>
        </w:tc>
        <w:tc>
          <w:tcPr>
            <w:tcW w:type="dxa" w:w="65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Read-only SELECT scoped to the requesting user (enforced in code over the shared root connection).</w:t>
            </w:r>
          </w:p>
        </w:tc>
      </w:tr>
    </w:tbl>
    <w:p>
      <w:pPr>
        <w:pStyle w:val="Heading1"/>
      </w:pPr>
      <w: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Layer</w:t>
            </w:r>
          </w:p>
        </w:tc>
        <w:tc>
          <w:tcPr>
            <w:tcW w:type="dxa" w:w="656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Choice</w:t>
            </w:r>
          </w:p>
        </w:tc>
      </w:tr>
      <w:tr>
        <w:tc>
          <w:tcPr>
            <w:tcW w:type="dxa" w:w="28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Language</w:t>
            </w:r>
          </w:p>
        </w:tc>
        <w:tc>
          <w:tcPr>
            <w:tcW w:type="dxa" w:w="65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Python 3.x</w:t>
            </w:r>
          </w:p>
        </w:tc>
      </w:tr>
      <w:tr>
        <w:tc>
          <w:tcPr>
            <w:tcW w:type="dxa" w:w="28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Frontend</w:t>
            </w:r>
          </w:p>
        </w:tc>
        <w:tc>
          <w:tcPr>
            <w:tcW w:type="dxa" w:w="65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Streamlit (custom-styled to the brand design system)</w:t>
            </w:r>
          </w:p>
        </w:tc>
      </w:tr>
      <w:tr>
        <w:tc>
          <w:tcPr>
            <w:tcW w:type="dxa" w:w="28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Database</w:t>
            </w:r>
          </w:p>
        </w:tc>
        <w:tc>
          <w:tcPr>
            <w:tcW w:type="dxa" w:w="65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MySQL (local), single root user for this demo</w:t>
            </w:r>
          </w:p>
        </w:tc>
      </w:tr>
      <w:tr>
        <w:tc>
          <w:tcPr>
            <w:tcW w:type="dxa" w:w="28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Auth</w:t>
            </w:r>
          </w:p>
        </w:tc>
        <w:tc>
          <w:tcPr>
            <w:tcW w:type="dxa" w:w="65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bcrypt + Streamlit session state</w:t>
            </w:r>
          </w:p>
        </w:tc>
      </w:tr>
      <w:tr>
        <w:tc>
          <w:tcPr>
            <w:tcW w:type="dxa" w:w="28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GenAI</w:t>
            </w:r>
          </w:p>
        </w:tc>
        <w:tc>
          <w:tcPr>
            <w:tcW w:type="dxa" w:w="65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OpenAI API (conversational chat with memory + guarded text-to-SQL)</w:t>
            </w:r>
          </w:p>
        </w:tc>
      </w:tr>
      <w:tr>
        <w:tc>
          <w:tcPr>
            <w:tcW w:type="dxa" w:w="28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Testing</w:t>
            </w:r>
          </w:p>
        </w:tc>
        <w:tc>
          <w:tcPr>
            <w:tcW w:type="dxa" w:w="65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pytest (unit + integration), scripted end-to-end</w:t>
            </w:r>
          </w:p>
        </w:tc>
      </w:tr>
      <w:tr>
        <w:tc>
          <w:tcPr>
            <w:tcW w:type="dxa" w:w="28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Dev tooling</w:t>
            </w:r>
          </w:p>
        </w:tc>
        <w:tc>
          <w:tcPr>
            <w:tcW w:type="dxa" w:w="65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Claude Code: CLAUDE.md, specs/, subagents, skills, hooks</w:t>
            </w:r>
          </w:p>
        </w:tc>
      </w:tr>
      <w:tr>
        <w:tc>
          <w:tcPr>
            <w:tcW w:type="dxa" w:w="28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Deployment</w:t>
            </w:r>
          </w:p>
        </w:tc>
        <w:tc>
          <w:tcPr>
            <w:tcW w:type="dxa" w:w="65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Local run + deployable (e.g. Streamlit-compatible host); env-based config</w:t>
            </w:r>
          </w:p>
        </w:tc>
      </w:tr>
    </w:tbl>
    <w:p>
      <w:pPr>
        <w:pStyle w:val="Heading1"/>
      </w:pPr>
      <w:r>
        <w:t xml:space="preserve">12. UI / UX &amp; Design System</w:t>
      </w:r>
    </w:p>
    <w:p>
      <w:pPr>
        <w:spacing w:after="120"/>
      </w:pPr>
      <w:r>
        <w:rPr>
          <w:sz w:val="22"/>
          <w:szCs w:val="22"/>
        </w:rPr>
        <w:t xml:space="preserve">The application must look polished and presentable for demos and deployment. The visual language uses the Aarambh brand palette in solid colours (no gradients), a white background, and black text throughout.</w:t>
      </w:r>
    </w:p>
    <w:p>
      <w:pPr>
        <w:pStyle w:val="Heading2"/>
      </w:pPr>
      <w:r>
        <w:t xml:space="preserve">12.1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600"/>
        <w:gridCol w:w="4760"/>
      </w:tblGrid>
      <w:tr>
        <w:trPr>
          <w:tblHeader/>
        </w:trPr>
        <w:tc>
          <w:tcPr>
            <w:tcW w:type="dxa" w:w="15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Colour</w:t>
            </w:r>
          </w:p>
        </w:tc>
        <w:tc>
          <w:tcPr>
            <w:tcW w:type="dxa" w:w="15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Swatch</w:t>
            </w:r>
          </w:p>
        </w:tc>
        <w:tc>
          <w:tcPr>
            <w:tcW w:type="dxa" w:w="16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Hex</w:t>
            </w:r>
          </w:p>
        </w:tc>
        <w:tc>
          <w:tcPr>
            <w:tcW w:type="dxa" w:w="476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Primary usage</w:t>
            </w:r>
          </w:p>
        </w:tc>
      </w:tr>
      <w:tr>
        <w:tc>
          <w:tcPr>
            <w:tcW w:type="dxa" w:w="15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bCs/>
                <w:color w:val="000000"/>
                <w:sz w:val="20"/>
                <w:szCs w:val="20"/>
              </w:rPr>
              <w:t xml:space="preserve">Green</w:t>
            </w:r>
          </w:p>
        </w:tc>
        <w:tc>
          <w:tcPr>
            <w:tcW w:type="dxa" w:w="1500"/>
            <w:tcBorders>
              <w:top w:val="single" w:color="D9D2EC" w:sz="1"/>
              <w:left w:val="single" w:color="D9D2EC" w:sz="1"/>
              <w:bottom w:val="single" w:color="D9D2EC" w:sz="1"/>
              <w:right w:val="single" w:color="D9D2EC" w:sz="1"/>
            </w:tcBorders>
            <w:shd w:fill="00E676" w:val="clear"/>
            <w:tcMar>
              <w:top w:type="dxa" w:w="80"/>
              <w:left w:type="dxa" w:w="120"/>
              <w:bottom w:type="dxa" w:w="80"/>
              <w:right w:type="dxa" w:w="120"/>
            </w:tcMar>
          </w:tcPr>
          <w:p/>
        </w:tc>
        <w:tc>
          <w:tcPr>
            <w:tcW w:type="dxa" w:w="16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#00E676</w:t>
            </w:r>
          </w:p>
        </w:tc>
        <w:tc>
          <w:tcPr>
            <w:tcW w:type="dxa" w:w="47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Positive / credits, success states, primary call-to-action buttons, user chat bubbles.</w:t>
            </w:r>
          </w:p>
        </w:tc>
      </w:tr>
      <w:tr>
        <w:tc>
          <w:tcPr>
            <w:tcW w:type="dxa" w:w="15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bCs/>
                <w:color w:val="000000"/>
                <w:sz w:val="20"/>
                <w:szCs w:val="20"/>
              </w:rPr>
              <w:t xml:space="preserve">Purple</w:t>
            </w:r>
          </w:p>
        </w:tc>
        <w:tc>
          <w:tcPr>
            <w:tcW w:type="dxa" w:w="15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tcPr>
          <w:p/>
        </w:tc>
        <w:tc>
          <w:tcPr>
            <w:tcW w:type="dxa" w:w="16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#8A5CF6</w:t>
            </w:r>
          </w:p>
        </w:tc>
        <w:tc>
          <w:tcPr>
            <w:tcW w:type="dxa" w:w="47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Brand / primary surfaces: sidebar, headers, section titles, navigation highlights.</w:t>
            </w:r>
          </w:p>
        </w:tc>
      </w:tr>
      <w:tr>
        <w:tc>
          <w:tcPr>
            <w:tcW w:type="dxa" w:w="15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bCs/>
                <w:color w:val="000000"/>
                <w:sz w:val="20"/>
                <w:szCs w:val="20"/>
              </w:rPr>
              <w:t xml:space="preserve">Pink</w:t>
            </w:r>
          </w:p>
        </w:tc>
        <w:tc>
          <w:tcPr>
            <w:tcW w:type="dxa" w:w="1500"/>
            <w:tcBorders>
              <w:top w:val="single" w:color="D9D2EC" w:sz="1"/>
              <w:left w:val="single" w:color="D9D2EC" w:sz="1"/>
              <w:bottom w:val="single" w:color="D9D2EC" w:sz="1"/>
              <w:right w:val="single" w:color="D9D2EC" w:sz="1"/>
            </w:tcBorders>
            <w:shd w:fill="FF2D95" w:val="clear"/>
            <w:tcMar>
              <w:top w:type="dxa" w:w="80"/>
              <w:left w:type="dxa" w:w="120"/>
              <w:bottom w:type="dxa" w:w="80"/>
              <w:right w:type="dxa" w:w="120"/>
            </w:tcMar>
          </w:tcPr>
          <w:p/>
        </w:tc>
        <w:tc>
          <w:tcPr>
            <w:tcW w:type="dxa" w:w="16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#FF2D95</w:t>
            </w:r>
          </w:p>
        </w:tc>
        <w:tc>
          <w:tcPr>
            <w:tcW w:type="dxa" w:w="47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Accents and emphasis: badges, active states, secondary highlights.</w:t>
            </w:r>
          </w:p>
        </w:tc>
      </w:tr>
    </w:tbl>
    <w:p>
      <w:pPr>
        <w:pStyle w:val="Heading2"/>
      </w:pPr>
      <w:r>
        <w:t xml:space="preserve">12.2 Layout &amp; Typography</w:t>
      </w:r>
    </w:p>
    <w:p>
      <w:pPr>
        <w:pStyle w:val="ListParagraph"/>
        <w:numPr>
          <w:ilvl w:val="0"/>
          <w:numId w:val="2"/>
        </w:numPr>
        <w:spacing w:after="60"/>
      </w:pPr>
      <w:r>
        <w:rPr>
          <w:sz w:val="22"/>
          <w:szCs w:val="22"/>
        </w:rPr>
        <w:t xml:space="preserve">Background: white. Text: black for all content (labels, values, chat text).</w:t>
      </w:r>
    </w:p>
    <w:p>
      <w:pPr>
        <w:pStyle w:val="ListParagraph"/>
        <w:numPr>
          <w:ilvl w:val="0"/>
          <w:numId w:val="2"/>
        </w:numPr>
        <w:spacing w:after="60"/>
      </w:pPr>
      <w:r>
        <w:rPr>
          <w:sz w:val="22"/>
          <w:szCs w:val="22"/>
        </w:rPr>
        <w:t xml:space="preserve">Clean sans-serif typography; consistent spacing; card-based dashboard with rounded corners and subtle shadows.</w:t>
      </w:r>
    </w:p>
    <w:p>
      <w:pPr>
        <w:pStyle w:val="ListParagraph"/>
        <w:numPr>
          <w:ilvl w:val="0"/>
          <w:numId w:val="2"/>
        </w:numPr>
        <w:spacing w:after="60"/>
      </w:pPr>
      <w:r>
        <w:rPr>
          <w:sz w:val="22"/>
          <w:szCs w:val="22"/>
        </w:rPr>
        <w:t xml:space="preserve">Left sidebar navigation in purple: Dashboard, Deposit, Withdraw, Statement, Chat Assistant.</w:t>
      </w:r>
    </w:p>
    <w:p>
      <w:pPr>
        <w:pStyle w:val="ListParagraph"/>
        <w:numPr>
          <w:ilvl w:val="0"/>
          <w:numId w:val="2"/>
        </w:numPr>
        <w:spacing w:after="60"/>
      </w:pPr>
      <w:r>
        <w:rPr>
          <w:sz w:val="22"/>
          <w:szCs w:val="22"/>
        </w:rPr>
        <w:t xml:space="preserve">Buttons use solid brand colours (green for primary confirm actions, pink for secondary accents) with black or white label as contrast requires.</w:t>
      </w:r>
    </w:p>
    <w:p>
      <w:pPr>
        <w:pStyle w:val="ListParagraph"/>
        <w:numPr>
          <w:ilvl w:val="0"/>
          <w:numId w:val="2"/>
        </w:numPr>
        <w:spacing w:after="60"/>
      </w:pPr>
      <w:r>
        <w:rPr>
          <w:sz w:val="22"/>
          <w:szCs w:val="22"/>
        </w:rPr>
        <w:t xml:space="preserve">Balance and key figures shown in large, prominent summary cards on the dashboard.</w:t>
      </w:r>
    </w:p>
    <w:p>
      <w:pPr>
        <w:pStyle w:val="Heading2"/>
      </w:pPr>
      <w:r>
        <w:t xml:space="preserve">12.3 Chat Assistant (WhatsApp-style)</w:t>
      </w:r>
    </w:p>
    <w:p>
      <w:pPr>
        <w:pStyle w:val="ListParagraph"/>
        <w:numPr>
          <w:ilvl w:val="0"/>
          <w:numId w:val="2"/>
        </w:numPr>
        <w:spacing w:after="60"/>
      </w:pPr>
      <w:r>
        <w:rPr>
          <w:sz w:val="22"/>
          <w:szCs w:val="22"/>
        </w:rPr>
        <w:t xml:space="preserve">Scrolling conversation view: assistant messages left-aligned in white bubbles with a purple border; user messages right-aligned in solid green (#00E676) bubbles.</w:t>
      </w:r>
    </w:p>
    <w:p>
      <w:pPr>
        <w:pStyle w:val="ListParagraph"/>
        <w:numPr>
          <w:ilvl w:val="0"/>
          <w:numId w:val="2"/>
        </w:numPr>
        <w:spacing w:after="60"/>
      </w:pPr>
      <w:r>
        <w:rPr>
          <w:sz w:val="22"/>
          <w:szCs w:val="22"/>
        </w:rPr>
        <w:t xml:space="preserve">All bubble text is black for readability.</w:t>
      </w:r>
    </w:p>
    <w:p>
      <w:pPr>
        <w:pStyle w:val="ListParagraph"/>
        <w:numPr>
          <w:ilvl w:val="0"/>
          <w:numId w:val="2"/>
        </w:numPr>
        <w:spacing w:after="60"/>
      </w:pPr>
      <w:r>
        <w:rPr>
          <w:sz w:val="22"/>
          <w:szCs w:val="22"/>
        </w:rPr>
        <w:t xml:space="preserve">A fixed input box at the bottom with a send button; pressing send appends to the conversation and the assistant replies in context.</w:t>
      </w:r>
    </w:p>
    <w:p>
      <w:pPr>
        <w:pStyle w:val="ListParagraph"/>
        <w:numPr>
          <w:ilvl w:val="0"/>
          <w:numId w:val="2"/>
        </w:numPr>
        <w:spacing w:after="60"/>
      </w:pPr>
      <w:r>
        <w:rPr>
          <w:sz w:val="22"/>
          <w:szCs w:val="22"/>
        </w:rPr>
        <w:t xml:space="preserve">Typing/loading indicator while the assistant responds; conversation scrolls to the latest message.</w:t>
      </w:r>
    </w:p>
    <w:p>
      <w:pPr>
        <w:pStyle w:val="ListParagraph"/>
        <w:numPr>
          <w:ilvl w:val="0"/>
          <w:numId w:val="2"/>
        </w:numPr>
        <w:spacing w:after="60"/>
      </w:pPr>
      <w:r>
        <w:rPr>
          <w:sz w:val="22"/>
          <w:szCs w:val="22"/>
        </w:rPr>
        <w:t xml:space="preserve">A visible “Clear chat” control resets the conversation and its memory.</w:t>
      </w:r>
    </w:p>
    <w:p>
      <w:pPr>
        <w:pStyle w:val="Heading1"/>
      </w:pPr>
      <w:r>
        <w:t xml:space="preserve">13. Success Criteria (Business-Level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06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Criterion</w:t>
            </w:r>
          </w:p>
        </w:tc>
      </w:tr>
      <w:tr>
        <w:tc>
          <w:tcPr>
            <w:tcW w:type="dxa" w:w="13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SC-01</w:t>
            </w:r>
          </w:p>
        </w:tc>
        <w:tc>
          <w:tcPr>
            <w:tcW w:type="dxa" w:w="80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 new user can register (with phone), open an account, deposit, withdraw, and view a statement without errors.</w:t>
            </w:r>
          </w:p>
        </w:tc>
      </w:tr>
      <w:tr>
        <w:tc>
          <w:tcPr>
            <w:tcW w:type="dxa" w:w="13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SC-02</w:t>
            </w:r>
          </w:p>
        </w:tc>
        <w:tc>
          <w:tcPr>
            <w:tcW w:type="dxa" w:w="80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After login the dashboard correctly shows name, masked account number, balance, phone, and recent transactions.</w:t>
            </w:r>
          </w:p>
        </w:tc>
      </w:tr>
      <w:tr>
        <w:tc>
          <w:tcPr>
            <w:tcW w:type="dxa" w:w="13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SC-03</w:t>
            </w:r>
          </w:p>
        </w:tc>
        <w:tc>
          <w:tcPr>
            <w:tcW w:type="dxa" w:w="80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 withdrawal exceeding balance is always blocked.</w:t>
            </w:r>
          </w:p>
        </w:tc>
      </w:tr>
      <w:tr>
        <w:tc>
          <w:tcPr>
            <w:tcW w:type="dxa" w:w="13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SC-04</w:t>
            </w:r>
          </w:p>
        </w:tc>
        <w:tc>
          <w:tcPr>
            <w:tcW w:type="dxa" w:w="80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A user can hold a continuous, multi-turn chat where the assistant remembers context and answers at least 5 distinct spending questions correctly from their own data.</w:t>
            </w:r>
          </w:p>
        </w:tc>
      </w:tr>
      <w:tr>
        <w:tc>
          <w:tcPr>
            <w:tcW w:type="dxa" w:w="13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SC-05</w:t>
            </w:r>
          </w:p>
        </w:tc>
        <w:tc>
          <w:tcPr>
            <w:tcW w:type="dxa" w:w="80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 crafted prompt-injection input cannot read another user's data or mutate any data.</w:t>
            </w:r>
          </w:p>
        </w:tc>
      </w:tr>
      <w:tr>
        <w:tc>
          <w:tcPr>
            <w:tcW w:type="dxa" w:w="130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SC-06</w:t>
            </w:r>
          </w:p>
        </w:tc>
        <w:tc>
          <w:tcPr>
            <w:tcW w:type="dxa" w:w="806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The UI matches the design system (palette, white background, black text) and is presentable / deployable.</w:t>
            </w:r>
          </w:p>
        </w:tc>
      </w:tr>
      <w:tr>
        <w:tc>
          <w:tcPr>
            <w:tcW w:type="dxa" w:w="130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SC-07</w:t>
            </w:r>
          </w:p>
        </w:tc>
        <w:tc>
          <w:tcPr>
            <w:tcW w:type="dxa" w:w="806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Every functional requirement traces to a spec; every spec acceptance criterion traces to a passing test.</w:t>
            </w:r>
          </w:p>
        </w:tc>
      </w:tr>
    </w:tbl>
    <w:p>
      <w:pPr>
        <w:pStyle w:val="Heading1"/>
      </w:pPr>
      <w:r>
        <w:t xml:space="preserve">14.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Risk</w:t>
            </w:r>
          </w:p>
        </w:tc>
        <w:tc>
          <w:tcPr>
            <w:tcW w:type="dxa" w:w="4680"/>
            <w:tcBorders>
              <w:top w:val="single" w:color="D9D2EC" w:sz="1"/>
              <w:left w:val="single" w:color="D9D2EC" w:sz="1"/>
              <w:bottom w:val="single" w:color="D9D2EC" w:sz="1"/>
              <w:right w:val="single" w:color="D9D2EC" w:sz="1"/>
            </w:tcBorders>
            <w:shd w:fill="8A5CF6" w:val="clear"/>
            <w:tcMar>
              <w:top w:type="dxa" w:w="80"/>
              <w:left w:type="dxa" w:w="120"/>
              <w:bottom w:type="dxa" w:w="80"/>
              <w:right w:type="dxa" w:w="120"/>
            </w:tcMar>
            <w:vAlign w:val="center"/>
          </w:tcPr>
          <w:p>
            <w:pPr>
              <w:jc w:val="left"/>
            </w:pPr>
            <w:r>
              <w:rPr>
                <w:b/>
                <w:bCs/>
                <w:color w:val="FFFFFF"/>
                <w:sz w:val="20"/>
                <w:szCs w:val="20"/>
              </w:rPr>
              <w:t xml:space="preserve">Mitigation</w:t>
            </w:r>
          </w:p>
        </w:tc>
      </w:tr>
      <w:tr>
        <w:tc>
          <w:tcPr>
            <w:tcW w:type="dxa" w:w="468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AI layer runs on a full-privilege (root) DB connection</w:t>
            </w:r>
          </w:p>
        </w:tc>
        <w:tc>
          <w:tcPr>
            <w:tcW w:type="dxa" w:w="468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Code-level guard: validate generated SQL is a single user-scoped SELECT before execution; demo-only; production would use a read-only user.</w:t>
            </w:r>
          </w:p>
        </w:tc>
      </w:tr>
      <w:tr>
        <w:tc>
          <w:tcPr>
            <w:tcW w:type="dxa" w:w="468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LLM fabricates figures or leaks other users' data</w:t>
            </w:r>
          </w:p>
        </w:tc>
        <w:tc>
          <w:tcPr>
            <w:tcW w:type="dxa" w:w="468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All data answers grounded in user-scoped query results; user scope enforced in code; no cross-user access path.</w:t>
            </w:r>
          </w:p>
        </w:tc>
      </w:tr>
      <w:tr>
        <w:tc>
          <w:tcPr>
            <w:tcW w:type="dxa" w:w="468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Floating-point money errors</w:t>
            </w:r>
          </w:p>
        </w:tc>
        <w:tc>
          <w:tcPr>
            <w:tcW w:type="dxa" w:w="468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DECIMAL / Decimal everywhere; enforced via CLAUDE.md rule + hook + security subagent.</w:t>
            </w:r>
          </w:p>
        </w:tc>
      </w:tr>
      <w:tr>
        <w:tc>
          <w:tcPr>
            <w:tcW w:type="dxa" w:w="468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Race conditions on balance</w:t>
            </w:r>
          </w:p>
        </w:tc>
        <w:tc>
          <w:tcPr>
            <w:tcW w:type="dxa" w:w="4680"/>
            <w:tcBorders>
              <w:top w:val="single" w:color="D9D2EC" w:sz="1"/>
              <w:left w:val="single" w:color="D9D2EC" w:sz="1"/>
              <w:bottom w:val="single" w:color="D9D2EC" w:sz="1"/>
              <w:right w:val="single" w:color="D9D2EC" w:sz="1"/>
            </w:tcBorders>
            <w:shd w:fill="F7F5FC" w:val="clear"/>
            <w:tcMar>
              <w:top w:type="dxa" w:w="80"/>
              <w:left w:type="dxa" w:w="120"/>
              <w:bottom w:type="dxa" w:w="80"/>
              <w:right w:type="dxa" w:w="120"/>
            </w:tcMar>
            <w:vAlign w:val="center"/>
          </w:tcPr>
          <w:p>
            <w:pPr>
              <w:jc w:val="left"/>
            </w:pPr>
            <w:r>
              <w:rPr>
                <w:b w:val="false"/>
                <w:bCs w:val="false"/>
                <w:color w:val="000000"/>
                <w:sz w:val="20"/>
                <w:szCs w:val="20"/>
              </w:rPr>
              <w:t xml:space="preserve">Single atomic DB transaction per balance change.</w:t>
            </w:r>
          </w:p>
        </w:tc>
      </w:tr>
      <w:tr>
        <w:tc>
          <w:tcPr>
            <w:tcW w:type="dxa" w:w="468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Scope creep beyond teaching goal</w:t>
            </w:r>
          </w:p>
        </w:tc>
        <w:tc>
          <w:tcPr>
            <w:tcW w:type="dxa" w:w="4680"/>
            <w:tcBorders>
              <w:top w:val="single" w:color="D9D2EC" w:sz="1"/>
              <w:left w:val="single" w:color="D9D2EC" w:sz="1"/>
              <w:bottom w:val="single" w:color="D9D2EC" w:sz="1"/>
              <w:right w:val="single" w:color="D9D2EC" w:sz="1"/>
            </w:tcBorders>
            <w:tcMar>
              <w:top w:type="dxa" w:w="80"/>
              <w:left w:type="dxa" w:w="120"/>
              <w:bottom w:type="dxa" w:w="80"/>
              <w:right w:type="dxa" w:w="120"/>
            </w:tcMar>
            <w:vAlign w:val="center"/>
          </w:tcPr>
          <w:p>
            <w:pPr>
              <w:jc w:val="left"/>
            </w:pPr>
            <w:r>
              <w:rPr>
                <w:b w:val="false"/>
                <w:bCs w:val="false"/>
                <w:color w:val="000000"/>
                <w:sz w:val="20"/>
                <w:szCs w:val="20"/>
              </w:rPr>
              <w:t xml:space="preserve">Out-of-scope list (3.2) is binding; new ideas become future modules.</w:t>
            </w:r>
          </w:p>
        </w:tc>
      </w:tr>
    </w:tbl>
    <w:p>
      <w:pPr>
        <w:pStyle w:val="Heading1"/>
      </w:pPr>
      <w:r>
        <w:t xml:space="preserve">15. Traceability &amp; Delivery Flow</w:t>
      </w:r>
    </w:p>
    <w:p>
      <w:pPr>
        <w:pStyle w:val="ListParagraph"/>
        <w:numPr>
          <w:ilvl w:val="0"/>
          <w:numId w:val="3"/>
        </w:numPr>
        <w:spacing w:after="60"/>
      </w:pPr>
      <w:r>
        <w:rPr>
          <w:sz w:val="22"/>
          <w:szCs w:val="22"/>
        </w:rPr>
        <w:t xml:space="preserve">BRD (this document) defines what the business needs (FR / NFR / BR with IDs).</w:t>
      </w:r>
    </w:p>
    <w:p>
      <w:pPr>
        <w:pStyle w:val="ListParagraph"/>
        <w:numPr>
          <w:ilvl w:val="0"/>
          <w:numId w:val="3"/>
        </w:numPr>
        <w:spacing w:after="60"/>
      </w:pPr>
      <w:r>
        <w:rPr>
          <w:sz w:val="22"/>
          <w:szCs w:val="22"/>
        </w:rPr>
        <w:t xml:space="preserve">Specs (one per feature) translate requirements into precise behaviour + acceptance criteria, each referencing BRD IDs.</w:t>
      </w:r>
    </w:p>
    <w:p>
      <w:pPr>
        <w:pStyle w:val="ListParagraph"/>
        <w:numPr>
          <w:ilvl w:val="0"/>
          <w:numId w:val="3"/>
        </w:numPr>
        <w:spacing w:after="60"/>
      </w:pPr>
      <w:r>
        <w:rPr>
          <w:sz w:val="22"/>
          <w:szCs w:val="22"/>
        </w:rPr>
        <w:t xml:space="preserve">Development implements against the approved spec only.</w:t>
      </w:r>
    </w:p>
    <w:p>
      <w:pPr>
        <w:pStyle w:val="ListParagraph"/>
        <w:numPr>
          <w:ilvl w:val="0"/>
          <w:numId w:val="3"/>
        </w:numPr>
        <w:spacing w:after="60"/>
      </w:pPr>
      <w:r>
        <w:rPr>
          <w:sz w:val="22"/>
          <w:szCs w:val="22"/>
        </w:rPr>
        <w:t xml:space="preserve">Test cases are written from each spec's acceptance criteria (test-writer subagent); the spec-reviewer subagent checks implementation vs spec; the security-auditor subagent enforces NFR-01/02/03.</w:t>
      </w:r>
    </w:p>
    <w:p>
      <w:pPr>
        <w:pStyle w:val="ListParagraph"/>
        <w:numPr>
          <w:ilvl w:val="0"/>
          <w:numId w:val="3"/>
        </w:numPr>
        <w:spacing w:after="60"/>
      </w:pPr>
      <w:r>
        <w:rPr>
          <w:sz w:val="22"/>
          <w:szCs w:val="22"/>
        </w:rPr>
        <w:t xml:space="preserve">End-to-end testing validates the full user journey and SC-01…SC-07.</w:t>
      </w:r>
    </w:p>
    <w:p>
      <w:pPr>
        <w:pStyle w:val="ListParagraph"/>
        <w:numPr>
          <w:ilvl w:val="0"/>
          <w:numId w:val="3"/>
        </w:numPr>
        <w:spacing w:after="60"/>
      </w:pPr>
      <w:r>
        <w:rPr>
          <w:sz w:val="22"/>
          <w:szCs w:val="22"/>
        </w:rPr>
        <w:t xml:space="preserve">Hooks enforce conventions continuously (lint/test on edit; block secrets and float-in-money).</w:t>
      </w:r>
    </w:p>
    <w:p>
      <w:pPr>
        <w:pStyle w:val="Heading1"/>
      </w:pPr>
      <w:r>
        <w:t xml:space="preserve">16. Glossary</w:t>
      </w:r>
    </w:p>
    <w:p>
      <w:pPr>
        <w:pStyle w:val="ListParagraph"/>
        <w:numPr>
          <w:ilvl w:val="0"/>
          <w:numId w:val="2"/>
        </w:numPr>
        <w:spacing w:after="60"/>
      </w:pPr>
      <w:r>
        <w:rPr>
          <w:sz w:val="22"/>
          <w:szCs w:val="22"/>
        </w:rPr>
        <w:t xml:space="preserve">CREDIT / DEBIT — money in / money out of the account.</w:t>
      </w:r>
    </w:p>
    <w:p>
      <w:pPr>
        <w:pStyle w:val="ListParagraph"/>
        <w:numPr>
          <w:ilvl w:val="0"/>
          <w:numId w:val="2"/>
        </w:numPr>
        <w:spacing w:after="60"/>
      </w:pPr>
      <w:r>
        <w:rPr>
          <w:sz w:val="22"/>
          <w:szCs w:val="22"/>
        </w:rPr>
        <w:t xml:space="preserve">Text-to-SQL — converting a natural-language question into a SQL query.</w:t>
      </w:r>
    </w:p>
    <w:p>
      <w:pPr>
        <w:pStyle w:val="ListParagraph"/>
        <w:numPr>
          <w:ilvl w:val="0"/>
          <w:numId w:val="2"/>
        </w:numPr>
        <w:spacing w:after="60"/>
      </w:pPr>
      <w:r>
        <w:rPr>
          <w:sz w:val="22"/>
          <w:szCs w:val="22"/>
        </w:rPr>
        <w:t xml:space="preserve">Guarded — the generated SQL is validated (single, read-only, user-scoped SELECT) before execution.</w:t>
      </w:r>
    </w:p>
    <w:p>
      <w:pPr>
        <w:pStyle w:val="ListParagraph"/>
        <w:numPr>
          <w:ilvl w:val="0"/>
          <w:numId w:val="2"/>
        </w:numPr>
        <w:spacing w:after="60"/>
      </w:pPr>
      <w:r>
        <w:rPr>
          <w:sz w:val="22"/>
          <w:szCs w:val="22"/>
        </w:rPr>
        <w:t xml:space="preserve">Conversation memory — prior turns retained so the assistant answers follow-ups in context.</w:t>
      </w:r>
    </w:p>
    <w:p>
      <w:pPr>
        <w:pStyle w:val="ListParagraph"/>
        <w:numPr>
          <w:ilvl w:val="0"/>
          <w:numId w:val="2"/>
        </w:numPr>
        <w:spacing w:after="60"/>
      </w:pPr>
      <w:r>
        <w:rPr>
          <w:sz w:val="22"/>
          <w:szCs w:val="22"/>
        </w:rPr>
        <w:t xml:space="preserve">Spec-driven development — code is written only against an approved specification with explicit acceptance criteria.</w:t>
      </w:r>
    </w:p>
    <w:p>
      <w:pPr>
        <w:spacing w:after="240"/>
      </w:pPr>
    </w:p>
    <w:p>
      <w:pPr>
        <w:jc w:val="center"/>
      </w:pPr>
      <w:r>
        <w:rPr>
          <w:i/>
          <w:iCs/>
          <w:color w:val="555555"/>
          <w:sz w:val="20"/>
          <w:szCs w:val="20"/>
        </w:rPr>
        <w:t xml:space="preserve">End of BRD v1.1 — pending review and sign-off before specs are derived.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 Confidential · Aarambh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EC" w:sz="4" w:space="2"/>
      </w:pBdr>
      <w:jc w:val="right"/>
    </w:pPr>
    <w:r>
      <w:rPr>
        <w:color w:val="555555"/>
        <w:sz w:val="16"/>
        <w:szCs w:val="16"/>
      </w:rPr>
      <w:t xml:space="preserve">Aarambh Bank — BRD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A5CF6" w:sz="6" w:space="4"/>
      </w:pBdr>
      <w:spacing w:after="140" w:before="28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Aarambh Bank</dc:title>
  <dc:creator>Aarambh AI</dc:creator>
  <cp:lastModifiedBy>Un-named</cp:lastModifiedBy>
  <cp:revision>1</cp:revision>
  <dcterms:created xsi:type="dcterms:W3CDTF">2026-06-04T18:14:30.381Z</dcterms:created>
  <dcterms:modified xsi:type="dcterms:W3CDTF">2026-06-04T18:14:30.392Z</dcterms:modified>
</cp:coreProperties>
</file>

<file path=docProps/custom.xml><?xml version="1.0" encoding="utf-8"?>
<Properties xmlns="http://schemas.openxmlformats.org/officeDocument/2006/custom-properties" xmlns:vt="http://schemas.openxmlformats.org/officeDocument/2006/docPropsVTypes"/>
</file>