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sz w:val="28"/>
          <w:szCs w:val="28"/>
        </w:rPr>
        <w:t xml:space="preserve">THE UNIVERSITY OF DA NANG</w:t>
      </w:r>
    </w:p>
    <w:p>
      <w:pPr>
        <w:spacing w:after="1920"/>
        <w:jc w:val="center"/>
      </w:pPr>
      <w:r>
        <w:rPr>
          <w:rFonts w:ascii="Times New Roman" w:cs="Times New Roman" w:eastAsia="Times New Roman" w:hAnsi="Times New Roman"/>
          <w:b/>
          <w:bCs/>
          <w:sz w:val="26"/>
          <w:szCs w:val="26"/>
        </w:rPr>
        <w:t xml:space="preserve">VNUK INSTITUTE FOR RESEARCH AND EXECUTIVE EDUCATION</w:t>
      </w:r>
    </w:p>
    <w:p>
      <w:pPr>
        <w:spacing w:after="1920"/>
        <w:jc w:val="center"/>
      </w:pPr>
      <w:r>
        <w:rPr>
          <w:rFonts w:ascii="Times New Roman" w:cs="Times New Roman" w:eastAsia="Times New Roman" w:hAnsi="Times New Roman"/>
          <w:b/>
          <w:bCs/>
          <w:sz w:val="36"/>
          <w:szCs w:val="36"/>
        </w:rPr>
        <w:t xml:space="preserve">DESIGN AND IMPLEMENTATION OF A NEAR REAL-TIME FINANCIAL TRANSACTION MONITORING SYSTEM USING DEBEZIUM, KAFKA, AND CLICKHOUSE</w:t>
      </w:r>
    </w:p>
    <w:p>
      <w:pPr>
        <w:spacing w:after="120"/>
        <w:jc w:val="center"/>
      </w:pPr>
      <w:r>
        <w:rPr>
          <w:rFonts w:ascii="Times New Roman" w:cs="Times New Roman" w:eastAsia="Times New Roman" w:hAnsi="Times New Roman"/>
          <w:sz w:val="24"/>
          <w:szCs w:val="24"/>
        </w:rPr>
        <w:t xml:space="preserve">By</w:t>
      </w:r>
    </w:p>
    <w:p>
      <w:pPr>
        <w:spacing w:after="120"/>
        <w:jc w:val="center"/>
      </w:pPr>
      <w:r>
        <w:rPr>
          <w:rFonts w:ascii="Times New Roman" w:cs="Times New Roman" w:eastAsia="Times New Roman" w:hAnsi="Times New Roman"/>
          <w:b/>
          <w:bCs/>
          <w:sz w:val="28"/>
          <w:szCs w:val="28"/>
        </w:rPr>
        <w:t xml:space="preserve">Bùi Hoàng Nhân</w:t>
      </w:r>
    </w:p>
    <w:p>
      <w:pPr>
        <w:spacing w:after="720"/>
        <w:jc w:val="center"/>
      </w:pPr>
      <w:r>
        <w:rPr>
          <w:rFonts w:ascii="Times New Roman" w:cs="Times New Roman" w:eastAsia="Times New Roman" w:hAnsi="Times New Roman"/>
          <w:sz w:val="22"/>
          <w:szCs w:val="22"/>
        </w:rPr>
        <w:t xml:space="preserve">Student ID: 21040009 — Class 21DS</w:t>
      </w:r>
    </w:p>
    <w:p>
      <w:pPr>
        <w:spacing w:after="240"/>
        <w:jc w:val="center"/>
      </w:pPr>
      <w:r>
        <w:rPr>
          <w:rFonts w:ascii="Times New Roman" w:cs="Times New Roman" w:eastAsia="Times New Roman" w:hAnsi="Times New Roman"/>
          <w:b/>
          <w:bCs/>
          <w:sz w:val="26"/>
          <w:szCs w:val="26"/>
        </w:rPr>
        <w:t xml:space="preserve">A GRADUATION THESIS</w:t>
      </w:r>
    </w:p>
    <w:p>
      <w:pPr>
        <w:spacing w:after="120"/>
        <w:jc w:val="center"/>
      </w:pPr>
      <w:r>
        <w:rPr>
          <w:rFonts w:ascii="Times New Roman" w:cs="Times New Roman" w:eastAsia="Times New Roman" w:hAnsi="Times New Roman"/>
          <w:sz w:val="22"/>
          <w:szCs w:val="22"/>
        </w:rPr>
        <w:t xml:space="preserve">Submitted in partial fulfillment of the requirements for the degree of</w:t>
      </w:r>
    </w:p>
    <w:p>
      <w:pPr>
        <w:spacing w:after="120"/>
        <w:jc w:val="center"/>
      </w:pPr>
      <w:r>
        <w:rPr>
          <w:rFonts w:ascii="Times New Roman" w:cs="Times New Roman" w:eastAsia="Times New Roman" w:hAnsi="Times New Roman"/>
          <w:b/>
          <w:bCs/>
          <w:sz w:val="28"/>
          <w:szCs w:val="28"/>
        </w:rPr>
        <w:t xml:space="preserve">BACHELOR</w:t>
      </w:r>
    </w:p>
    <w:p>
      <w:pPr>
        <w:spacing w:after="720"/>
        <w:jc w:val="center"/>
      </w:pPr>
      <w:r>
        <w:rPr>
          <w:rFonts w:ascii="Times New Roman" w:cs="Times New Roman" w:eastAsia="Times New Roman" w:hAnsi="Times New Roman"/>
          <w:sz w:val="24"/>
          <w:szCs w:val="24"/>
        </w:rPr>
        <w:t xml:space="preserve">in Data Science</w:t>
      </w:r>
    </w:p>
    <w:p>
      <w:pPr>
        <w:spacing w:after="240"/>
        <w:jc w:val="center"/>
      </w:pPr>
      <w:r>
        <w:rPr>
          <w:rFonts w:ascii="Times New Roman" w:cs="Times New Roman" w:eastAsia="Times New Roman" w:hAnsi="Times New Roman"/>
          <w:b/>
          <w:bCs/>
          <w:sz w:val="24"/>
          <w:szCs w:val="24"/>
        </w:rPr>
        <w:t xml:space="preserve">DA NANG, 2026</w:t>
      </w:r>
    </w:p>
    <w:p>
      <w:pPr>
        <w:jc w:val="center"/>
      </w:pPr>
      <w:r>
        <w:rPr>
          <w:rFonts w:ascii="Times New Roman" w:cs="Times New Roman" w:eastAsia="Times New Roman" w:hAnsi="Times New Roman"/>
          <w:i/>
          <w:iCs/>
          <w:sz w:val="20"/>
          <w:szCs w:val="20"/>
        </w:rPr>
        <w:t xml:space="preserve">© 2026 Bùi Hoàng Nhân</w:t>
      </w:r>
    </w:p>
    <w:p>
      <w:pPr>
        <w:pageBreakBefore/>
        <w:spacing w:after="480" w:before="480"/>
        <w:jc w:val="center"/>
      </w:pPr>
      <w:r>
        <w:rPr>
          <w:rFonts w:ascii="Times New Roman" w:cs="Times New Roman" w:eastAsia="Times New Roman" w:hAnsi="Times New Roman"/>
          <w:b/>
          <w:bCs/>
          <w:sz w:val="32"/>
          <w:szCs w:val="32"/>
        </w:rPr>
        <w:t xml:space="preserve">APPROVAL PAGE</w:t>
      </w:r>
    </w:p>
    <w:p>
      <w:pPr>
        <w:spacing w:after="120" w:line="480"/>
        <w:jc w:val="both"/>
      </w:pPr>
      <w:r>
        <w:rPr>
          <w:rFonts w:ascii="Times New Roman" w:cs="Times New Roman" w:eastAsia="Times New Roman" w:hAnsi="Times New Roman"/>
          <w:sz w:val="24"/>
          <w:szCs w:val="24"/>
        </w:rPr>
        <w:t xml:space="preserve">This thesis has been approved in partial fulfillment of the requirements for the Degree of Bachelor in Data Science.</w:t>
      </w:r>
    </w:p>
    <w:p>
      <w:r>
        <w:t xml:space="preserve"/>
      </w:r>
    </w:p>
    <w:p>
      <w:pPr>
        <w:spacing w:after="120" w:line="480"/>
        <w:jc w:val="both"/>
      </w:pPr>
      <w:r>
        <w:rPr>
          <w:rFonts w:ascii="Times New Roman" w:cs="Times New Roman" w:eastAsia="Times New Roman" w:hAnsi="Times New Roman"/>
          <w:sz w:val="24"/>
          <w:szCs w:val="24"/>
        </w:rPr>
        <w:t xml:space="preserve">VNUK Institute for Research and Executive Education — Department of Information Technology</w:t>
      </w:r>
    </w:p>
    <w:p>
      <w:r>
        <w:t xml:space="preserve"/>
      </w:r>
    </w:p>
    <w:p>
      <w:r>
        <w:t xml:space="preserve"/>
      </w:r>
    </w:p>
    <w:p>
      <w:pPr>
        <w:spacing w:after="120" w:line="480"/>
        <w:jc w:val="both"/>
      </w:pPr>
      <w:r>
        <w:rPr>
          <w:rFonts w:ascii="Times New Roman" w:cs="Times New Roman" w:eastAsia="Times New Roman" w:hAnsi="Times New Roman"/>
          <w:sz w:val="24"/>
          <w:szCs w:val="24"/>
        </w:rPr>
        <w:t xml:space="preserve">Thesis Advisor:    </w:t>
      </w:r>
      <w:r>
        <w:rPr>
          <w:rFonts w:ascii="Times New Roman" w:cs="Times New Roman" w:eastAsia="Times New Roman" w:hAnsi="Times New Roman"/>
          <w:b/>
          <w:bCs/>
          <w:i/>
          <w:iCs/>
          <w:sz w:val="24"/>
          <w:szCs w:val="24"/>
        </w:rPr>
        <w:t xml:space="preserve">Trần Thế Vũ</w:t>
      </w:r>
    </w:p>
    <w:p>
      <w:r>
        <w:t xml:space="preserve"/>
      </w:r>
    </w:p>
    <w:p>
      <w:pPr>
        <w:spacing w:after="120" w:line="480"/>
        <w:jc w:val="both"/>
      </w:pPr>
      <w:r>
        <w:rPr>
          <w:rFonts w:ascii="Times New Roman" w:cs="Times New Roman" w:eastAsia="Times New Roman" w:hAnsi="Times New Roman"/>
          <w:sz w:val="24"/>
          <w:szCs w:val="24"/>
        </w:rPr>
        <w:t xml:space="preserve">Committee Member: </w:t>
      </w:r>
      <w:r>
        <w:rPr>
          <w:rFonts w:ascii="Times New Roman" w:cs="Times New Roman" w:eastAsia="Times New Roman" w:hAnsi="Times New Roman"/>
          <w:sz w:val="24"/>
          <w:szCs w:val="24"/>
        </w:rPr>
        <w:t xml:space="preserve">_______________________________</w:t>
      </w:r>
    </w:p>
    <w:p>
      <w:r>
        <w:t xml:space="preserve"/>
      </w:r>
    </w:p>
    <w:p>
      <w:pPr>
        <w:spacing w:after="120" w:line="480"/>
        <w:jc w:val="both"/>
      </w:pPr>
      <w:r>
        <w:rPr>
          <w:rFonts w:ascii="Times New Roman" w:cs="Times New Roman" w:eastAsia="Times New Roman" w:hAnsi="Times New Roman"/>
          <w:sz w:val="24"/>
          <w:szCs w:val="24"/>
        </w:rPr>
        <w:t xml:space="preserve">Committee Member: </w:t>
      </w:r>
      <w:r>
        <w:rPr>
          <w:rFonts w:ascii="Times New Roman" w:cs="Times New Roman" w:eastAsia="Times New Roman" w:hAnsi="Times New Roman"/>
          <w:sz w:val="24"/>
          <w:szCs w:val="24"/>
        </w:rPr>
        <w:t xml:space="preserve">_______________________________</w:t>
      </w:r>
    </w:p>
    <w:p>
      <w:r>
        <w:t xml:space="preserve"/>
      </w:r>
    </w:p>
    <w:p>
      <w:pPr>
        <w:spacing w:after="120" w:line="480"/>
        <w:jc w:val="both"/>
      </w:pPr>
      <w:r>
        <w:rPr>
          <w:rFonts w:ascii="Times New Roman" w:cs="Times New Roman" w:eastAsia="Times New Roman" w:hAnsi="Times New Roman"/>
          <w:sz w:val="24"/>
          <w:szCs w:val="24"/>
        </w:rPr>
        <w:t xml:space="preserve">Department Head:   </w:t>
      </w:r>
      <w:r>
        <w:rPr>
          <w:rFonts w:ascii="Times New Roman" w:cs="Times New Roman" w:eastAsia="Times New Roman" w:hAnsi="Times New Roman"/>
          <w:sz w:val="24"/>
          <w:szCs w:val="24"/>
        </w:rPr>
        <w:t xml:space="preserve">_______________________________</w:t>
      </w:r>
    </w:p>
    <w:p>
      <w:r>
        <w:t xml:space="preserve"/>
      </w:r>
    </w:p>
    <w:p>
      <w:r>
        <w:t xml:space="preserve"/>
      </w:r>
    </w:p>
    <w:p>
      <w:pPr>
        <w:spacing w:after="120" w:line="480"/>
        <w:jc w:val="both"/>
      </w:pPr>
      <w:r>
        <w:rPr>
          <w:rFonts w:ascii="Times New Roman" w:cs="Times New Roman" w:eastAsia="Times New Roman" w:hAnsi="Times New Roman"/>
          <w:sz w:val="24"/>
          <w:szCs w:val="24"/>
        </w:rPr>
        <w:t xml:space="preserve">Da Nang, ____ / ____ / 2026</w:t>
      </w:r>
    </w:p>
    <w:p>
      <w:pPr>
        <w:pageBreakBefore/>
        <w:spacing w:after="480" w:before="480"/>
        <w:jc w:val="center"/>
      </w:pPr>
      <w:r>
        <w:rPr>
          <w:rFonts w:ascii="Times New Roman" w:cs="Times New Roman" w:eastAsia="Times New Roman" w:hAnsi="Times New Roman"/>
          <w:b/>
          <w:bCs/>
          <w:sz w:val="32"/>
          <w:szCs w:val="32"/>
        </w:rPr>
        <w:t xml:space="preserve">ACKNOWLEDGEMENTS</w:t>
      </w:r>
    </w:p>
    <w:p>
      <w:pPr>
        <w:spacing w:after="120" w:line="480"/>
        <w:jc w:val="both"/>
      </w:pPr>
      <w:r>
        <w:rPr>
          <w:rFonts w:ascii="Times New Roman" w:cs="Times New Roman" w:eastAsia="Times New Roman" w:hAnsi="Times New Roman"/>
          <w:sz w:val="24"/>
          <w:szCs w:val="24"/>
        </w:rPr>
        <w:t xml:space="preserve">I would like to express my deepest gratitude to my thesis advisor, Dr. Trần Thế Vũ, for his patient guidance, technical insights, and unwavering support throughout this research. His expertise in data engineering and real-time systems has been invaluable in shaping the direction of this work.</w:t>
      </w:r>
    </w:p>
    <w:p>
      <w:pPr>
        <w:spacing w:after="120" w:line="480"/>
        <w:jc w:val="both"/>
      </w:pPr>
      <w:r>
        <w:rPr>
          <w:rFonts w:ascii="Times New Roman" w:cs="Times New Roman" w:eastAsia="Times New Roman" w:hAnsi="Times New Roman"/>
          <w:sz w:val="24"/>
          <w:szCs w:val="24"/>
        </w:rPr>
        <w:t xml:space="preserve">I extend my appreciation to all faculty members of the VNUK Institute for Research and Executive Education, whose teachings over the past four years laid the foundation for this thesis. Special thanks to the Department of Information Technology for providing the academic environment that enabled this research.</w:t>
      </w:r>
    </w:p>
    <w:p>
      <w:pPr>
        <w:spacing w:after="120" w:line="480"/>
        <w:jc w:val="both"/>
      </w:pPr>
      <w:r>
        <w:rPr>
          <w:rFonts w:ascii="Times New Roman" w:cs="Times New Roman" w:eastAsia="Times New Roman" w:hAnsi="Times New Roman"/>
          <w:sz w:val="24"/>
          <w:szCs w:val="24"/>
        </w:rPr>
        <w:t xml:space="preserve">I am grateful to my colleagues at Parcel Perform, who introduced me to the practical challenges of building real-time data pipelines at scale. The discussions about Change Data Capture, distributed streaming, and fault tolerance in production environments significantly enriched the practical depth of this thesis.</w:t>
      </w:r>
    </w:p>
    <w:p>
      <w:pPr>
        <w:spacing w:after="120" w:line="480"/>
        <w:jc w:val="both"/>
      </w:pPr>
      <w:r>
        <w:rPr>
          <w:rFonts w:ascii="Times New Roman" w:cs="Times New Roman" w:eastAsia="Times New Roman" w:hAnsi="Times New Roman"/>
          <w:sz w:val="24"/>
          <w:szCs w:val="24"/>
        </w:rPr>
        <w:t xml:space="preserve">I would also like to acknowledge the open-source communities behind PostgreSQL, Apache Kafka, Debezium, ClickHouse, and Grafana. Their commitment to building world-class data infrastructure freely available to all has made academic research like this possible without prohibitive licensing costs.</w:t>
      </w:r>
    </w:p>
    <w:p>
      <w:pPr>
        <w:spacing w:after="120" w:line="480"/>
        <w:jc w:val="both"/>
      </w:pPr>
      <w:r>
        <w:rPr>
          <w:rFonts w:ascii="Times New Roman" w:cs="Times New Roman" w:eastAsia="Times New Roman" w:hAnsi="Times New Roman"/>
          <w:sz w:val="24"/>
          <w:szCs w:val="24"/>
        </w:rPr>
        <w:t xml:space="preserve">Finally, I thank my family for their constant encouragement and patience during the many long nights spent debugging Docker networks and tuning ClickHouse queries. Their support made this achievement possible.</w:t>
      </w:r>
    </w:p>
    <w:p>
      <w:pPr>
        <w:pageBreakBefore/>
        <w:spacing w:after="480" w:before="480"/>
        <w:jc w:val="center"/>
      </w:pPr>
      <w:r>
        <w:rPr>
          <w:rFonts w:ascii="Times New Roman" w:cs="Times New Roman" w:eastAsia="Times New Roman" w:hAnsi="Times New Roman"/>
          <w:b/>
          <w:bCs/>
          <w:sz w:val="32"/>
          <w:szCs w:val="32"/>
        </w:rPr>
        <w:t xml:space="preserve">ABSTRACT</w:t>
      </w:r>
    </w:p>
    <w:p>
      <w:pPr>
        <w:spacing w:after="120" w:line="480"/>
        <w:jc w:val="both"/>
      </w:pPr>
      <w:r>
        <w:rPr>
          <w:rFonts w:ascii="Times New Roman" w:cs="Times New Roman" w:eastAsia="Times New Roman" w:hAnsi="Times New Roman"/>
          <w:sz w:val="24"/>
          <w:szCs w:val="24"/>
        </w:rPr>
        <w:t xml:space="preserve">Financial fraud causes global losses exceeding 34 billion USD annually, with batch-based detection systems leaving critical windows of vulnerability. This thesis presents the design and implementation of FinWatch, a near real-time transaction monitoring system that detects anomalous payments within seconds rather than hours. The system employs Change Data Capture using Debezium to stream PostgreSQL write-ahead log events into Apache Kafka, then ingests them into ClickHouse — a columnar OLAP database — through Kafka Engine tables and Materialized Views. Anomaly detection is performed via SQL-based rules covering velocity, threshold, statistical z-score, and multi-currency pattern matching. A Grafana dashboard with Prometheus-backed alerts visualizes pipeline health and security incidents. Experimental evaluation on a single-node deployment achieved end-to-end latency of P95 = 1.8 seconds, peak throughput of 950 transactions per second, and an aggregate fraud-detection F1 score of 0.83 across four rules. The thesis demonstrates that open-source data infrastructure can deliver real-time transaction surveillance suitable for small banks and fintechs in Vietnam at a fraction of commercial vendor cost.</w:t>
      </w:r>
    </w:p>
    <w:p>
      <w:r>
        <w:t xml:space="preserve"/>
      </w:r>
    </w:p>
    <w:p>
      <w:pPr>
        <w:spacing w:after="12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Change Data Capture, Real-time Analytics, Apache Kafka, ClickHouse, Debezium, Fraud Detection, Financial Monitoring, Stream Processing.</w:t>
      </w:r>
    </w:p>
    <w:p>
      <w:pPr>
        <w:pageBreakBefore/>
        <w:spacing w:after="480" w:before="480"/>
        <w:jc w:val="center"/>
      </w:pPr>
      <w:r>
        <w:rPr>
          <w:rFonts w:ascii="Times New Roman" w:cs="Times New Roman" w:eastAsia="Times New Roman" w:hAnsi="Times New Roman"/>
          <w:b/>
          <w:bCs/>
          <w:sz w:val="32"/>
          <w:szCs w:val="32"/>
        </w:rPr>
        <w:t xml:space="preserve">LIST OF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Abbreviation</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Meaning</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ACID</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Atomicity, Consistency, Isolation, Durability</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ACL</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Access Control List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API</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Application Programming Interface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AML</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Anti-Money Laundering</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CDC</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Change Data Capture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CI/CD</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Continuous Integration / Continuous Deployment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CLI</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Command Line Interface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CPU</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Central Processing Unit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DB</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Database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DDL</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Data Definition Language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DML</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Data Manipulation Language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ETL</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Extract, Transform, Load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ELT</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Extract, Load, Transform</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F1</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F1 Score (harmonic mean of precision and recall)</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FN</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False Negative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FP</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False Positive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High Availability</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ISR</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In-Sync Replica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JSON</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JavaScript Object Notation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KPI</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Key Performance Indicator</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LSN</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Log Sequence Number</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MAD</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Median Absolute Deviation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ML</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Machine Learning</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MVCC</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Multi-Version Concurrency Control</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MV</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Materialized View</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OLAP</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Online Analytical Processing</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OLTP</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Online Transaction Processing</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P50/P95/P99</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Percentile (50th / 95th / 99th)</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PCI-DSS</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Payment Card Industry Data Security Standard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PG</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PostgreSQL</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PK</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Primary Key</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FK</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Foreign Key</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RAM</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Random Access Memory</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RDBMS</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Relational Database Management System</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REST</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Representational State Transfer</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RF</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Replication Factor</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SBV</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State Bank of Vietnam</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SMT</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Single Message Transform</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SQL</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Structured Query Language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TLS</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Transport Layer Security</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TN</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True Negative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TP</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True Positive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TPS</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Transactions Per Second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UI</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User Interface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UUID</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Universally Unique Identifier</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VND</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Vietnamese Dong</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VNBA</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Vietnam Banking Association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VNUK</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Vietnam — UK Institute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WAL</w:t>
            </w:r>
          </w:p>
        </w:tc>
        <w:tc>
          <w:tcPr>
            <w:tcW w:type="dxa" w:w="6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Write-Ahead Log</w:t>
            </w:r>
          </w:p>
        </w:tc>
      </w:tr>
    </w:tbl>
    <w:p>
      <w:pPr>
        <w:pStyle w:val="Heading1"/>
        <w:pageBreakBefore/>
        <w:spacing w:after="360" w:before="480"/>
        <w:jc w:val="left"/>
      </w:pPr>
      <w:r>
        <w:rPr>
          <w:rFonts w:ascii="Times New Roman" w:cs="Times New Roman" w:eastAsia="Times New Roman" w:hAnsi="Times New Roman"/>
          <w:b/>
          <w:bCs/>
          <w:sz w:val="32"/>
          <w:szCs w:val="32"/>
        </w:rPr>
        <w:t xml:space="preserve">Chapter 1: Introduction</w:t>
      </w:r>
    </w:p>
    <w:p>
      <w:pPr>
        <w:pStyle w:val="Heading2"/>
        <w:spacing w:after="240" w:before="360"/>
      </w:pPr>
      <w:r>
        <w:rPr>
          <w:rFonts w:ascii="Times New Roman" w:cs="Times New Roman" w:eastAsia="Times New Roman" w:hAnsi="Times New Roman"/>
          <w:b/>
          <w:bCs/>
          <w:sz w:val="28"/>
          <w:szCs w:val="28"/>
        </w:rPr>
        <w:t xml:space="preserve">1.1 Background</w:t>
      </w:r>
    </w:p>
    <w:p>
      <w:pPr>
        <w:spacing w:after="120" w:line="480"/>
        <w:jc w:val="both"/>
      </w:pPr>
      <w:r>
        <w:rPr>
          <w:rFonts w:ascii="Times New Roman" w:cs="Times New Roman" w:eastAsia="Times New Roman" w:hAnsi="Times New Roman"/>
          <w:sz w:val="24"/>
          <w:szCs w:val="24"/>
        </w:rPr>
        <w:t xml:space="preserve">The Vietnamese financial sector has undergone a profound digital transformation in the past decade. Mobile payment platforms such as MoMo, ZaloPay, and VNPay now process tens of millions of transactions daily, while traditional banks have rolled out digital banking applications that handle the majority of retail transactions. The State Bank of Vietnam reported in 2024 that non-cash payment volumes grew at a compound annual growth rate exceeding 60 percent over the previous five years.</w:t>
      </w:r>
    </w:p>
    <w:p>
      <w:pPr>
        <w:spacing w:after="120" w:line="480"/>
        <w:jc w:val="both"/>
      </w:pPr>
      <w:r>
        <w:rPr>
          <w:rFonts w:ascii="Times New Roman" w:cs="Times New Roman" w:eastAsia="Times New Roman" w:hAnsi="Times New Roman"/>
          <w:sz w:val="24"/>
          <w:szCs w:val="24"/>
        </w:rPr>
        <w:t xml:space="preserve">This rapid digitalization has created two parallel pressures on financial institutions. First, the volume and velocity of transactions have grown beyond what traditional batch-oriented monitoring systems can effectively analyze. A typical mid-tier Vietnamese fintech now generates more transaction events in one hour than entire databases handled during peak periods a decade ago. Second, the sophistication of fraud and abuse has scaled commensurately. Attackers exploit social engineering tactics — including impersonation of police officers, fake delivery agents, and deepfake video calls — to gain temporary control of customer accounts. Once compromised, a typical account can be drained of its entire balance within five to fifteen minutes through a coordinated sequence of transfers to intermediary wallets and ultimately to cryptocurrency exchanges, where the funds become practically irrecoverable.</w:t>
      </w:r>
    </w:p>
    <w:p>
      <w:pPr>
        <w:spacing w:after="120" w:line="480"/>
        <w:jc w:val="both"/>
      </w:pPr>
      <w:r>
        <w:rPr>
          <w:rFonts w:ascii="Times New Roman" w:cs="Times New Roman" w:eastAsia="Times New Roman" w:hAnsi="Times New Roman"/>
          <w:sz w:val="24"/>
          <w:szCs w:val="24"/>
        </w:rPr>
        <w:t xml:space="preserve">The economic significance of this problem is difficult to overstate. According to the Nilson Report, global losses from payment card fraud reached approximately 34 billion USD in 2023, with projections exceeding 43 billion USD by 2028. The LexisNexis True Cost of Fraud Study estimates that for every dollar of fraudulent transactions, financial institutions incur approximately four dollars in total cost when accounting for investigation labor, chargeback processing, lost goodwill, and regulatory penalties. In the Vietnamese context, although precise national statistics are sparse, public reporting by the Vietnam Banking Association and individual banks suggests that account takeover fraud has become the dominant attack vector, surpassing card-not-present fraud as the leading source of financial loss.</w:t>
      </w:r>
    </w:p>
    <w:p>
      <w:pPr>
        <w:pStyle w:val="Heading2"/>
        <w:spacing w:after="240" w:before="360"/>
      </w:pPr>
      <w:r>
        <w:rPr>
          <w:rFonts w:ascii="Times New Roman" w:cs="Times New Roman" w:eastAsia="Times New Roman" w:hAnsi="Times New Roman"/>
          <w:b/>
          <w:bCs/>
          <w:sz w:val="28"/>
          <w:szCs w:val="28"/>
        </w:rPr>
        <w:t xml:space="preserve">1.2 Problem Statement</w:t>
      </w:r>
    </w:p>
    <w:p>
      <w:pPr>
        <w:spacing w:after="120" w:line="480"/>
        <w:jc w:val="both"/>
      </w:pPr>
      <w:r>
        <w:rPr>
          <w:rFonts w:ascii="Times New Roman" w:cs="Times New Roman" w:eastAsia="Times New Roman" w:hAnsi="Times New Roman"/>
          <w:sz w:val="24"/>
          <w:szCs w:val="24"/>
        </w:rPr>
        <w:t xml:space="preserve">Despite the urgency of the threat landscape, the prevailing approach to fraud surveillance in many Vietnamese banks and fintechs remains rooted in batch processing. Typical implementations operate as follows: during off-peak hours, usually between two and four o'clock in the morning, a scheduled SQL job scans the previous day's transaction tables and applies threshold-based heuristics to identify suspicious patterns. The output is reviewed by a risk operations team during business hours the following day. By the time a flagged case is investigated and an account is locked, the stolen funds have typically already exited the institution's perimeter.</w:t>
      </w:r>
    </w:p>
    <w:p>
      <w:pPr>
        <w:spacing w:after="120" w:line="480"/>
        <w:jc w:val="both"/>
      </w:pPr>
      <w:r>
        <w:rPr>
          <w:rFonts w:ascii="Times New Roman" w:cs="Times New Roman" w:eastAsia="Times New Roman" w:hAnsi="Times New Roman"/>
          <w:sz w:val="24"/>
          <w:szCs w:val="24"/>
        </w:rPr>
        <w:t xml:space="preserve">This approach presents four fundamental limitations. First, the detection latency — measured in hours or days — is incompatible with the attack tempo, which completes within minutes. Second, running heavy analytical queries directly against the transactional database competes with production workload, frequently causing performance degradation for the very payment system that generates the data. Third, the rigid threshold rules common in batch systems are unfair to legitimate high-value customers and inadequate against fraudsters who deliberately structure transactions to evade them. Fourth, the architectural tight coupling between operational and analytical workloads makes it difficult to evolve detection logic independently of the core banking platform.</w:t>
      </w:r>
    </w:p>
    <w:p>
      <w:pPr>
        <w:spacing w:after="120" w:line="480"/>
        <w:jc w:val="both"/>
      </w:pPr>
      <w:r>
        <w:rPr>
          <w:rFonts w:ascii="Times New Roman" w:cs="Times New Roman" w:eastAsia="Times New Roman" w:hAnsi="Times New Roman"/>
          <w:sz w:val="24"/>
          <w:szCs w:val="24"/>
        </w:rPr>
        <w:t xml:space="preserve">Commercial real-time fraud detection products such as SAS Fraud Management, FICO Falcon, and Feedzai address some of these limitations but are typically priced in the hundreds of thousands of US dollars per year for licensing and professional services. For small and mid-sized Vietnamese banks and fintechs, this cost barrier renders such solutions practically inaccessible. Meanwhile, large open-source projects in the data engineering ecosystem — PostgreSQL, Apache Kafka, Debezium, ClickHouse, Grafana — have matured to the point where they collectively provide the building blocks of a production-grade real-time analytics pipeline, but no widely cited reference architecture demonstrates how to compose them into a coherent system specifically tuned for financial transaction surveillance in resource-constrained settings.</w:t>
      </w:r>
    </w:p>
    <w:p>
      <w:pPr>
        <w:spacing w:after="120" w:line="480"/>
        <w:jc w:val="both"/>
      </w:pPr>
      <w:r>
        <w:rPr>
          <w:rFonts w:ascii="Times New Roman" w:cs="Times New Roman" w:eastAsia="Times New Roman" w:hAnsi="Times New Roman"/>
          <w:sz w:val="24"/>
          <w:szCs w:val="24"/>
        </w:rPr>
        <w:t xml:space="preserve">This thesis addresses that gap. It poses the following research question: Can an open-source streaming data pipeline based on Change Data Capture deliver sub-five-second fraud detection latency, sustained throughput on the order of one thousand transactions per second, and acceptable detection precision and recall on commodity hardware suitable for deployment by a small Vietnamese fintech?</w:t>
      </w:r>
    </w:p>
    <w:p>
      <w:pPr>
        <w:pStyle w:val="Heading2"/>
        <w:spacing w:after="240" w:before="360"/>
      </w:pPr>
      <w:r>
        <w:rPr>
          <w:rFonts w:ascii="Times New Roman" w:cs="Times New Roman" w:eastAsia="Times New Roman" w:hAnsi="Times New Roman"/>
          <w:b/>
          <w:bCs/>
          <w:sz w:val="28"/>
          <w:szCs w:val="28"/>
        </w:rPr>
        <w:t xml:space="preserve">1.3 Research Objectives</w:t>
      </w:r>
    </w:p>
    <w:p>
      <w:pPr>
        <w:spacing w:after="120" w:line="480"/>
        <w:jc w:val="both"/>
      </w:pPr>
      <w:r>
        <w:rPr>
          <w:rFonts w:ascii="Times New Roman" w:cs="Times New Roman" w:eastAsia="Times New Roman" w:hAnsi="Times New Roman"/>
          <w:sz w:val="24"/>
          <w:szCs w:val="24"/>
        </w:rPr>
        <w:t xml:space="preserve">The principal objective of this thesis is to design, implement, and empirically evaluate a near real-time financial transaction monitoring system that satisfies the constraints derived from the problem statement above. The work is decomposed into five concrete objectives.</w:t>
      </w:r>
    </w:p>
    <w:p>
      <w:pPr>
        <w:spacing w:after="120" w:line="480"/>
        <w:jc w:val="both"/>
      </w:pPr>
      <w:r>
        <w:rPr>
          <w:rFonts w:ascii="Times New Roman" w:cs="Times New Roman" w:eastAsia="Times New Roman" w:hAnsi="Times New Roman"/>
          <w:sz w:val="24"/>
          <w:szCs w:val="24"/>
        </w:rPr>
        <w:t xml:space="preserve">The first objective is to design an end-to-end Change Data Capture pipeline that ingests transactional events from PostgreSQL without imposing measurable additional load on the source system, transports them through a fault-tolerant message broker, and persists them in an analytical store optimized for high-cardinality aggregations.</w:t>
      </w:r>
    </w:p>
    <w:p>
      <w:pPr>
        <w:spacing w:after="120" w:line="480"/>
        <w:jc w:val="both"/>
      </w:pPr>
      <w:r>
        <w:rPr>
          <w:rFonts w:ascii="Times New Roman" w:cs="Times New Roman" w:eastAsia="Times New Roman" w:hAnsi="Times New Roman"/>
          <w:sz w:val="24"/>
          <w:szCs w:val="24"/>
        </w:rPr>
        <w:t xml:space="preserve">The second objective is to implement a set of anomaly detection rules covering at least four distinct fraud signatures — velocity attacks, abnormally large transactions, statistical deviation from per-account baseline behavior, and multi-currency activity patterns associated with money laundering — expressed entirely in SQL on the analytical store, with each rule yielding a precision exceeding seventy percent on a labeled test dataset.</w:t>
      </w:r>
    </w:p>
    <w:p>
      <w:pPr>
        <w:spacing w:after="120" w:line="480"/>
        <w:jc w:val="both"/>
      </w:pPr>
      <w:r>
        <w:rPr>
          <w:rFonts w:ascii="Times New Roman" w:cs="Times New Roman" w:eastAsia="Times New Roman" w:hAnsi="Times New Roman"/>
          <w:sz w:val="24"/>
          <w:szCs w:val="24"/>
        </w:rPr>
        <w:t xml:space="preserve">The third objective is to construct a real-time operational dashboard that visualizes transactional throughput, pipeline lag, and active fraud alerts, refreshed at intervals not exceeding ten seconds, together with automated email notifications when rule violations are detected.</w:t>
      </w:r>
    </w:p>
    <w:p>
      <w:pPr>
        <w:spacing w:after="120" w:line="480"/>
        <w:jc w:val="both"/>
      </w:pPr>
      <w:r>
        <w:rPr>
          <w:rFonts w:ascii="Times New Roman" w:cs="Times New Roman" w:eastAsia="Times New Roman" w:hAnsi="Times New Roman"/>
          <w:sz w:val="24"/>
          <w:szCs w:val="24"/>
        </w:rPr>
        <w:t xml:space="preserve">The fourth objective is to conduct a structured experimental evaluation measuring end-to-end latency at multiple percentiles, sustained throughput at the point of saturation, and fault tolerance under simulated component failures, producing reproducible benchmark results that can be independently verified by other researchers.</w:t>
      </w:r>
    </w:p>
    <w:p>
      <w:pPr>
        <w:spacing w:after="120" w:line="480"/>
        <w:jc w:val="both"/>
      </w:pPr>
      <w:r>
        <w:rPr>
          <w:rFonts w:ascii="Times New Roman" w:cs="Times New Roman" w:eastAsia="Times New Roman" w:hAnsi="Times New Roman"/>
          <w:sz w:val="24"/>
          <w:szCs w:val="24"/>
        </w:rPr>
        <w:t xml:space="preserve">The fifth objective is to produce engineering artifacts of sufficient quality — including a working Docker Compose deployment, a runbook for common operational incidents, and architectural documentation — that the system can be cloned and operated by a competent engineer without further consultation with the author.</w:t>
      </w:r>
    </w:p>
    <w:p>
      <w:pPr>
        <w:pStyle w:val="Heading2"/>
        <w:spacing w:after="240" w:before="360"/>
      </w:pPr>
      <w:r>
        <w:rPr>
          <w:rFonts w:ascii="Times New Roman" w:cs="Times New Roman" w:eastAsia="Times New Roman" w:hAnsi="Times New Roman"/>
          <w:b/>
          <w:bCs/>
          <w:sz w:val="28"/>
          <w:szCs w:val="28"/>
        </w:rPr>
        <w:t xml:space="preserve">1.4 Research Scope and Limitations</w:t>
      </w:r>
    </w:p>
    <w:p>
      <w:pPr>
        <w:spacing w:after="120" w:line="480"/>
        <w:jc w:val="both"/>
      </w:pPr>
      <w:r>
        <w:rPr>
          <w:rFonts w:ascii="Times New Roman" w:cs="Times New Roman" w:eastAsia="Times New Roman" w:hAnsi="Times New Roman"/>
          <w:sz w:val="24"/>
          <w:szCs w:val="24"/>
        </w:rPr>
        <w:t xml:space="preserve">The research is deliberately scoped to maximize depth in a small number of dimensions rather than breadth. The implementation targets a single-node Docker Compose deployment representative of a development or proof-of-concept environment, not a production-grade multi-region high-availability cluster. The fraud detection logic relies exclusively on rule-based and statistical methods expressible as SQL queries; machine learning approaches including supervised classifiers and unsupervised anomaly detection models are explicitly out of scope, though they are discussed in the future work section as natural extensions.</w:t>
      </w:r>
    </w:p>
    <w:p>
      <w:pPr>
        <w:spacing w:after="120" w:line="480"/>
        <w:jc w:val="both"/>
      </w:pPr>
      <w:r>
        <w:rPr>
          <w:rFonts w:ascii="Times New Roman" w:cs="Times New Roman" w:eastAsia="Times New Roman" w:hAnsi="Times New Roman"/>
          <w:sz w:val="24"/>
          <w:szCs w:val="24"/>
        </w:rPr>
        <w:t xml:space="preserve">Data security concerns relevant to a real production deployment — including TLS encryption between components, role-based access control, secret management through a dedicated vault, and Payment Card Industry Data Security Standard compliance — are acknowledged but not implemented. The data used for evaluation is entirely synthetic, generated by a custom Python script using the Faker library; no real customer transactions are employed. Integration with external payment gateways, mobile applications, or upstream core banking systems is also out of scope; the source PostgreSQL database represents the system boundary on the ingest side.</w:t>
      </w:r>
    </w:p>
    <w:p>
      <w:pPr>
        <w:spacing w:after="120" w:line="480"/>
        <w:jc w:val="both"/>
      </w:pPr>
      <w:r>
        <w:rPr>
          <w:rFonts w:ascii="Times New Roman" w:cs="Times New Roman" w:eastAsia="Times New Roman" w:hAnsi="Times New Roman"/>
          <w:sz w:val="24"/>
          <w:szCs w:val="24"/>
        </w:rPr>
        <w:t xml:space="preserve">The performance evaluation is conducted on a single laptop with sixteen gigabytes of memory, eight CPU cores, and an NVMe solid-state drive. Results obtained in this environment cannot be linearly extrapolated to enterprise-grade hardware; they should be interpreted as a lower bound for what the same architecture would achieve on properly provisioned infrastructure.</w:t>
      </w:r>
    </w:p>
    <w:p>
      <w:pPr>
        <w:pStyle w:val="Heading2"/>
        <w:spacing w:after="240" w:before="360"/>
      </w:pPr>
      <w:r>
        <w:rPr>
          <w:rFonts w:ascii="Times New Roman" w:cs="Times New Roman" w:eastAsia="Times New Roman" w:hAnsi="Times New Roman"/>
          <w:b/>
          <w:bCs/>
          <w:sz w:val="28"/>
          <w:szCs w:val="28"/>
        </w:rPr>
        <w:t xml:space="preserve">1.5 Research Methodology</w:t>
      </w:r>
    </w:p>
    <w:p>
      <w:pPr>
        <w:spacing w:after="120" w:line="480"/>
        <w:jc w:val="both"/>
      </w:pPr>
      <w:r>
        <w:rPr>
          <w:rFonts w:ascii="Times New Roman" w:cs="Times New Roman" w:eastAsia="Times New Roman" w:hAnsi="Times New Roman"/>
          <w:sz w:val="24"/>
          <w:szCs w:val="24"/>
        </w:rPr>
        <w:t xml:space="preserve">The research follows a constructive methodology comprising four sequential phases. The first phase consists of a systematic literature review covering academic publications on Change Data Capture, real-time streaming architectures, and statistical fraud detection, supplemented by engineering blog posts from organizations operating large-scale production systems including Uber, Stripe, Shopify, LinkedIn, and Netflix. The review aims not only to survey prior art but also to identify specific design decisions whose justifications have been articulated by engineers operating these systems in production.</w:t>
      </w:r>
    </w:p>
    <w:p>
      <w:pPr>
        <w:spacing w:after="120" w:line="480"/>
        <w:jc w:val="both"/>
      </w:pPr>
      <w:r>
        <w:rPr>
          <w:rFonts w:ascii="Times New Roman" w:cs="Times New Roman" w:eastAsia="Times New Roman" w:hAnsi="Times New Roman"/>
          <w:sz w:val="24"/>
          <w:szCs w:val="24"/>
        </w:rPr>
        <w:t xml:space="preserve">The second phase applies architecture-driven design principles to translate the surveyed knowledge into a concrete system blueprint. Design decisions are documented in the form of trade-off analyses comparing the chosen approach against at least one alternative, with quantitative or qualitative criteria for the selection.</w:t>
      </w:r>
    </w:p>
    <w:p>
      <w:pPr>
        <w:spacing w:after="120" w:line="480"/>
        <w:jc w:val="both"/>
      </w:pPr>
      <w:r>
        <w:rPr>
          <w:rFonts w:ascii="Times New Roman" w:cs="Times New Roman" w:eastAsia="Times New Roman" w:hAnsi="Times New Roman"/>
          <w:sz w:val="24"/>
          <w:szCs w:val="24"/>
        </w:rPr>
        <w:t xml:space="preserve">The third phase implements the design iteratively over a sequence of weekly milestones, each producing a working subset of the full system. The iterative approach permits early validation of design assumptions and rapid identification of integration issues. Source code is maintained in a Git repository with linear history and meaningful commit messages, enabling later reconstruction of the implementation timeline.</w:t>
      </w:r>
    </w:p>
    <w:p>
      <w:pPr>
        <w:spacing w:after="120" w:line="480"/>
        <w:jc w:val="both"/>
      </w:pPr>
      <w:r>
        <w:rPr>
          <w:rFonts w:ascii="Times New Roman" w:cs="Times New Roman" w:eastAsia="Times New Roman" w:hAnsi="Times New Roman"/>
          <w:sz w:val="24"/>
          <w:szCs w:val="24"/>
        </w:rPr>
        <w:t xml:space="preserve">The fourth phase conducts experimental evaluation through three classes of tests: latency measurements at multiple system loads, throughput saturation tests at incrementally increasing transaction rates, and fault injection tests simulating the failure of individual components. All benchmarks are scripted and reproducible, with results stored as structured data files alongside the source code.</w:t>
      </w:r>
    </w:p>
    <w:p>
      <w:pPr>
        <w:pStyle w:val="Heading2"/>
        <w:spacing w:after="240" w:before="360"/>
      </w:pPr>
      <w:r>
        <w:rPr>
          <w:rFonts w:ascii="Times New Roman" w:cs="Times New Roman" w:eastAsia="Times New Roman" w:hAnsi="Times New Roman"/>
          <w:b/>
          <w:bCs/>
          <w:sz w:val="28"/>
          <w:szCs w:val="28"/>
        </w:rPr>
        <w:t xml:space="preserve">1.6 Contributions</w:t>
      </w:r>
    </w:p>
    <w:p>
      <w:pPr>
        <w:spacing w:after="120" w:line="480"/>
        <w:jc w:val="both"/>
      </w:pPr>
      <w:r>
        <w:rPr>
          <w:rFonts w:ascii="Times New Roman" w:cs="Times New Roman" w:eastAsia="Times New Roman" w:hAnsi="Times New Roman"/>
          <w:sz w:val="24"/>
          <w:szCs w:val="24"/>
        </w:rPr>
        <w:t xml:space="preserve">This thesis makes the following contributions to the body of practical knowledge on real-time financial data systems. First, it presents a complete reference architecture for Change Data Capture based fraud monitoring using exclusively open-source components, with all design decisions documented and justified. Second, it provides an empirical performance characterization of this architecture, including latency distributions and throughput limits, on commodity hardware representative of small-organization deployments. Third, it contributes four SQL-based fraud detection rules with documented detection signatures and an evaluation framework based on precision, recall, and F1 score against a labeled synthetic dataset. Fourth, it produces a fully reproducible engineering artifact in the form of a Docker Compose deployment that other researchers and practitioners can clone, run, and extend without proprietary dependencies.</w:t>
      </w:r>
    </w:p>
    <w:p>
      <w:pPr>
        <w:pStyle w:val="Heading2"/>
        <w:spacing w:after="240" w:before="360"/>
      </w:pPr>
      <w:r>
        <w:rPr>
          <w:rFonts w:ascii="Times New Roman" w:cs="Times New Roman" w:eastAsia="Times New Roman" w:hAnsi="Times New Roman"/>
          <w:b/>
          <w:bCs/>
          <w:sz w:val="28"/>
          <w:szCs w:val="28"/>
        </w:rPr>
        <w:t xml:space="preserve">1.7 Thesis Structure</w:t>
      </w:r>
    </w:p>
    <w:p>
      <w:pPr>
        <w:spacing w:after="120" w:line="480"/>
        <w:jc w:val="both"/>
      </w:pPr>
      <w:r>
        <w:rPr>
          <w:rFonts w:ascii="Times New Roman" w:cs="Times New Roman" w:eastAsia="Times New Roman" w:hAnsi="Times New Roman"/>
          <w:sz w:val="24"/>
          <w:szCs w:val="24"/>
        </w:rPr>
        <w:t xml:space="preserve">The remainder of this thesis is organized as follows. Chapter 2 reviews the relevant literature, covering the theoretical foundations of Change Data Capture, the architectural primitives of Apache Kafka, the columnar storage techniques employed by ClickHouse, and selected statistical methods for anomaly detection. The chapter also surveys related work from industry practitioners operating analogous systems at scale.</w:t>
      </w:r>
    </w:p>
    <w:p>
      <w:pPr>
        <w:spacing w:after="120" w:line="480"/>
        <w:jc w:val="both"/>
      </w:pPr>
      <w:r>
        <w:rPr>
          <w:rFonts w:ascii="Times New Roman" w:cs="Times New Roman" w:eastAsia="Times New Roman" w:hAnsi="Times New Roman"/>
          <w:sz w:val="24"/>
          <w:szCs w:val="24"/>
        </w:rPr>
        <w:t xml:space="preserve">Chapter 3 presents the system analysis and design, including functional and non-functional requirements, the architectural blueprint, database schemas for both the source and the target stores, data flow specifications, and the design of the anomaly detection rule set.</w:t>
      </w:r>
    </w:p>
    <w:p>
      <w:pPr>
        <w:spacing w:after="120" w:line="480"/>
        <w:jc w:val="both"/>
      </w:pPr>
      <w:r>
        <w:rPr>
          <w:rFonts w:ascii="Times New Roman" w:cs="Times New Roman" w:eastAsia="Times New Roman" w:hAnsi="Times New Roman"/>
          <w:sz w:val="24"/>
          <w:szCs w:val="24"/>
        </w:rPr>
        <w:t xml:space="preserve">Chapter 4 describes the implementation in detail, walking through the configuration of each component — PostgreSQL with logical replication enabled, the Kafka cluster, the Debezium connector, the ClickHouse instance with Kafka Engine and Materialized Views, and the Grafana dashboards and Prometheus metrics scrape configuration. The chapter also explains the synthetic transaction generator and fraud injection script used to produce the evaluation dataset.</w:t>
      </w:r>
    </w:p>
    <w:p>
      <w:pPr>
        <w:spacing w:after="120" w:line="480"/>
        <w:jc w:val="both"/>
      </w:pPr>
      <w:r>
        <w:rPr>
          <w:rFonts w:ascii="Times New Roman" w:cs="Times New Roman" w:eastAsia="Times New Roman" w:hAnsi="Times New Roman"/>
          <w:sz w:val="24"/>
          <w:szCs w:val="24"/>
        </w:rPr>
        <w:t xml:space="preserve">Chapter 5 reports the experimental results, including latency percentiles measured under varying loads, throughput saturation curves, precision and recall metrics for each fraud detection rule, and the outcomes of fault tolerance tests.</w:t>
      </w:r>
    </w:p>
    <w:p>
      <w:pPr>
        <w:spacing w:after="120" w:line="480"/>
        <w:jc w:val="both"/>
      </w:pPr>
      <w:r>
        <w:rPr>
          <w:rFonts w:ascii="Times New Roman" w:cs="Times New Roman" w:eastAsia="Times New Roman" w:hAnsi="Times New Roman"/>
          <w:sz w:val="24"/>
          <w:szCs w:val="24"/>
        </w:rPr>
        <w:t xml:space="preserve">Chapter 6 concludes the thesis with a summary of contributions, an honest assessment of limitations, and a roadmap for future work spanning machine learning augmentation, production hardening, and architectural evolution toward multi-region high availability.</w:t>
      </w:r>
    </w:p>
    <w:p>
      <w:pPr>
        <w:pStyle w:val="Heading1"/>
        <w:pageBreakBefore/>
        <w:spacing w:after="360" w:before="480"/>
        <w:jc w:val="left"/>
      </w:pPr>
      <w:r>
        <w:rPr>
          <w:rFonts w:ascii="Times New Roman" w:cs="Times New Roman" w:eastAsia="Times New Roman" w:hAnsi="Times New Roman"/>
          <w:b/>
          <w:bCs/>
          <w:sz w:val="32"/>
          <w:szCs w:val="32"/>
        </w:rPr>
        <w:t xml:space="preserve">Chapter 2: Literature Review</w:t>
      </w:r>
    </w:p>
    <w:p>
      <w:pPr>
        <w:pStyle w:val="Heading2"/>
        <w:spacing w:after="240" w:before="360"/>
      </w:pPr>
      <w:r>
        <w:rPr>
          <w:rFonts w:ascii="Times New Roman" w:cs="Times New Roman" w:eastAsia="Times New Roman" w:hAnsi="Times New Roman"/>
          <w:b/>
          <w:bCs/>
          <w:sz w:val="28"/>
          <w:szCs w:val="28"/>
        </w:rPr>
        <w:t xml:space="preserve">2.1 The Evolution of Real-Time Data Pipelines</w:t>
      </w:r>
    </w:p>
    <w:p>
      <w:pPr>
        <w:spacing w:after="120" w:line="480"/>
        <w:jc w:val="both"/>
      </w:pPr>
      <w:r>
        <w:rPr>
          <w:rFonts w:ascii="Times New Roman" w:cs="Times New Roman" w:eastAsia="Times New Roman" w:hAnsi="Times New Roman"/>
          <w:sz w:val="24"/>
          <w:szCs w:val="24"/>
        </w:rPr>
        <w:t xml:space="preserve">The conceptual foundations of real-time data processing trace back to the late 1990s with the emergence of stream processing as a distinct discipline from batch analytics. Stonebraker and colleagues articulated the eight requirements of real-time stream processing in their influential 2005 paper, including the imperatives to keep data in motion, to process data without disk persistence on the critical path, and to integrate stored data with streaming data seamlessly. These requirements have shaped the design of every subsequent generation of streaming systems.</w:t>
      </w:r>
    </w:p>
    <w:p>
      <w:pPr>
        <w:spacing w:after="120" w:line="480"/>
        <w:jc w:val="both"/>
      </w:pPr>
      <w:r>
        <w:rPr>
          <w:rFonts w:ascii="Times New Roman" w:cs="Times New Roman" w:eastAsia="Times New Roman" w:hAnsi="Times New Roman"/>
          <w:sz w:val="24"/>
          <w:szCs w:val="24"/>
        </w:rPr>
        <w:t xml:space="preserve">Jay Kreps, then at LinkedIn, advanced this thinking in his widely cited 2013 essay The Log: What every software engineer should know about real-time data's unifying abstraction. Kreps argued that an append-only, totally-ordered log structure could serve simultaneously as the durable record of business events, the integration substrate between heterogeneous systems, and the recovery mechanism for stateful consumers. This insight directly motivated the design of Apache Kafka, of which Kreps was a co-creator, and indirectly inspired the broader category of log-based data integration systems that includes Debezium.</w:t>
      </w:r>
    </w:p>
    <w:p>
      <w:pPr>
        <w:spacing w:after="120" w:line="480"/>
        <w:jc w:val="both"/>
      </w:pPr>
      <w:r>
        <w:rPr>
          <w:rFonts w:ascii="Times New Roman" w:cs="Times New Roman" w:eastAsia="Times New Roman" w:hAnsi="Times New Roman"/>
          <w:sz w:val="24"/>
          <w:szCs w:val="24"/>
        </w:rPr>
        <w:t xml:space="preserve">More recently, the lambda and kappa architectural patterns have crystallized two contrasting approaches to combining real-time and historical analytics. The lambda architecture, originally proposed by Nathan Marz, maintains two parallel processing paths — a real-time speed layer for low-latency approximate results and a batch layer for accurate historical reprocessing. The kappa architecture, championed by Kreps as a simplification, abandons the batch layer and instead uses a single streaming pipeline with the ability to replay the log for backfill purposes. The system designed in this thesis follows the kappa philosophy: there is no separate batch path; all data flows through the same Kafka-and-ClickHouse pipeline, and historical reprocessing is achieved by resetting consumer offsets to earlier points in the log.</w:t>
      </w:r>
    </w:p>
    <w:p>
      <w:pPr>
        <w:pStyle w:val="Heading2"/>
        <w:spacing w:after="240" w:before="360"/>
      </w:pPr>
      <w:r>
        <w:rPr>
          <w:rFonts w:ascii="Times New Roman" w:cs="Times New Roman" w:eastAsia="Times New Roman" w:hAnsi="Times New Roman"/>
          <w:b/>
          <w:bCs/>
          <w:sz w:val="28"/>
          <w:szCs w:val="28"/>
        </w:rPr>
        <w:t xml:space="preserve">2.2 Change Data Capture</w:t>
      </w:r>
    </w:p>
    <w:p>
      <w:pPr>
        <w:pStyle w:val="Heading3"/>
        <w:spacing w:after="160" w:before="240"/>
      </w:pPr>
      <w:r>
        <w:rPr>
          <w:rFonts w:ascii="Times New Roman" w:cs="Times New Roman" w:eastAsia="Times New Roman" w:hAnsi="Times New Roman"/>
          <w:b/>
          <w:bCs/>
          <w:i/>
          <w:iCs/>
          <w:sz w:val="26"/>
          <w:szCs w:val="26"/>
        </w:rPr>
        <w:t xml:space="preserve">2.2.1 Definition and Motivation</w:t>
      </w:r>
    </w:p>
    <w:p>
      <w:pPr>
        <w:spacing w:after="120" w:line="480"/>
        <w:jc w:val="both"/>
      </w:pPr>
      <w:r>
        <w:rPr>
          <w:rFonts w:ascii="Times New Roman" w:cs="Times New Roman" w:eastAsia="Times New Roman" w:hAnsi="Times New Roman"/>
          <w:sz w:val="24"/>
          <w:szCs w:val="24"/>
        </w:rPr>
        <w:t xml:space="preserve">Change Data Capture is a set of techniques for identifying and propagating changes made to a database in a form suitable for downstream consumption. The fundamental motivation for CDC is the recognition that for many integration scenarios — populating data warehouses, maintaining caches, propagating updates to search indexes, replicating across heterogeneous systems — the consumer needs to know what has changed since the last consultation, not the current absolute state of the source. Polling the source repeatedly for the current state is wasteful and frequently fails to detect transient changes that occurred between polls.</w:t>
      </w:r>
    </w:p>
    <w:p>
      <w:pPr>
        <w:pStyle w:val="Heading3"/>
        <w:spacing w:after="160" w:before="240"/>
      </w:pPr>
      <w:r>
        <w:rPr>
          <w:rFonts w:ascii="Times New Roman" w:cs="Times New Roman" w:eastAsia="Times New Roman" w:hAnsi="Times New Roman"/>
          <w:b/>
          <w:bCs/>
          <w:i/>
          <w:iCs/>
          <w:sz w:val="26"/>
          <w:szCs w:val="26"/>
        </w:rPr>
        <w:t xml:space="preserve">2.2.2 Approaches to CDC</w:t>
      </w:r>
    </w:p>
    <w:p>
      <w:pPr>
        <w:spacing w:after="120" w:line="480"/>
        <w:jc w:val="both"/>
      </w:pPr>
      <w:r>
        <w:rPr>
          <w:rFonts w:ascii="Times New Roman" w:cs="Times New Roman" w:eastAsia="Times New Roman" w:hAnsi="Times New Roman"/>
          <w:sz w:val="24"/>
          <w:szCs w:val="24"/>
        </w:rPr>
        <w:t xml:space="preserve">Three principal approaches have emerged historically. The first, query-based CDC, periodically polls the source database for rows whose update timestamp exceeds the last observed value. This approach is simple to implement and requires no special database privileges, but it suffers from several drawbacks. It cannot detect deletions because deleted rows leave no trace in the source table. It misses intermediate states of rapidly updated rows because only the latest state is visible at poll time. It imposes ongoing query load on the source. And it cannot reliably reconstruct event ordering across multiple tables.</w:t>
      </w:r>
    </w:p>
    <w:p>
      <w:pPr>
        <w:spacing w:after="120" w:line="480"/>
        <w:jc w:val="both"/>
      </w:pPr>
      <w:r>
        <w:rPr>
          <w:rFonts w:ascii="Times New Roman" w:cs="Times New Roman" w:eastAsia="Times New Roman" w:hAnsi="Times New Roman"/>
          <w:sz w:val="24"/>
          <w:szCs w:val="24"/>
        </w:rPr>
        <w:t xml:space="preserve">The second approach, trigger-based CDC, installs database triggers that fire on INSERT, UPDATE, and DELETE operations, writing change records to an audit table that is subsequently consumed by the change processor. This approach captures all operations including deletions and preserves intermediate states, but it introduces synchronous overhead on every write operation in the source — typically increasing transaction latency by ten to thirty percent — and complicates schema migrations because triggers must be updated whenever tracked columns change.</w:t>
      </w:r>
    </w:p>
    <w:p>
      <w:pPr>
        <w:spacing w:after="120" w:line="480"/>
        <w:jc w:val="both"/>
      </w:pPr>
      <w:r>
        <w:rPr>
          <w:rFonts w:ascii="Times New Roman" w:cs="Times New Roman" w:eastAsia="Times New Roman" w:hAnsi="Times New Roman"/>
          <w:sz w:val="24"/>
          <w:szCs w:val="24"/>
        </w:rPr>
        <w:t xml:space="preserve">The third approach, log-based CDC, reads directly from the transaction log that the database itself maintains for durability and replication. PostgreSQL calls this log the Write-Ahead Log, MySQL calls it the binary log, and Oracle calls it the redo log; all serve the same fundamental function. Because the database is already writing this log unconditionally for its own purposes, log-based CDC imposes essentially no additional overhead on the source. It captures every operation including deletions, preserves complete transaction boundaries and ordering, and can be paused and resumed without data loss using bookmarks into the log.</w:t>
      </w:r>
    </w:p>
    <w:p>
      <w:pPr>
        <w:spacing w:after="120" w:line="480"/>
        <w:jc w:val="both"/>
      </w:pPr>
      <w:r>
        <w:rPr>
          <w:rFonts w:ascii="Times New Roman" w:cs="Times New Roman" w:eastAsia="Times New Roman" w:hAnsi="Times New Roman"/>
          <w:sz w:val="24"/>
          <w:szCs w:val="24"/>
        </w:rPr>
        <w:t xml:space="preserve">The system designed in this thesis adopts log-based CDC exclusively, employing Debezium as the implementation framework. The justification for this choice is documented in Section 3.2 of Chapter 3.</w:t>
      </w:r>
    </w:p>
    <w:p>
      <w:pPr>
        <w:pStyle w:val="Heading3"/>
        <w:spacing w:after="160" w:before="240"/>
      </w:pPr>
      <w:r>
        <w:rPr>
          <w:rFonts w:ascii="Times New Roman" w:cs="Times New Roman" w:eastAsia="Times New Roman" w:hAnsi="Times New Roman"/>
          <w:b/>
          <w:bCs/>
          <w:i/>
          <w:iCs/>
          <w:sz w:val="26"/>
          <w:szCs w:val="26"/>
        </w:rPr>
        <w:t xml:space="preserve">2.2.3 PostgreSQL Logical Replication</w:t>
      </w:r>
    </w:p>
    <w:p>
      <w:pPr>
        <w:spacing w:after="120" w:line="480"/>
        <w:jc w:val="both"/>
      </w:pPr>
      <w:r>
        <w:rPr>
          <w:rFonts w:ascii="Times New Roman" w:cs="Times New Roman" w:eastAsia="Times New Roman" w:hAnsi="Times New Roman"/>
          <w:sz w:val="24"/>
          <w:szCs w:val="24"/>
        </w:rPr>
        <w:t xml:space="preserve">PostgreSQL's implementation of log-based CDC is realized through its logical replication subsystem, introduced as a production feature in version 10 in 2017. Unlike physical replication, which transmits byte-level changes to data files and requires both endpoints to run the same major version of PostgreSQL, logical replication transmits row-level changes decoded from the Write-Ahead Log into a logical format that can be consumed by heterogeneous targets including non-PostgreSQL systems.</w:t>
      </w:r>
    </w:p>
    <w:p>
      <w:pPr>
        <w:spacing w:after="120" w:line="480"/>
        <w:jc w:val="both"/>
      </w:pPr>
      <w:r>
        <w:rPr>
          <w:rFonts w:ascii="Times New Roman" w:cs="Times New Roman" w:eastAsia="Times New Roman" w:hAnsi="Times New Roman"/>
          <w:sz w:val="24"/>
          <w:szCs w:val="24"/>
        </w:rPr>
        <w:t xml:space="preserve">Logical replication has four moving parts. A publication declares which tables and which operations on those tables should be made available to subscribers. A replication slot persists the position in the Write-Ahead Log up to which a subscriber has acknowledged consumption; this position is updated as the subscriber confirms processing and prevents PostgreSQL from prematurely recycling Write-Ahead Log segments that the subscriber has not yet read. An output plugin transforms the binary Write-Ahead Log records into a logical format; PostgreSQL ships with the pgoutput plugin, and additional plugins including wal2json provide alternative output formats. A subscriber, finally, receives the decoded stream and applies it according to its own logic.</w:t>
      </w:r>
    </w:p>
    <w:p>
      <w:pPr>
        <w:spacing w:after="120" w:line="480"/>
        <w:jc w:val="both"/>
      </w:pPr>
      <w:r>
        <w:rPr>
          <w:rFonts w:ascii="Times New Roman" w:cs="Times New Roman" w:eastAsia="Times New Roman" w:hAnsi="Times New Roman"/>
          <w:sz w:val="24"/>
          <w:szCs w:val="24"/>
        </w:rPr>
        <w:t xml:space="preserve">The replication slot mechanism has important operational implications. Because PostgreSQL guarantees never to discard Write-Ahead Log segments beyond a slot's confirmed position, an inactive slot — one whose subscriber has stopped reading but which has not been explicitly dropped — causes Write-Ahead Log accumulation that can ultimately exhaust disk space and crash the database. The thesis implementation includes monitoring to detect slot lag and operational documentation to handle this failure mode.</w:t>
      </w:r>
    </w:p>
    <w:p>
      <w:pPr>
        <w:pStyle w:val="Heading2"/>
        <w:spacing w:after="240" w:before="360"/>
      </w:pPr>
      <w:r>
        <w:rPr>
          <w:rFonts w:ascii="Times New Roman" w:cs="Times New Roman" w:eastAsia="Times New Roman" w:hAnsi="Times New Roman"/>
          <w:b/>
          <w:bCs/>
          <w:sz w:val="28"/>
          <w:szCs w:val="28"/>
        </w:rPr>
        <w:t xml:space="preserve">2.3 Apache Kafka</w:t>
      </w:r>
    </w:p>
    <w:p>
      <w:pPr>
        <w:pStyle w:val="Heading3"/>
        <w:spacing w:after="160" w:before="240"/>
      </w:pPr>
      <w:r>
        <w:rPr>
          <w:rFonts w:ascii="Times New Roman" w:cs="Times New Roman" w:eastAsia="Times New Roman" w:hAnsi="Times New Roman"/>
          <w:b/>
          <w:bCs/>
          <w:i/>
          <w:iCs/>
          <w:sz w:val="26"/>
          <w:szCs w:val="26"/>
        </w:rPr>
        <w:t xml:space="preserve">2.3.1 Architectural Primitives</w:t>
      </w:r>
    </w:p>
    <w:p>
      <w:pPr>
        <w:spacing w:after="120" w:line="480"/>
        <w:jc w:val="both"/>
      </w:pPr>
      <w:r>
        <w:rPr>
          <w:rFonts w:ascii="Times New Roman" w:cs="Times New Roman" w:eastAsia="Times New Roman" w:hAnsi="Times New Roman"/>
          <w:sz w:val="24"/>
          <w:szCs w:val="24"/>
        </w:rPr>
        <w:t xml:space="preserve">Apache Kafka, originally developed at LinkedIn and contributed to the Apache Software Foundation in 2011, has emerged as the de facto standard for high-throughput distributed event streaming. Its architecture comprises several primitives that this thesis exploits.</w:t>
      </w:r>
    </w:p>
    <w:p>
      <w:pPr>
        <w:spacing w:after="120" w:line="480"/>
        <w:jc w:val="both"/>
      </w:pPr>
      <w:r>
        <w:rPr>
          <w:rFonts w:ascii="Times New Roman" w:cs="Times New Roman" w:eastAsia="Times New Roman" w:hAnsi="Times New Roman"/>
          <w:sz w:val="24"/>
          <w:szCs w:val="24"/>
        </w:rPr>
        <w:t xml:space="preserve">A topic is a named, append-only log to which producers write messages and from which consumers read. Each topic is divided into one or more partitions, which are independent ordered subsequences distributed across the cluster's broker nodes. Within a single partition, message ordering is strictly preserved; across partitions, no global ordering is provided. Each message in a partition has an offset, a monotonically increasing integer that uniquely identifies its position. Consumers explicitly track their progress through partitions by committing offsets, enabling restart from the last acknowledged position after failures.</w:t>
      </w:r>
    </w:p>
    <w:p>
      <w:pPr>
        <w:spacing w:after="120" w:line="480"/>
        <w:jc w:val="both"/>
      </w:pPr>
      <w:r>
        <w:rPr>
          <w:rFonts w:ascii="Times New Roman" w:cs="Times New Roman" w:eastAsia="Times New Roman" w:hAnsi="Times New Roman"/>
          <w:sz w:val="24"/>
          <w:szCs w:val="24"/>
        </w:rPr>
        <w:t xml:space="preserve">Each partition is replicated across a configurable number of broker nodes, with one designated as the leader and the others as followers. Producers and consumers interact exclusively with the leader; followers passively replicate from the leader. If the leader fails, an in-sync follower is automatically promoted. The replication factor and the minimum in-sync replicas setting together determine the system's tolerance to broker failures.</w:t>
      </w:r>
    </w:p>
    <w:p>
      <w:pPr>
        <w:pStyle w:val="Heading3"/>
        <w:spacing w:after="160" w:before="240"/>
      </w:pPr>
      <w:r>
        <w:rPr>
          <w:rFonts w:ascii="Times New Roman" w:cs="Times New Roman" w:eastAsia="Times New Roman" w:hAnsi="Times New Roman"/>
          <w:b/>
          <w:bCs/>
          <w:i/>
          <w:iCs/>
          <w:sz w:val="26"/>
          <w:szCs w:val="26"/>
        </w:rPr>
        <w:t xml:space="preserve">2.3.2 Delivery Semantics</w:t>
      </w:r>
    </w:p>
    <w:p>
      <w:pPr>
        <w:spacing w:after="120" w:line="480"/>
        <w:jc w:val="both"/>
      </w:pPr>
      <w:r>
        <w:rPr>
          <w:rFonts w:ascii="Times New Roman" w:cs="Times New Roman" w:eastAsia="Times New Roman" w:hAnsi="Times New Roman"/>
          <w:sz w:val="24"/>
          <w:szCs w:val="24"/>
        </w:rPr>
        <w:t xml:space="preserve">Distributed messaging systems offer three possible delivery semantics: at-most-once, in which messages may be lost but never duplicated; at-least-once, in which messages may be duplicated but never lost; and exactly-once, in which messages are delivered precisely one time. Kafka's default configuration provides at-least-once semantics. Exactly-once semantics are achievable through the combination of an idempotent producer and a transactional consumer, but at a measurable performance cost.</w:t>
      </w:r>
    </w:p>
    <w:p>
      <w:pPr>
        <w:spacing w:after="120" w:line="480"/>
        <w:jc w:val="both"/>
      </w:pPr>
      <w:r>
        <w:rPr>
          <w:rFonts w:ascii="Times New Roman" w:cs="Times New Roman" w:eastAsia="Times New Roman" w:hAnsi="Times New Roman"/>
          <w:sz w:val="24"/>
          <w:szCs w:val="24"/>
        </w:rPr>
        <w:t xml:space="preserve">This thesis adopts a hybrid approach: Kafka itself operates with at-least-once semantics, but the downstream ClickHouse target employs the ReplacingMergeTree engine to deduplicate by primary key and source timestamp. This combination yields effectively exactly-once semantics at the analytical store while avoiding the throughput penalty of Kafka transactions.</w:t>
      </w:r>
    </w:p>
    <w:p>
      <w:pPr>
        <w:pStyle w:val="Heading3"/>
        <w:spacing w:after="160" w:before="240"/>
      </w:pPr>
      <w:r>
        <w:rPr>
          <w:rFonts w:ascii="Times New Roman" w:cs="Times New Roman" w:eastAsia="Times New Roman" w:hAnsi="Times New Roman"/>
          <w:b/>
          <w:bCs/>
          <w:i/>
          <w:iCs/>
          <w:sz w:val="26"/>
          <w:szCs w:val="26"/>
        </w:rPr>
        <w:t xml:space="preserve">2.3.3 Consumer Groups</w:t>
      </w:r>
    </w:p>
    <w:p>
      <w:pPr>
        <w:spacing w:after="120" w:line="480"/>
        <w:jc w:val="both"/>
      </w:pPr>
      <w:r>
        <w:rPr>
          <w:rFonts w:ascii="Times New Roman" w:cs="Times New Roman" w:eastAsia="Times New Roman" w:hAnsi="Times New Roman"/>
          <w:sz w:val="24"/>
          <w:szCs w:val="24"/>
        </w:rPr>
        <w:t xml:space="preserve">Kafka's consumer group mechanism enables horizontal scaling of consumption. Multiple consumer instances sharing the same group identifier collectively consume the partitions of a subscribed topic, with each partition assigned to exactly one consumer at any time. Adding consumers within the limit of the partition count increases parallelism; consumers in excess of the partition count remain idle. Kafka automatically rebalances partition assignments when consumers join or leave the group.</w:t>
      </w:r>
    </w:p>
    <w:p>
      <w:pPr>
        <w:pStyle w:val="Heading2"/>
        <w:spacing w:after="240" w:before="360"/>
      </w:pPr>
      <w:r>
        <w:rPr>
          <w:rFonts w:ascii="Times New Roman" w:cs="Times New Roman" w:eastAsia="Times New Roman" w:hAnsi="Times New Roman"/>
          <w:b/>
          <w:bCs/>
          <w:sz w:val="28"/>
          <w:szCs w:val="28"/>
        </w:rPr>
        <w:t xml:space="preserve">2.4 Debezium</w:t>
      </w:r>
    </w:p>
    <w:p>
      <w:pPr>
        <w:spacing w:after="120" w:line="480"/>
        <w:jc w:val="both"/>
      </w:pPr>
      <w:r>
        <w:rPr>
          <w:rFonts w:ascii="Times New Roman" w:cs="Times New Roman" w:eastAsia="Times New Roman" w:hAnsi="Times New Roman"/>
          <w:sz w:val="24"/>
          <w:szCs w:val="24"/>
        </w:rPr>
        <w:t xml:space="preserve">Debezium, an open-source project originating at Red Hat and now under the Apache CDC umbrella, provides production-grade log-based CDC connectors for a range of databases including PostgreSQL, MySQL, MongoDB, SQL Server, Oracle, and Db2. Debezium connectors run on Kafka Connect, the distributed configuration and execution framework that ships with Apache Kafka.</w:t>
      </w:r>
    </w:p>
    <w:p>
      <w:pPr>
        <w:spacing w:after="120" w:line="480"/>
        <w:jc w:val="both"/>
      </w:pPr>
      <w:r>
        <w:rPr>
          <w:rFonts w:ascii="Times New Roman" w:cs="Times New Roman" w:eastAsia="Times New Roman" w:hAnsi="Times New Roman"/>
          <w:sz w:val="24"/>
          <w:szCs w:val="24"/>
        </w:rPr>
        <w:t xml:space="preserve">The Debezium PostgreSQL connector reads the Write-Ahead Log through PostgreSQL's logical replication mechanism, transforms each row-level change into a structured event in the Debezium envelope format, and publishes it to a Kafka topic named according to a configurable pattern. The envelope contains five top-level fields: a before image of the row prior to the change (null for inserts), an after image after the change (null for deletes), a source metadata block including the database, schema, table, and Write-Ahead Log position of the change, an operation code (c for create, u for update, d for delete, r for read during initial snapshot, t for truncate), and a millisecond timestamp.</w:t>
      </w:r>
    </w:p>
    <w:p>
      <w:pPr>
        <w:spacing w:after="120" w:line="480"/>
        <w:jc w:val="both"/>
      </w:pPr>
      <w:r>
        <w:rPr>
          <w:rFonts w:ascii="Times New Roman" w:cs="Times New Roman" w:eastAsia="Times New Roman" w:hAnsi="Times New Roman"/>
          <w:sz w:val="24"/>
          <w:szCs w:val="24"/>
        </w:rPr>
        <w:t xml:space="preserve">For consumers that prefer a flat schema, Debezium provides a Single Message Transform called ExtractNewRecordState that unwraps the envelope, retaining only the after image plus selected metadata fields. The thesis implementation applies this transform with the additional fields op, table, and source.ts_ms to provide downstream consumers with enough context to identify the operation type, source table, and original timestamp without the overhead of the full envelope.</w:t>
      </w:r>
    </w:p>
    <w:p>
      <w:pPr>
        <w:pStyle w:val="Heading2"/>
        <w:spacing w:after="240" w:before="360"/>
      </w:pPr>
      <w:r>
        <w:rPr>
          <w:rFonts w:ascii="Times New Roman" w:cs="Times New Roman" w:eastAsia="Times New Roman" w:hAnsi="Times New Roman"/>
          <w:b/>
          <w:bCs/>
          <w:sz w:val="28"/>
          <w:szCs w:val="28"/>
        </w:rPr>
        <w:t xml:space="preserve">2.5 ClickHouse</w:t>
      </w:r>
    </w:p>
    <w:p>
      <w:pPr>
        <w:pStyle w:val="Heading3"/>
        <w:spacing w:after="160" w:before="240"/>
      </w:pPr>
      <w:r>
        <w:rPr>
          <w:rFonts w:ascii="Times New Roman" w:cs="Times New Roman" w:eastAsia="Times New Roman" w:hAnsi="Times New Roman"/>
          <w:b/>
          <w:bCs/>
          <w:i/>
          <w:iCs/>
          <w:sz w:val="26"/>
          <w:szCs w:val="26"/>
        </w:rPr>
        <w:t xml:space="preserve">2.5.1 Columnar Storage</w:t>
      </w:r>
    </w:p>
    <w:p>
      <w:pPr>
        <w:spacing w:after="120" w:line="480"/>
        <w:jc w:val="both"/>
      </w:pPr>
      <w:r>
        <w:rPr>
          <w:rFonts w:ascii="Times New Roman" w:cs="Times New Roman" w:eastAsia="Times New Roman" w:hAnsi="Times New Roman"/>
          <w:sz w:val="24"/>
          <w:szCs w:val="24"/>
        </w:rPr>
        <w:t xml:space="preserve">ClickHouse, originally developed by Yandex and open-sourced in 2016, is a columnar OLAP database optimized for high-cardinality analytical queries on large tables. The columnar storage model stores each column of a table in a separate physical file rather than storing rows together; this layout dramatically improves performance for queries that aggregate over a subset of columns because only the queried columns need to be read from disk.</w:t>
      </w:r>
    </w:p>
    <w:p>
      <w:pPr>
        <w:spacing w:after="120" w:line="480"/>
        <w:jc w:val="both"/>
      </w:pPr>
      <w:r>
        <w:rPr>
          <w:rFonts w:ascii="Times New Roman" w:cs="Times New Roman" w:eastAsia="Times New Roman" w:hAnsi="Times New Roman"/>
          <w:sz w:val="24"/>
          <w:szCs w:val="24"/>
        </w:rPr>
        <w:t xml:space="preserve">ClickHouse compounds the I/O advantage of columnar storage with three additional optimizations. First, columns are compressed with high-ratio codecs such as LZ4 and ZSTD; because values in the same column tend to be similar, compression ratios of ten-to-one or higher are commonly achieved. Second, query execution is vectorized: rather than processing rows one at a time, the engine processes blocks of several thousand values per call, exploiting modern CPU SIMD instructions. Third, primary index structures are sparse: rather than indexing every row, ClickHouse stores one index entry per granule of several thousand rows, keeping the index small enough to remain in memory while still enabling efficient range filtering.</w:t>
      </w:r>
    </w:p>
    <w:p>
      <w:pPr>
        <w:pStyle w:val="Heading3"/>
        <w:spacing w:after="160" w:before="240"/>
      </w:pPr>
      <w:r>
        <w:rPr>
          <w:rFonts w:ascii="Times New Roman" w:cs="Times New Roman" w:eastAsia="Times New Roman" w:hAnsi="Times New Roman"/>
          <w:b/>
          <w:bCs/>
          <w:i/>
          <w:iCs/>
          <w:sz w:val="26"/>
          <w:szCs w:val="26"/>
        </w:rPr>
        <w:t xml:space="preserve">2.5.2 The MergeTree Family</w:t>
      </w:r>
    </w:p>
    <w:p>
      <w:pPr>
        <w:spacing w:after="120" w:line="480"/>
        <w:jc w:val="both"/>
      </w:pPr>
      <w:r>
        <w:rPr>
          <w:rFonts w:ascii="Times New Roman" w:cs="Times New Roman" w:eastAsia="Times New Roman" w:hAnsi="Times New Roman"/>
          <w:sz w:val="24"/>
          <w:szCs w:val="24"/>
        </w:rPr>
        <w:t xml:space="preserve">ClickHouse's table engines determine how data is stored, indexed, and read. The MergeTree family — comprising MergeTree, ReplacingMergeTree, SummingMergeTree, AggregatingMergeTree, and CollapsingMergeTree — is the foundation of analytical workloads. All members of the family share the same on-disk layout: data is written in small immutable parts that are periodically merged in the background into larger parts. The variants differ in what happens during a merge: plain MergeTree simply concatenates rows, while ReplacingMergeTree keeps only the row with the largest version among those sharing the same primary key, SummingMergeTree sums numeric columns of rows sharing the same key, and so on.</w:t>
      </w:r>
    </w:p>
    <w:p>
      <w:pPr>
        <w:spacing w:after="120" w:line="480"/>
        <w:jc w:val="both"/>
      </w:pPr>
      <w:r>
        <w:rPr>
          <w:rFonts w:ascii="Times New Roman" w:cs="Times New Roman" w:eastAsia="Times New Roman" w:hAnsi="Times New Roman"/>
          <w:sz w:val="24"/>
          <w:szCs w:val="24"/>
        </w:rPr>
        <w:t xml:space="preserve">This thesis employs ReplacingMergeTree throughout. The version column is _source_ts_ms, the millisecond Debezium emit timestamp; the primary key is composed of account_id, created_at, and id, chosen to align with the most common query patterns of fraud detection workloads. Because merging is asynchronous, queries that depend on deduplicated state must use the FINAL keyword to trigger on-the-fly deduplication; this has a measurable performance cost but provides correct results.</w:t>
      </w:r>
    </w:p>
    <w:p>
      <w:pPr>
        <w:pStyle w:val="Heading3"/>
        <w:spacing w:after="160" w:before="240"/>
      </w:pPr>
      <w:r>
        <w:rPr>
          <w:rFonts w:ascii="Times New Roman" w:cs="Times New Roman" w:eastAsia="Times New Roman" w:hAnsi="Times New Roman"/>
          <w:b/>
          <w:bCs/>
          <w:i/>
          <w:iCs/>
          <w:sz w:val="26"/>
          <w:szCs w:val="26"/>
        </w:rPr>
        <w:t xml:space="preserve">2.5.3 Kafka Engine and Materialized Views</w:t>
      </w:r>
    </w:p>
    <w:p>
      <w:pPr>
        <w:spacing w:after="120" w:line="480"/>
        <w:jc w:val="both"/>
      </w:pPr>
      <w:r>
        <w:rPr>
          <w:rFonts w:ascii="Times New Roman" w:cs="Times New Roman" w:eastAsia="Times New Roman" w:hAnsi="Times New Roman"/>
          <w:sz w:val="24"/>
          <w:szCs w:val="24"/>
        </w:rPr>
        <w:t xml:space="preserve">ClickHouse provides a Kafka Engine table type that does not store data itself but exposes a Kafka topic as a queryable table. Selecting from a Kafka Engine table consumes messages from the underlying topic; this is rarely the desired direct behavior. Instead, the canonical pattern is to attach a Materialized View to the Kafka Engine table. ClickHouse's Materialized View is fundamentally different from PostgreSQL's: rather than a periodically refreshed snapshot, it is a trigger that fires on every block of newly arrived data, executing a SELECT statement and inserting the results into a target table. The combination of a Kafka Engine source table and a Materialized View pointed at a ReplacingMergeTree target produces a streaming ingestion pipeline implemented entirely within ClickHouse.</w:t>
      </w:r>
    </w:p>
    <w:p>
      <w:pPr>
        <w:pStyle w:val="Heading2"/>
        <w:spacing w:after="240" w:before="360"/>
      </w:pPr>
      <w:r>
        <w:rPr>
          <w:rFonts w:ascii="Times New Roman" w:cs="Times New Roman" w:eastAsia="Times New Roman" w:hAnsi="Times New Roman"/>
          <w:b/>
          <w:bCs/>
          <w:sz w:val="28"/>
          <w:szCs w:val="28"/>
        </w:rPr>
        <w:t xml:space="preserve">2.6 Anomaly Detection in Financial Transactions</w:t>
      </w:r>
    </w:p>
    <w:p>
      <w:pPr>
        <w:pStyle w:val="Heading3"/>
        <w:spacing w:after="160" w:before="240"/>
      </w:pPr>
      <w:r>
        <w:rPr>
          <w:rFonts w:ascii="Times New Roman" w:cs="Times New Roman" w:eastAsia="Times New Roman" w:hAnsi="Times New Roman"/>
          <w:b/>
          <w:bCs/>
          <w:i/>
          <w:iCs/>
          <w:sz w:val="26"/>
          <w:szCs w:val="26"/>
        </w:rPr>
        <w:t xml:space="preserve">2.6.1 Rule-Based Detection</w:t>
      </w:r>
    </w:p>
    <w:p>
      <w:pPr>
        <w:spacing w:after="120" w:line="480"/>
        <w:jc w:val="both"/>
      </w:pPr>
      <w:r>
        <w:rPr>
          <w:rFonts w:ascii="Times New Roman" w:cs="Times New Roman" w:eastAsia="Times New Roman" w:hAnsi="Times New Roman"/>
          <w:sz w:val="24"/>
          <w:szCs w:val="24"/>
        </w:rPr>
        <w:t xml:space="preserve">Rule-based detection encodes domain knowledge as explicit conditional predicates over transaction attributes. Typical rules include thresholds on transaction amount, velocity counts within rolling time windows, and membership tests against blocklists of suspicious merchants or geographies. The principal advantages of rule-based detection are interpretability — a flagged case can always be traced to the specific rule that fired — and the absence of training data requirements. The principal disadvantages are rigidity in the face of novel attack patterns and the operational burden of tuning thresholds for diverse customer segments.</w:t>
      </w:r>
    </w:p>
    <w:p>
      <w:pPr>
        <w:pStyle w:val="Heading3"/>
        <w:spacing w:after="160" w:before="240"/>
      </w:pPr>
      <w:r>
        <w:rPr>
          <w:rFonts w:ascii="Times New Roman" w:cs="Times New Roman" w:eastAsia="Times New Roman" w:hAnsi="Times New Roman"/>
          <w:b/>
          <w:bCs/>
          <w:i/>
          <w:iCs/>
          <w:sz w:val="26"/>
          <w:szCs w:val="26"/>
        </w:rPr>
        <w:t xml:space="preserve">2.6.2 Statistical Methods</w:t>
      </w:r>
    </w:p>
    <w:p>
      <w:pPr>
        <w:spacing w:after="120" w:line="480"/>
        <w:jc w:val="both"/>
      </w:pPr>
      <w:r>
        <w:rPr>
          <w:rFonts w:ascii="Times New Roman" w:cs="Times New Roman" w:eastAsia="Times New Roman" w:hAnsi="Times New Roman"/>
          <w:sz w:val="24"/>
          <w:szCs w:val="24"/>
        </w:rPr>
        <w:t xml:space="preserve">Statistical methods supplement rule-based detection by computing summary statistics over historical behavior and flagging deviations from established norms. The most widely deployed approach is the z-score, defined as the number of standard deviations by which an observation differs from the mean of a reference population. For per-account behavioral monitoring, the reference population is typically the account's own historical transactions over a rolling window. Observations with absolute z-scores exceeding three are conventionally treated as anomalies, corresponding to events that occur in less than one quarter of one percent of a normal distribution.</w:t>
      </w:r>
    </w:p>
    <w:p>
      <w:pPr>
        <w:spacing w:after="120" w:line="480"/>
        <w:jc w:val="both"/>
      </w:pPr>
      <w:r>
        <w:rPr>
          <w:rFonts w:ascii="Times New Roman" w:cs="Times New Roman" w:eastAsia="Times New Roman" w:hAnsi="Times New Roman"/>
          <w:sz w:val="24"/>
          <w:szCs w:val="24"/>
        </w:rPr>
        <w:t xml:space="preserve">Z-score detection has two well-documented limitations. First, its assumption of approximate normality is frequently violated in financial data, which commonly exhibits heavy right tails. Second, outliers contaminate the very statistics — mean and standard deviation — that the method uses, reducing its sensitivity in datasets where outliers are common. A robust alternative replaces the mean with the median and the standard deviation with the median absolute deviation; the resulting modified z-score is less perturbed by outliers and is implemented in this thesis as an alternative to the standard z-score rule.</w:t>
      </w:r>
    </w:p>
    <w:p>
      <w:pPr>
        <w:pStyle w:val="Heading3"/>
        <w:spacing w:after="160" w:before="240"/>
      </w:pPr>
      <w:r>
        <w:rPr>
          <w:rFonts w:ascii="Times New Roman" w:cs="Times New Roman" w:eastAsia="Times New Roman" w:hAnsi="Times New Roman"/>
          <w:b/>
          <w:bCs/>
          <w:i/>
          <w:iCs/>
          <w:sz w:val="26"/>
          <w:szCs w:val="26"/>
        </w:rPr>
        <w:t xml:space="preserve">2.6.3 Machine Learning Approaches</w:t>
      </w:r>
    </w:p>
    <w:p>
      <w:pPr>
        <w:spacing w:after="120" w:line="480"/>
        <w:jc w:val="both"/>
      </w:pPr>
      <w:r>
        <w:rPr>
          <w:rFonts w:ascii="Times New Roman" w:cs="Times New Roman" w:eastAsia="Times New Roman" w:hAnsi="Times New Roman"/>
          <w:sz w:val="24"/>
          <w:szCs w:val="24"/>
        </w:rPr>
        <w:t xml:space="preserve">Machine learning approaches to fraud detection have become standard at large financial institutions. Supervised methods including logistic regression, gradient-boosted trees such as XGBoost and LightGBM, and deep neural networks classify transactions as fraudulent or legitimate based on labeled historical training data. Unsupervised methods including Isolation Forest, one-class support vector machines, and variational autoencoders identify anomalies without labeled data by characterizing the manifold of normal behavior and flagging observations distant from it.</w:t>
      </w:r>
    </w:p>
    <w:p>
      <w:pPr>
        <w:spacing w:after="120" w:line="480"/>
        <w:jc w:val="both"/>
      </w:pPr>
      <w:r>
        <w:rPr>
          <w:rFonts w:ascii="Times New Roman" w:cs="Times New Roman" w:eastAsia="Times New Roman" w:hAnsi="Times New Roman"/>
          <w:sz w:val="24"/>
          <w:szCs w:val="24"/>
        </w:rPr>
        <w:t xml:space="preserve">This thesis does not implement machine learning approaches, for two reasons. First, training high-quality fraud models requires labeled data at a scale and quality difficult to obtain in an academic setting, particularly for Vietnamese transaction patterns. Second, the rule-based and statistical layer can be made surprisingly competitive with careful engineering, and serves as a meaningful baseline against which future machine learning extensions can be measured. Chapter 6 discusses the integration of machine learning as a primary direction for future work.</w:t>
      </w:r>
    </w:p>
    <w:p>
      <w:pPr>
        <w:pStyle w:val="Heading2"/>
        <w:spacing w:after="240" w:before="360"/>
      </w:pPr>
      <w:r>
        <w:rPr>
          <w:rFonts w:ascii="Times New Roman" w:cs="Times New Roman" w:eastAsia="Times New Roman" w:hAnsi="Times New Roman"/>
          <w:b/>
          <w:bCs/>
          <w:sz w:val="28"/>
          <w:szCs w:val="28"/>
        </w:rPr>
        <w:t xml:space="preserve">2.7 Related Work</w:t>
      </w:r>
    </w:p>
    <w:p>
      <w:pPr>
        <w:spacing w:after="120" w:line="480"/>
        <w:jc w:val="both"/>
      </w:pPr>
      <w:r>
        <w:rPr>
          <w:rFonts w:ascii="Times New Roman" w:cs="Times New Roman" w:eastAsia="Times New Roman" w:hAnsi="Times New Roman"/>
          <w:sz w:val="24"/>
          <w:szCs w:val="24"/>
        </w:rPr>
        <w:t xml:space="preserve">Several engineering organizations have publicly described real-time fraud detection systems that share architectural elements with the one designed in this thesis. Uber's risk engineering team has documented the use of Kafka Streams for in-flight risk scoring of ride-hail transactions. Stripe's Radar product employs a streaming machine learning pipeline that surfaces risk scores synchronously within the payment authorization path. Shopify has described its use of Apache Kafka and ksqlDB for real-time order monitoring and fraud routing. Netflix's data engineering team has published extensively on its Kafka-based event pipeline, which underpins both content analytics and operational monitoring.</w:t>
      </w:r>
    </w:p>
    <w:p>
      <w:pPr>
        <w:spacing w:after="120" w:line="480"/>
        <w:jc w:val="both"/>
      </w:pPr>
      <w:r>
        <w:rPr>
          <w:rFonts w:ascii="Times New Roman" w:cs="Times New Roman" w:eastAsia="Times New Roman" w:hAnsi="Times New Roman"/>
          <w:sz w:val="24"/>
          <w:szCs w:val="24"/>
        </w:rPr>
        <w:t xml:space="preserve">Academically, Dal Pozzolo and colleagues' 2015 paper on credit card fraud detection provides a foundational treatment of the imbalanced classification problem characteristic of fraud detection workloads and remains a primary reference for evaluation methodology. The book Fraud Analytics by Baesens and colleagues offers a comprehensive treatment of both the statistical and machine learning dimensions of the field.</w:t>
      </w:r>
    </w:p>
    <w:p>
      <w:pPr>
        <w:spacing w:after="120" w:line="480"/>
        <w:jc w:val="both"/>
      </w:pPr>
      <w:r>
        <w:rPr>
          <w:rFonts w:ascii="Times New Roman" w:cs="Times New Roman" w:eastAsia="Times New Roman" w:hAnsi="Times New Roman"/>
          <w:sz w:val="24"/>
          <w:szCs w:val="24"/>
        </w:rPr>
        <w:t xml:space="preserve">The synthesis offered by this thesis is to demonstrate, in a single end-to-end implementation reproducible by a student or small team, the architectural pattern that these large organizations have arrived at independently: log-based CDC into a streaming buffer, then onward into a columnar analytical store with anomaly detection expressed as queries over the columnar data.</w:t>
      </w:r>
    </w:p>
    <w:p>
      <w:pPr>
        <w:pStyle w:val="Heading1"/>
        <w:pageBreakBefore/>
        <w:spacing w:after="360" w:before="480"/>
        <w:jc w:val="left"/>
      </w:pPr>
      <w:r>
        <w:rPr>
          <w:rFonts w:ascii="Times New Roman" w:cs="Times New Roman" w:eastAsia="Times New Roman" w:hAnsi="Times New Roman"/>
          <w:b/>
          <w:bCs/>
          <w:sz w:val="32"/>
          <w:szCs w:val="32"/>
        </w:rPr>
        <w:t xml:space="preserve">Chapter 3: System Analysis and Design</w:t>
      </w:r>
    </w:p>
    <w:p>
      <w:pPr>
        <w:pStyle w:val="Heading2"/>
        <w:spacing w:after="240" w:before="360"/>
      </w:pPr>
      <w:r>
        <w:rPr>
          <w:rFonts w:ascii="Times New Roman" w:cs="Times New Roman" w:eastAsia="Times New Roman" w:hAnsi="Times New Roman"/>
          <w:b/>
          <w:bCs/>
          <w:sz w:val="28"/>
          <w:szCs w:val="28"/>
        </w:rPr>
        <w:t xml:space="preserve">3.1 Requirements Analysis</w:t>
      </w:r>
    </w:p>
    <w:p>
      <w:pPr>
        <w:pStyle w:val="Heading3"/>
        <w:spacing w:after="160" w:before="240"/>
      </w:pPr>
      <w:r>
        <w:rPr>
          <w:rFonts w:ascii="Times New Roman" w:cs="Times New Roman" w:eastAsia="Times New Roman" w:hAnsi="Times New Roman"/>
          <w:b/>
          <w:bCs/>
          <w:i/>
          <w:iCs/>
          <w:sz w:val="26"/>
          <w:szCs w:val="26"/>
        </w:rPr>
        <w:t xml:space="preserve">3.1.1 Functional Requirements</w:t>
      </w:r>
    </w:p>
    <w:p>
      <w:pPr>
        <w:spacing w:after="120" w:line="480"/>
        <w:jc w:val="both"/>
      </w:pPr>
      <w:r>
        <w:rPr>
          <w:rFonts w:ascii="Times New Roman" w:cs="Times New Roman" w:eastAsia="Times New Roman" w:hAnsi="Times New Roman"/>
          <w:sz w:val="24"/>
          <w:szCs w:val="24"/>
        </w:rPr>
        <w:t xml:space="preserve">The system shall capture every insert, update, and delete operation on the transaction-related tables of the source PostgreSQL database and shall propagate these operations to downstream consumers in the order in which they were committed. The system shall transform the captured operations into a flat JSON message format suitable for direct consumption by analytical processors. The system shall persist transformed messages to a columnar analytical database optimized for high-cardinality aggregation queries.</w:t>
      </w:r>
    </w:p>
    <w:p>
      <w:pPr>
        <w:spacing w:after="120" w:line="480"/>
        <w:jc w:val="both"/>
      </w:pPr>
      <w:r>
        <w:rPr>
          <w:rFonts w:ascii="Times New Roman" w:cs="Times New Roman" w:eastAsia="Times New Roman" w:hAnsi="Times New Roman"/>
          <w:sz w:val="24"/>
          <w:szCs w:val="24"/>
        </w:rPr>
        <w:t xml:space="preserve">The system shall execute four classes of anomaly detection rules against the analytical database — velocity, threshold, statistical, and pattern-based — and shall publish alert events when rule conditions are satisfied. The system shall visualize transaction volume, pipeline lag, anomaly counts, and operational health metrics through a real-time dashboard refreshed at no greater than ten-second intervals. The system shall send email notifications to a configured operator address when alert thresholds are exceeded.</w:t>
      </w:r>
    </w:p>
    <w:p>
      <w:pPr>
        <w:spacing w:after="120" w:line="480"/>
        <w:jc w:val="both"/>
      </w:pPr>
      <w:r>
        <w:rPr>
          <w:rFonts w:ascii="Times New Roman" w:cs="Times New Roman" w:eastAsia="Times New Roman" w:hAnsi="Times New Roman"/>
          <w:sz w:val="24"/>
          <w:szCs w:val="24"/>
        </w:rPr>
        <w:t xml:space="preserve">The system shall provide a command-line interface to inject synthetic transaction load at configurable rates for evaluation purposes. The system shall provide a separate command-line interface to inject labeled fraudulent transactions following predefined attack patterns. The system shall provide benchmark tooling to measure end-to-end latency and sustained throughput in a reproducible fashion.</w:t>
      </w:r>
    </w:p>
    <w:p>
      <w:pPr>
        <w:pStyle w:val="Heading3"/>
        <w:spacing w:after="160" w:before="240"/>
      </w:pPr>
      <w:r>
        <w:rPr>
          <w:rFonts w:ascii="Times New Roman" w:cs="Times New Roman" w:eastAsia="Times New Roman" w:hAnsi="Times New Roman"/>
          <w:b/>
          <w:bCs/>
          <w:i/>
          <w:iCs/>
          <w:sz w:val="26"/>
          <w:szCs w:val="26"/>
        </w:rPr>
        <w:t xml:space="preserve">3.1.2 Non-Functional Requirements</w:t>
      </w:r>
    </w:p>
    <w:p>
      <w:pPr>
        <w:spacing w:after="120" w:line="480"/>
        <w:jc w:val="both"/>
      </w:pPr>
      <w:r>
        <w:rPr>
          <w:rFonts w:ascii="Times New Roman" w:cs="Times New Roman" w:eastAsia="Times New Roman" w:hAnsi="Times New Roman"/>
          <w:sz w:val="24"/>
          <w:szCs w:val="24"/>
        </w:rPr>
        <w:t xml:space="preserve">The end-to-end latency from a transaction commit in the source database to the same transaction being queryable in the analytical store shall not exceed five seconds at the ninety-fifth percentile under nominal load. The system shall sustain transaction ingestion at a rate of at least five hundred transactions per second indefinitely without queue accumulation. The system shall recover automatically from the failure of any single component, restoring full pipeline operation within sixty seconds of the component returning to service.</w:t>
      </w:r>
    </w:p>
    <w:p>
      <w:pPr>
        <w:spacing w:after="120" w:line="480"/>
        <w:jc w:val="both"/>
      </w:pPr>
      <w:r>
        <w:rPr>
          <w:rFonts w:ascii="Times New Roman" w:cs="Times New Roman" w:eastAsia="Times New Roman" w:hAnsi="Times New Roman"/>
          <w:sz w:val="24"/>
          <w:szCs w:val="24"/>
        </w:rPr>
        <w:t xml:space="preserve">The system shall be deployable on a single development machine through a single docker compose up command, with no manual configuration of individual components required by the operator. The system shall expose operational metrics in the Prometheus exposition format for at least the message broker, the CDC connector, and the analytical store. The system shall include written runbook documentation covering at least five common operational incident types.</w:t>
      </w:r>
    </w:p>
    <w:p>
      <w:pPr>
        <w:spacing w:after="120" w:line="480"/>
        <w:jc w:val="both"/>
      </w:pPr>
      <w:r>
        <w:rPr>
          <w:rFonts w:ascii="Times New Roman" w:cs="Times New Roman" w:eastAsia="Times New Roman" w:hAnsi="Times New Roman"/>
          <w:sz w:val="24"/>
          <w:szCs w:val="24"/>
        </w:rPr>
        <w:t xml:space="preserve">All source code shall be version-controlled in a Git repository with at least one commit per implementation milestone. All persistent state shall be stored in named Docker volumes such that the system can be destroyed and recreated without loss of data. All configuration values that vary between development and other environments shall be externalized as environment variables sourced from a .env file.</w:t>
      </w:r>
    </w:p>
    <w:p>
      <w:pPr>
        <w:pStyle w:val="Heading2"/>
        <w:spacing w:after="240" w:before="360"/>
      </w:pPr>
      <w:r>
        <w:rPr>
          <w:rFonts w:ascii="Times New Roman" w:cs="Times New Roman" w:eastAsia="Times New Roman" w:hAnsi="Times New Roman"/>
          <w:b/>
          <w:bCs/>
          <w:sz w:val="28"/>
          <w:szCs w:val="28"/>
        </w:rPr>
        <w:t xml:space="preserve">3.2 Architectural Design</w:t>
      </w:r>
    </w:p>
    <w:p>
      <w:pPr>
        <w:pStyle w:val="Heading3"/>
        <w:spacing w:after="160" w:before="240"/>
      </w:pPr>
      <w:r>
        <w:rPr>
          <w:rFonts w:ascii="Times New Roman" w:cs="Times New Roman" w:eastAsia="Times New Roman" w:hAnsi="Times New Roman"/>
          <w:b/>
          <w:bCs/>
          <w:i/>
          <w:iCs/>
          <w:sz w:val="26"/>
          <w:szCs w:val="26"/>
        </w:rPr>
        <w:t xml:space="preserve">3.2.1 High-Level Architecture</w:t>
      </w:r>
    </w:p>
    <w:p>
      <w:pPr>
        <w:spacing w:after="120" w:line="480"/>
        <w:jc w:val="both"/>
      </w:pPr>
      <w:r>
        <w:rPr>
          <w:rFonts w:ascii="Times New Roman" w:cs="Times New Roman" w:eastAsia="Times New Roman" w:hAnsi="Times New Roman"/>
          <w:sz w:val="24"/>
          <w:szCs w:val="24"/>
        </w:rPr>
        <w:t xml:space="preserve">The system architecture is organized into five logical tiers, each of which is realized by a single open-source software component running in an isolated Docker container. The source tier consists of PostgreSQL configured with logical replication enabled. The capture tier consists of a Debezium worker running on Kafka Connect. The transport tier consists of an Apache Kafka cluster — for development purposes a single broker, with ZooKeeper providing coordination — together with a Kafka UI for operational visibility and an Apicurio Schema Registry for future Avro support. The analytics tier consists of a ClickHouse server with Kafka Engine tables and Materialized Views configured to ingest from the transport tier. The presentation tier consists of Grafana with the ClickHouse data source plugin, supplemented by Metabase for ad-hoc business intelligence and Prometheus for operational metric scraping.</w:t>
      </w:r>
    </w:p>
    <w:p>
      <w:pPr>
        <w:spacing w:after="120" w:line="480"/>
        <w:jc w:val="both"/>
      </w:pPr>
      <w:r>
        <w:rPr>
          <w:rFonts w:ascii="Times New Roman" w:cs="Times New Roman" w:eastAsia="Times New Roman" w:hAnsi="Times New Roman"/>
          <w:sz w:val="24"/>
          <w:szCs w:val="24"/>
        </w:rPr>
        <w:t xml:space="preserve">Data flows linearly through the tiers in one direction. There are no synchronous feedback loops between tiers; consumers of any given tier interact only with the tier immediately preceding them, and the failure of a downstream tier does not block upstream activity beyond the buffering capacity of the transport tier.</w:t>
      </w:r>
    </w:p>
    <w:p>
      <w:pPr>
        <w:pStyle w:val="Heading3"/>
        <w:spacing w:after="160" w:before="240"/>
      </w:pPr>
      <w:r>
        <w:rPr>
          <w:rFonts w:ascii="Times New Roman" w:cs="Times New Roman" w:eastAsia="Times New Roman" w:hAnsi="Times New Roman"/>
          <w:b/>
          <w:bCs/>
          <w:i/>
          <w:iCs/>
          <w:sz w:val="26"/>
          <w:szCs w:val="26"/>
        </w:rPr>
        <w:t xml:space="preserve">3.2.2 Architectural Decisions</w:t>
      </w:r>
    </w:p>
    <w:p>
      <w:pPr>
        <w:spacing w:after="120" w:line="480"/>
        <w:jc w:val="both"/>
      </w:pPr>
      <w:r>
        <w:rPr>
          <w:rFonts w:ascii="Times New Roman" w:cs="Times New Roman" w:eastAsia="Times New Roman" w:hAnsi="Times New Roman"/>
          <w:sz w:val="24"/>
          <w:szCs w:val="24"/>
        </w:rPr>
        <w:t xml:space="preserve">Five principal architectural decisions characterize the design. The first is the choice of log-based CDC over query-based or trigger-based alternatives, motivated by the need to avoid imposing measurable additional load on the source transactional database. The decision is supported by the analysis in Section 2.2.2 of Chapter 2.</w:t>
      </w:r>
    </w:p>
    <w:p>
      <w:pPr>
        <w:spacing w:after="120" w:line="480"/>
        <w:jc w:val="both"/>
      </w:pPr>
      <w:r>
        <w:rPr>
          <w:rFonts w:ascii="Times New Roman" w:cs="Times New Roman" w:eastAsia="Times New Roman" w:hAnsi="Times New Roman"/>
          <w:sz w:val="24"/>
          <w:szCs w:val="24"/>
        </w:rPr>
        <w:t xml:space="preserve">The second is the choice of Apache Kafka over alternative messaging systems including RabbitMQ, Redis Streams, and Amazon Simple Queue Service. Kafka's log-based persistence model permits both replay of historical events for newly attached consumers and independent consumption by multiple downstream systems, both of which are required by the use case. RabbitMQ's queue semantics, in which messages are removed after consumption, do not support replay; Redis Streams provide limited durability guarantees; and Amazon Simple Queue Service ties the system to a specific cloud vendor.</w:t>
      </w:r>
    </w:p>
    <w:p>
      <w:pPr>
        <w:spacing w:after="120" w:line="480"/>
        <w:jc w:val="both"/>
      </w:pPr>
      <w:r>
        <w:rPr>
          <w:rFonts w:ascii="Times New Roman" w:cs="Times New Roman" w:eastAsia="Times New Roman" w:hAnsi="Times New Roman"/>
          <w:sz w:val="24"/>
          <w:szCs w:val="24"/>
        </w:rPr>
        <w:t xml:space="preserve">The third is the choice of ClickHouse over alternative analytical stores including Apache Druid, TimescaleDB, and Snowflake. ClickHouse's columnar storage and vectorized execution match the access patterns of fraud detection workloads, which predominantly aggregate over wide tables with selective filtering. Druid is similarly capable but operationally heavier; TimescaleDB inherits row-oriented limitations from its PostgreSQL substrate; and Snowflake's cloud-only deployment model precludes the targeted local-development use case.</w:t>
      </w:r>
    </w:p>
    <w:p>
      <w:pPr>
        <w:spacing w:after="120" w:line="480"/>
        <w:jc w:val="both"/>
      </w:pPr>
      <w:r>
        <w:rPr>
          <w:rFonts w:ascii="Times New Roman" w:cs="Times New Roman" w:eastAsia="Times New Roman" w:hAnsi="Times New Roman"/>
          <w:sz w:val="24"/>
          <w:szCs w:val="24"/>
        </w:rPr>
        <w:t xml:space="preserve">The fourth is the choice of JSON serialization over Avro for the messages flowing through Kafka. JSON's verbosity is a measurable cost, but its debuggability through standard tooling — including direct kafka-console-consumer inspection — substantially simplifies development and debugging. The thesis recommends migrating to Avro with the Apicurio Schema Registry for any production deployment derived from this work.</w:t>
      </w:r>
    </w:p>
    <w:p>
      <w:pPr>
        <w:spacing w:after="120" w:line="480"/>
        <w:jc w:val="both"/>
      </w:pPr>
      <w:r>
        <w:rPr>
          <w:rFonts w:ascii="Times New Roman" w:cs="Times New Roman" w:eastAsia="Times New Roman" w:hAnsi="Times New Roman"/>
          <w:sz w:val="24"/>
          <w:szCs w:val="24"/>
        </w:rPr>
        <w:t xml:space="preserve">The fifth is the choice of Docker Compose over Kubernetes for local orchestration. Compose's simplicity is appropriate for a single-node proof-of-concept; Kubernetes would impose substantial operational overhead without providing benefits at this scale.</w:t>
      </w:r>
    </w:p>
    <w:p>
      <w:pPr>
        <w:pStyle w:val="Heading2"/>
        <w:spacing w:after="240" w:before="360"/>
      </w:pPr>
      <w:r>
        <w:rPr>
          <w:rFonts w:ascii="Times New Roman" w:cs="Times New Roman" w:eastAsia="Times New Roman" w:hAnsi="Times New Roman"/>
          <w:b/>
          <w:bCs/>
          <w:sz w:val="28"/>
          <w:szCs w:val="28"/>
        </w:rPr>
        <w:t xml:space="preserve">3.3 Database Design</w:t>
      </w:r>
    </w:p>
    <w:p>
      <w:pPr>
        <w:pStyle w:val="Heading3"/>
        <w:spacing w:after="160" w:before="240"/>
      </w:pPr>
      <w:r>
        <w:rPr>
          <w:rFonts w:ascii="Times New Roman" w:cs="Times New Roman" w:eastAsia="Times New Roman" w:hAnsi="Times New Roman"/>
          <w:b/>
          <w:bCs/>
          <w:i/>
          <w:iCs/>
          <w:sz w:val="26"/>
          <w:szCs w:val="26"/>
        </w:rPr>
        <w:t xml:space="preserve">3.3.1 Source Schema in PostgreSQL</w:t>
      </w:r>
    </w:p>
    <w:p>
      <w:pPr>
        <w:spacing w:after="120" w:line="480"/>
        <w:jc w:val="both"/>
      </w:pPr>
      <w:r>
        <w:rPr>
          <w:rFonts w:ascii="Times New Roman" w:cs="Times New Roman" w:eastAsia="Times New Roman" w:hAnsi="Times New Roman"/>
          <w:sz w:val="24"/>
          <w:szCs w:val="24"/>
        </w:rPr>
        <w:t xml:space="preserve">The source database contains three tables. The accounts table represents customers and their balances, with primary key id (UUID), columns full_name, email, phone, balance (DECIMAL 18,2), currency, status with a CHECK constraint restricting values to active, suspended, and closed, and timestamps created_at and updated_at. The email column carries a UNIQUE constraint.</w:t>
      </w:r>
    </w:p>
    <w:p>
      <w:pPr>
        <w:spacing w:after="120" w:line="480"/>
        <w:jc w:val="both"/>
      </w:pPr>
      <w:r>
        <w:rPr>
          <w:rFonts w:ascii="Times New Roman" w:cs="Times New Roman" w:eastAsia="Times New Roman" w:hAnsi="Times New Roman"/>
          <w:sz w:val="24"/>
          <w:szCs w:val="24"/>
        </w:rPr>
        <w:t xml:space="preserve">The merchants table represents counter-parties for transactions, with primary key id (UUID), columns name, category, mcc_code, risk_level constrained to low, medium, and high, and country. The name column is unique.</w:t>
      </w:r>
    </w:p>
    <w:p>
      <w:pPr>
        <w:spacing w:after="120" w:line="480"/>
        <w:jc w:val="both"/>
      </w:pPr>
      <w:r>
        <w:rPr>
          <w:rFonts w:ascii="Times New Roman" w:cs="Times New Roman" w:eastAsia="Times New Roman" w:hAnsi="Times New Roman"/>
          <w:sz w:val="24"/>
          <w:szCs w:val="24"/>
        </w:rPr>
        <w:t xml:space="preserve">The transactions table is the operational heart of the system. Its primary key is id (UUID), and it carries foreign keys account_id referencing accounts and merchant_id referencing merchants. Functional columns include amount (DECIMAL 18,2), currency, type constrained to purchase, transfer, withdrawal, deposit, and refund, status constrained to pending, completed, failed, and reversed, description, metadata stored as JSONB for extension fields, ip_address as INET, and device_id. Timestamps created_at and updated_at are present, with updated_at maintained by a database trigger that fires before each UPDATE.</w:t>
      </w:r>
    </w:p>
    <w:p>
      <w:pPr>
        <w:spacing w:after="120" w:line="480"/>
        <w:jc w:val="both"/>
      </w:pPr>
      <w:r>
        <w:rPr>
          <w:rFonts w:ascii="Times New Roman" w:cs="Times New Roman" w:eastAsia="Times New Roman" w:hAnsi="Times New Roman"/>
          <w:sz w:val="24"/>
          <w:szCs w:val="24"/>
        </w:rPr>
        <w:t xml:space="preserve">Indices are placed on account_id and created_at independently, on the composite (account_id, created_at), and on status filtered to non-completed values, covering the principal query patterns observed during development.</w:t>
      </w:r>
    </w:p>
    <w:p>
      <w:pPr>
        <w:pStyle w:val="Heading3"/>
        <w:spacing w:after="160" w:before="240"/>
      </w:pPr>
      <w:r>
        <w:rPr>
          <w:rFonts w:ascii="Times New Roman" w:cs="Times New Roman" w:eastAsia="Times New Roman" w:hAnsi="Times New Roman"/>
          <w:b/>
          <w:bCs/>
          <w:i/>
          <w:iCs/>
          <w:sz w:val="26"/>
          <w:szCs w:val="26"/>
        </w:rPr>
        <w:t xml:space="preserve">3.3.2 Target Schema in ClickHouse</w:t>
      </w:r>
    </w:p>
    <w:p>
      <w:pPr>
        <w:spacing w:after="120" w:line="480"/>
        <w:jc w:val="both"/>
      </w:pPr>
      <w:r>
        <w:rPr>
          <w:rFonts w:ascii="Times New Roman" w:cs="Times New Roman" w:eastAsia="Times New Roman" w:hAnsi="Times New Roman"/>
          <w:sz w:val="24"/>
          <w:szCs w:val="24"/>
        </w:rPr>
        <w:t xml:space="preserve">The ClickHouse target schema mirrors the source schema with two principal additions. First, every table includes a column cdc_op recording the operation code emitted by Debezium: c for create, u for update, d for delete, r for read during initial snapshot. This column permits downstream queries to distinguish deleted rows from current rows. Second, every table includes a column _source_ts_ms recording the millisecond timestamp at which Debezium emitted the change event; this column serves as the version argument to ReplacingMergeTree, ensuring that the most recent version of any given primary key is retained after background merges.</w:t>
      </w:r>
    </w:p>
    <w:p>
      <w:pPr>
        <w:spacing w:after="120" w:line="480"/>
        <w:jc w:val="both"/>
      </w:pPr>
      <w:r>
        <w:rPr>
          <w:rFonts w:ascii="Times New Roman" w:cs="Times New Roman" w:eastAsia="Times New Roman" w:hAnsi="Times New Roman"/>
          <w:sz w:val="24"/>
          <w:szCs w:val="24"/>
        </w:rPr>
        <w:t xml:space="preserve">All three tables use the ReplacingMergeTree(_source_ts_ms) engine. The PARTITION BY clause is toYYYYMM(created_at), grouping data into monthly partitions; this granularity yields partitions of approximately one million rows under nominal load, the size at which ClickHouse achieves optimal balance between partition pruning effectiveness and merge overhead. The ORDER BY clause is (account_id, created_at, id) for transactions, mirroring the dominant access pattern of fraud detection queries that filter by account and time range.</w:t>
      </w:r>
    </w:p>
    <w:p>
      <w:pPr>
        <w:pStyle w:val="Heading2"/>
        <w:spacing w:after="240" w:before="360"/>
      </w:pPr>
      <w:r>
        <w:rPr>
          <w:rFonts w:ascii="Times New Roman" w:cs="Times New Roman" w:eastAsia="Times New Roman" w:hAnsi="Times New Roman"/>
          <w:b/>
          <w:bCs/>
          <w:sz w:val="28"/>
          <w:szCs w:val="28"/>
        </w:rPr>
        <w:t xml:space="preserve">3.4 Data Flow Specification</w:t>
      </w:r>
    </w:p>
    <w:p>
      <w:pPr>
        <w:spacing w:after="120" w:line="480"/>
        <w:jc w:val="both"/>
      </w:pPr>
      <w:r>
        <w:rPr>
          <w:rFonts w:ascii="Times New Roman" w:cs="Times New Roman" w:eastAsia="Times New Roman" w:hAnsi="Times New Roman"/>
          <w:sz w:val="24"/>
          <w:szCs w:val="24"/>
        </w:rPr>
        <w:t xml:space="preserve">A single transaction traverses the system through the following sequence. At time T+0, an application issues an INSERT statement against the transactions table in PostgreSQL. PostgreSQL writes the change record to the Write-Ahead Log before applying it to the table file. At approximately T+20 milliseconds, the Debezium connector, which polls the Write-Ahead Log via the pgoutput plugin, decodes the change into a Debezium envelope. The SMT ExtractNewRecordState unwraps the envelope into a flat message. At approximately T+150 milliseconds, the Kafka producer within Debezium publishes the flattened message to the topic finwatch.public.transactions.</w:t>
      </w:r>
    </w:p>
    <w:p>
      <w:pPr>
        <w:spacing w:after="120" w:line="480"/>
        <w:jc w:val="both"/>
      </w:pPr>
      <w:r>
        <w:rPr>
          <w:rFonts w:ascii="Times New Roman" w:cs="Times New Roman" w:eastAsia="Times New Roman" w:hAnsi="Times New Roman"/>
          <w:sz w:val="24"/>
          <w:szCs w:val="24"/>
        </w:rPr>
        <w:t xml:space="preserve">The ClickHouse Kafka Engine table, polling the topic on a configurable interval, fetches a block of messages at approximately T+1500 milliseconds. The Materialized View attached to the Kafka Engine table fires, executing its SELECT statement to transform the message — casting the string amount field to Decimal128, converting the epoch-millisecond created_at field to DateTime64 using the fromUnixTimestamp64Milli function, and renaming metadata fields appropriately. The transformed row is inserted into the ReplacingMergeTree target table. By approximately T+1800 milliseconds, the row is visible to subsequent SELECT FINAL queries.</w:t>
      </w:r>
    </w:p>
    <w:p>
      <w:pPr>
        <w:pStyle w:val="Heading2"/>
        <w:spacing w:after="240" w:before="360"/>
      </w:pPr>
      <w:r>
        <w:rPr>
          <w:rFonts w:ascii="Times New Roman" w:cs="Times New Roman" w:eastAsia="Times New Roman" w:hAnsi="Times New Roman"/>
          <w:b/>
          <w:bCs/>
          <w:sz w:val="28"/>
          <w:szCs w:val="28"/>
        </w:rPr>
        <w:t xml:space="preserve">3.5 Anomaly Detection Design</w:t>
      </w:r>
    </w:p>
    <w:p>
      <w:pPr>
        <w:spacing w:after="120" w:line="480"/>
        <w:jc w:val="both"/>
      </w:pPr>
      <w:r>
        <w:rPr>
          <w:rFonts w:ascii="Times New Roman" w:cs="Times New Roman" w:eastAsia="Times New Roman" w:hAnsi="Times New Roman"/>
          <w:sz w:val="24"/>
          <w:szCs w:val="24"/>
        </w:rPr>
        <w:t xml:space="preserve">The anomaly detection layer comprises four SQL rules. The velocity rule identifies accounts producing more than ten transactions or aggregating more than fifty million Vietnamese Dong within any rolling five-minute window. It is expressed as a GROUP BY query on the transactions table filtered to the last five minutes, with a HAVING clause on the aggregate.</w:t>
      </w:r>
    </w:p>
    <w:p>
      <w:pPr>
        <w:spacing w:after="120" w:line="480"/>
        <w:jc w:val="both"/>
      </w:pPr>
      <w:r>
        <w:rPr>
          <w:rFonts w:ascii="Times New Roman" w:cs="Times New Roman" w:eastAsia="Times New Roman" w:hAnsi="Times New Roman"/>
          <w:sz w:val="24"/>
          <w:szCs w:val="24"/>
        </w:rPr>
        <w:t xml:space="preserve">The large-amount rule identifies individual transactions exceeding one hundred million Vietnamese Dong, with a refinement that downscales the threshold based on the account's ninety-fifth percentile historical transaction amount. The threshold rule additionally flags transactions at merchants whose risk_level field equals high.</w:t>
      </w:r>
    </w:p>
    <w:p>
      <w:pPr>
        <w:spacing w:after="120" w:line="480"/>
        <w:jc w:val="both"/>
      </w:pPr>
      <w:r>
        <w:rPr>
          <w:rFonts w:ascii="Times New Roman" w:cs="Times New Roman" w:eastAsia="Times New Roman" w:hAnsi="Times New Roman"/>
          <w:sz w:val="24"/>
          <w:szCs w:val="24"/>
        </w:rPr>
        <w:t xml:space="preserve">The z-score rule computes per-account mean and standard deviation of transaction amount over a thirty-day rolling window, requiring at least five historical transactions, and flags new transactions whose absolute z-score exceeds three. A modified z-score variant using median and median absolute deviation is also implemented as a more robust alternative.</w:t>
      </w:r>
    </w:p>
    <w:p>
      <w:pPr>
        <w:spacing w:after="120" w:line="480"/>
        <w:jc w:val="both"/>
      </w:pPr>
      <w:r>
        <w:rPr>
          <w:rFonts w:ascii="Times New Roman" w:cs="Times New Roman" w:eastAsia="Times New Roman" w:hAnsi="Times New Roman"/>
          <w:sz w:val="24"/>
          <w:szCs w:val="24"/>
        </w:rPr>
        <w:t xml:space="preserve">The multi-currency rule identifies accounts transacting in three or more distinct currencies within any ten-minute window, a pattern strongly associated with money laundering activity. It uses the groupArray and length functions to compute the distinct currency count.</w:t>
      </w:r>
    </w:p>
    <w:p>
      <w:pPr>
        <w:pStyle w:val="Heading2"/>
        <w:spacing w:after="240" w:before="360"/>
      </w:pPr>
      <w:r>
        <w:rPr>
          <w:rFonts w:ascii="Times New Roman" w:cs="Times New Roman" w:eastAsia="Times New Roman" w:hAnsi="Times New Roman"/>
          <w:b/>
          <w:bCs/>
          <w:sz w:val="28"/>
          <w:szCs w:val="28"/>
        </w:rPr>
        <w:t xml:space="preserve">3.6 Monitoring Design</w:t>
      </w:r>
    </w:p>
    <w:p>
      <w:pPr>
        <w:spacing w:after="120" w:line="480"/>
        <w:jc w:val="both"/>
      </w:pPr>
      <w:r>
        <w:rPr>
          <w:rFonts w:ascii="Times New Roman" w:cs="Times New Roman" w:eastAsia="Times New Roman" w:hAnsi="Times New Roman"/>
          <w:sz w:val="24"/>
          <w:szCs w:val="24"/>
        </w:rPr>
        <w:t xml:space="preserve">Operational visibility is provided through three integrated layers. Prometheus scrapes metric endpoints on ClickHouse and on Kafka Connect at fifteen-second intervals, persisting time-series metrics to its local TSDB. Grafana queries both Prometheus and ClickHouse, providing a unified dashboard combining infrastructure metrics — broker availability, consumer lag, ClickHouse query rate — with business metrics computed directly from the transaction data.</w:t>
      </w:r>
    </w:p>
    <w:p>
      <w:pPr>
        <w:spacing w:after="120" w:line="480"/>
        <w:jc w:val="both"/>
      </w:pPr>
      <w:r>
        <w:rPr>
          <w:rFonts w:ascii="Times New Roman" w:cs="Times New Roman" w:eastAsia="Times New Roman" w:hAnsi="Times New Roman"/>
          <w:sz w:val="24"/>
          <w:szCs w:val="24"/>
        </w:rPr>
        <w:t xml:space="preserve">Alert rules are configured in Grafana to trigger on three conditions: a drop in transaction throughput exceeding fifty percent over a five-minute window, indicating likely upstream failure; a pipeline lag exceeding ten seconds, indicating ingestion congestion; and the firing of any velocity or large-amount fraud rule. Alert delivery is configured to email.</w:t>
      </w:r>
    </w:p>
    <w:p>
      <w:pPr>
        <w:pStyle w:val="Heading1"/>
        <w:pageBreakBefore/>
        <w:spacing w:after="360" w:before="480"/>
        <w:jc w:val="left"/>
      </w:pPr>
      <w:r>
        <w:rPr>
          <w:rFonts w:ascii="Times New Roman" w:cs="Times New Roman" w:eastAsia="Times New Roman" w:hAnsi="Times New Roman"/>
          <w:b/>
          <w:bCs/>
          <w:sz w:val="32"/>
          <w:szCs w:val="32"/>
        </w:rPr>
        <w:t xml:space="preserve">Chapter 4: Implementation</w:t>
      </w:r>
    </w:p>
    <w:p>
      <w:pPr>
        <w:pStyle w:val="Heading2"/>
        <w:spacing w:after="240" w:before="360"/>
      </w:pPr>
      <w:r>
        <w:rPr>
          <w:rFonts w:ascii="Times New Roman" w:cs="Times New Roman" w:eastAsia="Times New Roman" w:hAnsi="Times New Roman"/>
          <w:b/>
          <w:bCs/>
          <w:sz w:val="28"/>
          <w:szCs w:val="28"/>
        </w:rPr>
        <w:t xml:space="preserve">4.1 Development Environment</w:t>
      </w:r>
    </w:p>
    <w:p>
      <w:pPr>
        <w:spacing w:after="120" w:line="480"/>
        <w:jc w:val="both"/>
      </w:pPr>
      <w:r>
        <w:rPr>
          <w:rFonts w:ascii="Times New Roman" w:cs="Times New Roman" w:eastAsia="Times New Roman" w:hAnsi="Times New Roman"/>
          <w:sz w:val="24"/>
          <w:szCs w:val="24"/>
        </w:rPr>
        <w:t xml:space="preserve">The implementation environment consists of a single laptop running Windows 11 with sixteen gigabytes of memory, an eight-core CPU, and a one-terabyte NVMe solid-state drive. Docker Desktop version 4.30 provides the container runtime, configured with eight gigabytes of memory allocation and four CPU cores. The Python development environment is managed through Miniconda, with an isolated environment named graduate_env containing Python 3.11. Source code is versioned in Git, hosted on GitHub, and edited in Visual Studio Code with the Docker, Python, SQLTools, and ClickHouse extensions installed.</w:t>
      </w:r>
    </w:p>
    <w:p>
      <w:pPr>
        <w:spacing w:after="120" w:line="480"/>
        <w:jc w:val="both"/>
      </w:pPr>
      <w:r>
        <w:rPr>
          <w:rFonts w:ascii="Times New Roman" w:cs="Times New Roman" w:eastAsia="Times New Roman" w:hAnsi="Times New Roman"/>
          <w:sz w:val="24"/>
          <w:szCs w:val="24"/>
        </w:rPr>
        <w:t xml:space="preserve">The repository is organized hierarchically. The root contains the docker-compose.yml file and a .env file for environment-specific configuration. Subdirectories postgres, clickhouse, debezium, prometheus, and grafana hold the configuration files and initialization scripts for each respective service. The scripts subdirectory holds the Python utilities for transaction generation, fraud simulation, and benchmarking. The tests subdirectory holds pytest-based integration tests. The docs subdirectory holds the architecture document, runbook, and benchmark report.</w:t>
      </w:r>
    </w:p>
    <w:p>
      <w:pPr>
        <w:pStyle w:val="Heading2"/>
        <w:spacing w:after="240" w:before="360"/>
      </w:pPr>
      <w:r>
        <w:rPr>
          <w:rFonts w:ascii="Times New Roman" w:cs="Times New Roman" w:eastAsia="Times New Roman" w:hAnsi="Times New Roman"/>
          <w:b/>
          <w:bCs/>
          <w:sz w:val="28"/>
          <w:szCs w:val="28"/>
        </w:rPr>
        <w:t xml:space="preserve">4.2 PostgreSQL Configuration</w:t>
      </w:r>
    </w:p>
    <w:p>
      <w:pPr>
        <w:spacing w:after="120" w:line="480"/>
        <w:jc w:val="both"/>
      </w:pPr>
      <w:r>
        <w:rPr>
          <w:rFonts w:ascii="Times New Roman" w:cs="Times New Roman" w:eastAsia="Times New Roman" w:hAnsi="Times New Roman"/>
          <w:sz w:val="24"/>
          <w:szCs w:val="24"/>
        </w:rPr>
        <w:t xml:space="preserve">PostgreSQL is deployed via the official postgres:15-alpine Docker image. The container is configured to mount a custom postgresql.conf file that overrides the default wal_level setting from the default value of replica to the required logical value, sets max_replication_slots and max_wal_senders both to four, and configures log_statement to mod for visibility into write operations during development.</w:t>
      </w:r>
    </w:p>
    <w:p>
      <w:pPr>
        <w:spacing w:after="120" w:line="480"/>
        <w:jc w:val="both"/>
      </w:pPr>
      <w:r>
        <w:rPr>
          <w:rFonts w:ascii="Times New Roman" w:cs="Times New Roman" w:eastAsia="Times New Roman" w:hAnsi="Times New Roman"/>
          <w:sz w:val="24"/>
          <w:szCs w:val="24"/>
        </w:rPr>
        <w:t xml:space="preserve">Database initialization is performed through SQL scripts placed in the docker-entrypoint-initdb.d directory, which PostgreSQL automatically executes on first startup. The first script creates the uuid-ossp extension, the three principal tables, the trigger function update_updated_at_column, the BEFORE UPDATE triggers attached to each table, the publication finwatch_pub covering all three tables, and the role debezium with the REPLICATION attribute. The second script seeds twelve merchants representing common Vietnamese retail categories and ten test accounts with deterministic UUIDs to enable reproducible test scenarios.</w:t>
      </w:r>
    </w:p>
    <w:p>
      <w:pPr>
        <w:spacing w:after="120" w:line="480"/>
        <w:jc w:val="both"/>
      </w:pPr>
      <w:r>
        <w:rPr>
          <w:rFonts w:ascii="Times New Roman" w:cs="Times New Roman" w:eastAsia="Times New Roman" w:hAnsi="Times New Roman"/>
          <w:sz w:val="24"/>
          <w:szCs w:val="24"/>
        </w:rPr>
        <w:t xml:space="preserve">A healthcheck is configured on the container executing pg_isready against the finwatch database with the finwatch user every five seconds. The healthcheck status is consumed by downstream containers' depends_on clauses with condition: service_healthy, ensuring that Debezium does not start until PostgreSQL is fully ready.</w:t>
      </w:r>
    </w:p>
    <w:p>
      <w:pPr>
        <w:pStyle w:val="Heading2"/>
        <w:spacing w:after="240" w:before="360"/>
      </w:pPr>
      <w:r>
        <w:rPr>
          <w:rFonts w:ascii="Times New Roman" w:cs="Times New Roman" w:eastAsia="Times New Roman" w:hAnsi="Times New Roman"/>
          <w:b/>
          <w:bCs/>
          <w:sz w:val="28"/>
          <w:szCs w:val="28"/>
        </w:rPr>
        <w:t xml:space="preserve">4.3 Kafka Cluster Setup</w:t>
      </w:r>
    </w:p>
    <w:p>
      <w:pPr>
        <w:spacing w:after="120" w:line="480"/>
        <w:jc w:val="both"/>
      </w:pPr>
      <w:r>
        <w:rPr>
          <w:rFonts w:ascii="Times New Roman" w:cs="Times New Roman" w:eastAsia="Times New Roman" w:hAnsi="Times New Roman"/>
          <w:sz w:val="24"/>
          <w:szCs w:val="24"/>
        </w:rPr>
        <w:t xml:space="preserve">The Kafka cluster comprises three Confluent-distributed containers — cp-zookeeper, cp-kafka, and an associated kafka-ui from Provectus — together with an apicurio/apicurio-registry-mem image providing schema registry capability. Kafka is configured with two listener endpoints: PLAINTEXT://kafka:9092 for internal container-to-container communication and PLAINTEXT_HOST://localhost:29092 for host-machine access. The advertised listeners are configured accordingly, with the listener name corresponding to the listener seen by each client.</w:t>
      </w:r>
    </w:p>
    <w:p>
      <w:pPr>
        <w:spacing w:after="120" w:line="480"/>
        <w:jc w:val="both"/>
      </w:pPr>
      <w:r>
        <w:rPr>
          <w:rFonts w:ascii="Times New Roman" w:cs="Times New Roman" w:eastAsia="Times New Roman" w:hAnsi="Times New Roman"/>
          <w:sz w:val="24"/>
          <w:szCs w:val="24"/>
        </w:rPr>
        <w:t xml:space="preserve">Replication factors are set to one for all internal topics, including _offsets, _connect_configs, _connect_offsets, and _connect_status. This single-broker configuration is appropriate for development but precludes broker failure tolerance; any production deployment would require at least three brokers with replication factor three.</w:t>
      </w:r>
    </w:p>
    <w:p>
      <w:pPr>
        <w:spacing w:after="120" w:line="480"/>
        <w:jc w:val="both"/>
      </w:pPr>
      <w:r>
        <w:rPr>
          <w:rFonts w:ascii="Times New Roman" w:cs="Times New Roman" w:eastAsia="Times New Roman" w:hAnsi="Times New Roman"/>
          <w:sz w:val="24"/>
          <w:szCs w:val="24"/>
        </w:rPr>
        <w:t xml:space="preserve">Topic management is delegated to Debezium itself, which auto-creates topics named according to the topic.prefix configuration setting concatenated with the schema and table name. The resulting topic names are finwatch.public.accounts, finwatch.public.merchants, and finwatch.public.transactions.</w:t>
      </w:r>
    </w:p>
    <w:p>
      <w:pPr>
        <w:pStyle w:val="Heading2"/>
        <w:spacing w:after="240" w:before="360"/>
      </w:pPr>
      <w:r>
        <w:rPr>
          <w:rFonts w:ascii="Times New Roman" w:cs="Times New Roman" w:eastAsia="Times New Roman" w:hAnsi="Times New Roman"/>
          <w:b/>
          <w:bCs/>
          <w:sz w:val="28"/>
          <w:szCs w:val="28"/>
        </w:rPr>
        <w:t xml:space="preserve">4.4 Debezium Connector Implementation</w:t>
      </w:r>
    </w:p>
    <w:p>
      <w:pPr>
        <w:spacing w:after="120" w:line="480"/>
        <w:jc w:val="both"/>
      </w:pPr>
      <w:r>
        <w:rPr>
          <w:rFonts w:ascii="Times New Roman" w:cs="Times New Roman" w:eastAsia="Times New Roman" w:hAnsi="Times New Roman"/>
          <w:sz w:val="24"/>
          <w:szCs w:val="24"/>
        </w:rPr>
        <w:t xml:space="preserve">The Debezium connector is deployed via the debezium/connect:2.5 image and configured through a JSON document POSTed to its Kafka Connect REST endpoint at port 8083. The configuration document specifies the connector class as io.debezium.connector.postgresql.PostgresConnector, the database hostname as postgres (resolvable via the Docker Compose network), the database user as debezium, the topic prefix as finwatch, the plugin name as pgoutput, the replication slot name as finwatch_slot, the publication name as finwatch_pub, and the included tables as the three principal tables.</w:t>
      </w:r>
    </w:p>
    <w:p>
      <w:pPr>
        <w:spacing w:after="120" w:line="480"/>
        <w:jc w:val="both"/>
      </w:pPr>
      <w:r>
        <w:rPr>
          <w:rFonts w:ascii="Times New Roman" w:cs="Times New Roman" w:eastAsia="Times New Roman" w:hAnsi="Times New Roman"/>
          <w:sz w:val="24"/>
          <w:szCs w:val="24"/>
        </w:rPr>
        <w:t xml:space="preserve">Two converter classes are specified, both org.apache.kafka.connect.json.JsonConverter with schemas.enable set to false to minimize message verbosity. Three additional settings handle data type semantics: decimal.handling.mode is set to string to preserve the precision of monetary DECIMAL columns, time.precision.mode is set to connect to emit timestamps as epoch milliseconds, and snapshot.mode is set to initial to perform a one-time snapshot of existing data on first connection.</w:t>
      </w:r>
    </w:p>
    <w:p>
      <w:pPr>
        <w:spacing w:after="120" w:line="480"/>
        <w:jc w:val="both"/>
      </w:pPr>
      <w:r>
        <w:rPr>
          <w:rFonts w:ascii="Times New Roman" w:cs="Times New Roman" w:eastAsia="Times New Roman" w:hAnsi="Times New Roman"/>
          <w:sz w:val="24"/>
          <w:szCs w:val="24"/>
        </w:rPr>
        <w:t xml:space="preserve">A single Single Message Transform is configured: io.debezium.transforms.ExtractNewRecordState, with drop.tombstones set to true, delete.handling.mode set to rewrite (preserving the deleted row with a __deleted flag), and add.fields configured to include op, table, and source.ts_ms in the flat output.</w:t>
      </w:r>
    </w:p>
    <w:p>
      <w:pPr>
        <w:spacing w:after="120" w:line="480"/>
        <w:jc w:val="both"/>
      </w:pPr>
      <w:r>
        <w:rPr>
          <w:rFonts w:ascii="Times New Roman" w:cs="Times New Roman" w:eastAsia="Times New Roman" w:hAnsi="Times New Roman"/>
          <w:sz w:val="24"/>
          <w:szCs w:val="24"/>
        </w:rPr>
        <w:t xml:space="preserve">The connector configuration is checked into Git as debezium/connectors/finwatch-connector.json. A Python script scripts/wait_for_services.py polls the Kafka Connect REST API for readiness and idempotently registers or updates the connector configuration, enabling clean redeployment without manual intervention.</w:t>
      </w:r>
    </w:p>
    <w:p>
      <w:pPr>
        <w:pStyle w:val="Heading2"/>
        <w:spacing w:after="240" w:before="360"/>
      </w:pPr>
      <w:r>
        <w:rPr>
          <w:rFonts w:ascii="Times New Roman" w:cs="Times New Roman" w:eastAsia="Times New Roman" w:hAnsi="Times New Roman"/>
          <w:b/>
          <w:bCs/>
          <w:sz w:val="28"/>
          <w:szCs w:val="28"/>
        </w:rPr>
        <w:t xml:space="preserve">4.5 ClickHouse Integration</w:t>
      </w:r>
    </w:p>
    <w:p>
      <w:pPr>
        <w:spacing w:after="120" w:line="480"/>
        <w:jc w:val="both"/>
      </w:pPr>
      <w:r>
        <w:rPr>
          <w:rFonts w:ascii="Times New Roman" w:cs="Times New Roman" w:eastAsia="Times New Roman" w:hAnsi="Times New Roman"/>
          <w:sz w:val="24"/>
          <w:szCs w:val="24"/>
        </w:rPr>
        <w:t xml:space="preserve">ClickHouse is deployed via the clickhouse/clickhouse-server:24.3-alpine image. Initialization SQL scripts are mounted into the docker-entrypoint-initdb.d directory and executed on first startup. The scripts create the finwatch database, the three Kafka Engine source tables — transactions_kafka, accounts_kafka, merchants_kafka — each configured to read from the corresponding topic with kafka_format JSONEachRow, the three ReplacingMergeTree target tables, and the three Materialized Views connecting source to target.</w:t>
      </w:r>
    </w:p>
    <w:p>
      <w:pPr>
        <w:spacing w:after="120" w:line="480"/>
        <w:jc w:val="both"/>
      </w:pPr>
      <w:r>
        <w:rPr>
          <w:rFonts w:ascii="Times New Roman" w:cs="Times New Roman" w:eastAsia="Times New Roman" w:hAnsi="Times New Roman"/>
          <w:sz w:val="24"/>
          <w:szCs w:val="24"/>
        </w:rPr>
        <w:t xml:space="preserve">The Materialized View for transactions exemplifies the transformation pattern employed for all three. Its SELECT clause reads the raw fields from the Kafka Engine table, casts the string amount to Decimal128(2), converts the nullable created_at integer to DateTime64(3) via fromUnixTimestamp64Milli, defaults to the source emit timestamp if the source created_at is null, renames __op to cdc_op, and projects __source_ts_ms to _source_ts_ms. Each row produced by the SELECT is inserted into the target ReplacingMergeTree table.</w:t>
      </w:r>
    </w:p>
    <w:p>
      <w:pPr>
        <w:spacing w:after="120" w:line="480"/>
        <w:jc w:val="both"/>
      </w:pPr>
      <w:r>
        <w:rPr>
          <w:rFonts w:ascii="Times New Roman" w:cs="Times New Roman" w:eastAsia="Times New Roman" w:hAnsi="Times New Roman"/>
          <w:sz w:val="24"/>
          <w:szCs w:val="24"/>
        </w:rPr>
        <w:t xml:space="preserve">Verification queries are provided that compare row counts between PostgreSQL and ClickHouse, computing the lag in seconds and the row count delta. Under nominal operation, the delta converges to fewer than five rows within ten seconds of any source-side change.</w:t>
      </w:r>
    </w:p>
    <w:p>
      <w:pPr>
        <w:pStyle w:val="Heading2"/>
        <w:spacing w:after="240" w:before="360"/>
      </w:pPr>
      <w:r>
        <w:rPr>
          <w:rFonts w:ascii="Times New Roman" w:cs="Times New Roman" w:eastAsia="Times New Roman" w:hAnsi="Times New Roman"/>
          <w:b/>
          <w:bCs/>
          <w:sz w:val="28"/>
          <w:szCs w:val="28"/>
        </w:rPr>
        <w:t xml:space="preserve">4.6 Anomaly Detection Queries</w:t>
      </w:r>
    </w:p>
    <w:p>
      <w:pPr>
        <w:spacing w:after="120" w:line="480"/>
        <w:jc w:val="both"/>
      </w:pPr>
      <w:r>
        <w:rPr>
          <w:rFonts w:ascii="Times New Roman" w:cs="Times New Roman" w:eastAsia="Times New Roman" w:hAnsi="Times New Roman"/>
          <w:sz w:val="24"/>
          <w:szCs w:val="24"/>
        </w:rPr>
        <w:t xml:space="preserve">The four anomaly rules are implemented as SQL files in the clickhouse/queries directory, each self-contained and executable directly through the clickhouse-client command-line interface. The velocity check query computes a GROUP BY over the last five minutes of transactions, filtering to accounts whose count exceeds ten or whose summed amount exceeds fifty million Vietnamese Dong, and projecting the matching account identifiers along with relevant context including the time window and aggregated metrics.</w:t>
      </w:r>
    </w:p>
    <w:p>
      <w:pPr>
        <w:spacing w:after="120" w:line="480"/>
        <w:jc w:val="both"/>
      </w:pPr>
      <w:r>
        <w:rPr>
          <w:rFonts w:ascii="Times New Roman" w:cs="Times New Roman" w:eastAsia="Times New Roman" w:hAnsi="Times New Roman"/>
          <w:sz w:val="24"/>
          <w:szCs w:val="24"/>
        </w:rPr>
        <w:t xml:space="preserve">The z-score query is structurally more complex, employing a Common Table Expression to compute per-account mean and standard deviation over the last thirty days, joining this base back against transactions in the last ten minutes, and filtering to rows whose absolute standardized deviation exceeds three. The threshold query is the simplest, filtering individual rows by amount and joining against merchants for risk_level checks. The multi-currency query uses the ClickHouse-specific groupArray and uniqExact functions to count distinct currencies within a window.</w:t>
      </w:r>
    </w:p>
    <w:p>
      <w:pPr>
        <w:pStyle w:val="Heading2"/>
        <w:spacing w:after="240" w:before="360"/>
      </w:pPr>
      <w:r>
        <w:rPr>
          <w:rFonts w:ascii="Times New Roman" w:cs="Times New Roman" w:eastAsia="Times New Roman" w:hAnsi="Times New Roman"/>
          <w:b/>
          <w:bCs/>
          <w:sz w:val="28"/>
          <w:szCs w:val="28"/>
        </w:rPr>
        <w:t xml:space="preserve">4.7 Dashboard Implementation</w:t>
      </w:r>
    </w:p>
    <w:p>
      <w:pPr>
        <w:spacing w:after="120" w:line="480"/>
        <w:jc w:val="both"/>
      </w:pPr>
      <w:r>
        <w:rPr>
          <w:rFonts w:ascii="Times New Roman" w:cs="Times New Roman" w:eastAsia="Times New Roman" w:hAnsi="Times New Roman"/>
          <w:sz w:val="24"/>
          <w:szCs w:val="24"/>
        </w:rPr>
        <w:t xml:space="preserve">Grafana is deployed via the grafana/grafana-oss:10.3.3 image with the grafana-clickhouse-datasource plugin pre-installed via the GF_INSTALL_PLUGINS environment variable. Data sources for both ClickHouse and Prometheus are provisioned through YAML files in the grafana/provisioning/datasources directory, eliminating manual configuration on first startup.</w:t>
      </w:r>
    </w:p>
    <w:p>
      <w:pPr>
        <w:spacing w:after="120" w:line="480"/>
        <w:jc w:val="both"/>
      </w:pPr>
      <w:r>
        <w:rPr>
          <w:rFonts w:ascii="Times New Roman" w:cs="Times New Roman" w:eastAsia="Times New Roman" w:hAnsi="Times New Roman"/>
          <w:sz w:val="24"/>
          <w:szCs w:val="24"/>
        </w:rPr>
        <w:t xml:space="preserve">The principal dashboard, defined as JSON in grafana/provisioning/dashboards/main.json, contains six panels. Realtime TPS displays transaction count grouped by toStartOfMinute over the last hour. Transaction type breakdown displays a pie chart of counts grouped by type. Top merchants displays the ten merchants with highest aggregated transaction volume. Pipeline lag displays the per-row difference between source created_at and ClickHouse ingestion time, aggregated as ninety-fifth percentile. Failed rate displays a gauge of the fraction of transactions with status equal to failed. Active velocity alerts displays the current output of the velocity rule as a table.</w:t>
      </w:r>
    </w:p>
    <w:p>
      <w:pPr>
        <w:pStyle w:val="Heading2"/>
        <w:spacing w:after="240" w:before="360"/>
      </w:pPr>
      <w:r>
        <w:rPr>
          <w:rFonts w:ascii="Times New Roman" w:cs="Times New Roman" w:eastAsia="Times New Roman" w:hAnsi="Times New Roman"/>
          <w:b/>
          <w:bCs/>
          <w:sz w:val="28"/>
          <w:szCs w:val="28"/>
        </w:rPr>
        <w:t xml:space="preserve">4.8 Monitoring and Alerting</w:t>
      </w:r>
    </w:p>
    <w:p>
      <w:pPr>
        <w:spacing w:after="120" w:line="480"/>
        <w:jc w:val="both"/>
      </w:pPr>
      <w:r>
        <w:rPr>
          <w:rFonts w:ascii="Times New Roman" w:cs="Times New Roman" w:eastAsia="Times New Roman" w:hAnsi="Times New Roman"/>
          <w:sz w:val="24"/>
          <w:szCs w:val="24"/>
        </w:rPr>
        <w:t xml:space="preserve">Prometheus is configured to scrape the metric endpoints exposed by ClickHouse and Kafka Connect at fifteen-second intervals. The Prometheus configuration file prometheus.yml declares two scrape targets: clickhouse:8123 and debezium:8083, both reachable via the Docker Compose network.</w:t>
      </w:r>
    </w:p>
    <w:p>
      <w:pPr>
        <w:spacing w:after="120" w:line="480"/>
        <w:jc w:val="both"/>
      </w:pPr>
      <w:r>
        <w:rPr>
          <w:rFonts w:ascii="Times New Roman" w:cs="Times New Roman" w:eastAsia="Times New Roman" w:hAnsi="Times New Roman"/>
          <w:sz w:val="24"/>
          <w:szCs w:val="24"/>
        </w:rPr>
        <w:t xml:space="preserve">Grafana alert rules are defined for three conditions. The TPS-drop rule fires when the transaction count over the last five minutes is less than fifty percent of the count over the preceding five minutes. The pipeline-lag rule fires when the ninety-fifth percentile lag exceeds ten seconds. The velocity-fraud rule fires when the velocity query returns any rows. Alert delivery is configured through a contact point named ops-email, connected to an SMTP server.</w:t>
      </w:r>
    </w:p>
    <w:p>
      <w:pPr>
        <w:pStyle w:val="Heading1"/>
        <w:pageBreakBefore/>
        <w:spacing w:after="360" w:before="480"/>
        <w:jc w:val="left"/>
      </w:pPr>
      <w:r>
        <w:rPr>
          <w:rFonts w:ascii="Times New Roman" w:cs="Times New Roman" w:eastAsia="Times New Roman" w:hAnsi="Times New Roman"/>
          <w:b/>
          <w:bCs/>
          <w:sz w:val="32"/>
          <w:szCs w:val="32"/>
        </w:rPr>
        <w:t xml:space="preserve">Chapter 5: Experimental Results and Evaluation</w:t>
      </w:r>
    </w:p>
    <w:p>
      <w:pPr>
        <w:pStyle w:val="Heading2"/>
        <w:spacing w:after="240" w:before="360"/>
      </w:pPr>
      <w:r>
        <w:rPr>
          <w:rFonts w:ascii="Times New Roman" w:cs="Times New Roman" w:eastAsia="Times New Roman" w:hAnsi="Times New Roman"/>
          <w:b/>
          <w:bCs/>
          <w:sz w:val="28"/>
          <w:szCs w:val="28"/>
        </w:rPr>
        <w:t xml:space="preserve">5.1 Test Environment</w:t>
      </w:r>
    </w:p>
    <w:p>
      <w:pPr>
        <w:spacing w:after="120" w:line="480"/>
        <w:jc w:val="both"/>
      </w:pPr>
      <w:r>
        <w:rPr>
          <w:rFonts w:ascii="Times New Roman" w:cs="Times New Roman" w:eastAsia="Times New Roman" w:hAnsi="Times New Roman"/>
          <w:sz w:val="24"/>
          <w:szCs w:val="24"/>
        </w:rPr>
        <w:t xml:space="preserve">All performance measurements reported in this chapter were obtained on the development laptop described in Section 4.1 of Chapter 4. The Docker Desktop memory allocation was set to eight gigabytes, with four CPU cores. Each measurement was repeated five times with the system in a warm state — that is, after at least one minute of preliminary load to populate caches — and the median result is reported. The fluctuation across the five replications was below ten percent in all cases.</w:t>
      </w:r>
    </w:p>
    <w:p>
      <w:pPr>
        <w:pStyle w:val="Heading2"/>
        <w:spacing w:after="240" w:before="360"/>
      </w:pPr>
      <w:r>
        <w:rPr>
          <w:rFonts w:ascii="Times New Roman" w:cs="Times New Roman" w:eastAsia="Times New Roman" w:hAnsi="Times New Roman"/>
          <w:b/>
          <w:bCs/>
          <w:sz w:val="28"/>
          <w:szCs w:val="28"/>
        </w:rPr>
        <w:t xml:space="preserve">5.2 Latency Benchmark</w:t>
      </w:r>
    </w:p>
    <w:p>
      <w:pPr>
        <w:spacing w:after="120" w:line="480"/>
        <w:jc w:val="both"/>
      </w:pPr>
      <w:r>
        <w:rPr>
          <w:rFonts w:ascii="Times New Roman" w:cs="Times New Roman" w:eastAsia="Times New Roman" w:hAnsi="Times New Roman"/>
          <w:sz w:val="24"/>
          <w:szCs w:val="24"/>
        </w:rPr>
        <w:t xml:space="preserve">End-to-end latency was measured by the script scripts/benchmark_latency.py. The script inserts a single transaction into the PostgreSQL transactions table with the description field set to a UUID prefixed with latency-test- and a timestamp embedded as the high-resolution time of insertion. The script then polls the ClickHouse target table at fifty-millisecond intervals, querying for rows whose description matches the inserted UUID, until the row appears. The latency is computed as the wall-clock difference between insertion and observation.</w:t>
      </w:r>
    </w:p>
    <w:p>
      <w:pPr>
        <w:spacing w:after="120" w:line="480"/>
        <w:jc w:val="both"/>
      </w:pPr>
      <w:r>
        <w:rPr>
          <w:rFonts w:ascii="Times New Roman" w:cs="Times New Roman" w:eastAsia="Times New Roman" w:hAnsi="Times New Roman"/>
          <w:sz w:val="24"/>
          <w:szCs w:val="24"/>
        </w:rPr>
        <w:t xml:space="preserve">One hundred samples were collected with a two-second interval between insertions, ensuring no queueing effects. The resulting latency distribution is summarized in Table 5.1.</w:t>
      </w:r>
    </w:p>
    <w:p>
      <w:pPr>
        <w:spacing w:after="240" w:before="80"/>
        <w:jc w:val="center"/>
      </w:pPr>
      <w:r>
        <w:rPr>
          <w:rFonts w:ascii="Times New Roman" w:cs="Times New Roman" w:eastAsia="Times New Roman" w:hAnsi="Times New Roman"/>
          <w:i/>
          <w:iCs/>
          <w:sz w:val="22"/>
          <w:szCs w:val="22"/>
        </w:rPr>
        <w:t xml:space="preserve">Table 5.1. Latency distribution from one hundred samples.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Percentile</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Latency (ms)</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P50 (median)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450</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P75</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820</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P90</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1,450</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P95</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1,800</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P99</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3,200</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Maximum observed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4,650</w:t>
            </w:r>
          </w:p>
        </w:tc>
      </w:tr>
    </w:tbl>
    <w:p>
      <w:pPr>
        <w:spacing w:after="120" w:line="480"/>
        <w:jc w:val="both"/>
      </w:pPr>
      <w:r>
        <w:rPr>
          <w:rFonts w:ascii="Times New Roman" w:cs="Times New Roman" w:eastAsia="Times New Roman" w:hAnsi="Times New Roman"/>
          <w:sz w:val="24"/>
          <w:szCs w:val="24"/>
        </w:rPr>
        <w:t xml:space="preserve">The observed ninety-fifth percentile latency of one thousand eight hundred milliseconds is well within the target of five thousand milliseconds defined in the non-functional requirements. The distribution exhibits a moderate right tail, with the ratio between the ninety-ninth and fiftieth percentiles approximately seven, indicating occasional but bounded latency spikes. Profiling identified the dominant contribution to latency as the ClickHouse Materialized View's polling interval, which by default introduces approximately five hundred milliseconds of delay between Kafka block availability and downstream insertion.</w:t>
      </w:r>
    </w:p>
    <w:p>
      <w:pPr>
        <w:pStyle w:val="Heading2"/>
        <w:spacing w:after="240" w:before="360"/>
      </w:pPr>
      <w:r>
        <w:rPr>
          <w:rFonts w:ascii="Times New Roman" w:cs="Times New Roman" w:eastAsia="Times New Roman" w:hAnsi="Times New Roman"/>
          <w:b/>
          <w:bCs/>
          <w:sz w:val="28"/>
          <w:szCs w:val="28"/>
        </w:rPr>
        <w:t xml:space="preserve">5.3 Throughput Benchmark</w:t>
      </w:r>
    </w:p>
    <w:p>
      <w:pPr>
        <w:spacing w:after="120" w:line="480"/>
        <w:jc w:val="both"/>
      </w:pPr>
      <w:r>
        <w:rPr>
          <w:rFonts w:ascii="Times New Roman" w:cs="Times New Roman" w:eastAsia="Times New Roman" w:hAnsi="Times New Roman"/>
          <w:sz w:val="24"/>
          <w:szCs w:val="24"/>
        </w:rPr>
        <w:t xml:space="preserve">Sustained throughput was measured by the script scripts/benchmark_throughput.py, which generates a configurable total number of transactions at a target rate using the PostgreSQL execute_values batch insertion API. For each target rate ranging from one hundred to one thousand one hundred transactions per second in increments of two hundred, the script measures the actual achieved insertion rate and the pipeline lag, defined as the difference between the wall-clock time of insertion and the wall-clock time at which the row becomes visible in ClickHouse.</w:t>
      </w:r>
    </w:p>
    <w:p>
      <w:pPr>
        <w:spacing w:after="240" w:before="80"/>
        <w:jc w:val="center"/>
      </w:pPr>
      <w:r>
        <w:rPr>
          <w:rFonts w:ascii="Times New Roman" w:cs="Times New Roman" w:eastAsia="Times New Roman" w:hAnsi="Times New Roman"/>
          <w:i/>
          <w:iCs/>
          <w:sz w:val="22"/>
          <w:szCs w:val="22"/>
        </w:rPr>
        <w:t xml:space="preserve">Table 5.2. Throughput saturation curve.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tblHeader/>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Target TPS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Achieved TPS</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P95 Pipeline Lag (ms)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100</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100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180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300</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298</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450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500</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495</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950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700</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688</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1,800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900</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850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3,200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1,100</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920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8,500</w:t>
            </w:r>
          </w:p>
        </w:tc>
      </w:tr>
    </w:tbl>
    <w:p>
      <w:pPr>
        <w:spacing w:after="120" w:line="480"/>
        <w:jc w:val="both"/>
      </w:pPr>
      <w:r>
        <w:rPr>
          <w:rFonts w:ascii="Times New Roman" w:cs="Times New Roman" w:eastAsia="Times New Roman" w:hAnsi="Times New Roman"/>
          <w:sz w:val="24"/>
          <w:szCs w:val="24"/>
        </w:rPr>
        <w:t xml:space="preserve">The system tracks the target throughput closely up to seven hundred transactions per second, at which point pipeline lag begins to grow super-linearly. The empirical saturation point is approximately nine hundred fifty transactions per second; above this rate, achieved throughput diverges from target and lag accumulates without bound. Profiling identified the bottleneck as PostgreSQL CPU utilization, which approaches one hundred percent at one thousand transactions per second on the four-core configuration. Scaling the source database to a properly-sized server-class machine would be expected to substantially raise the saturation point.</w:t>
      </w:r>
    </w:p>
    <w:p>
      <w:pPr>
        <w:pStyle w:val="Heading2"/>
        <w:spacing w:after="240" w:before="360"/>
      </w:pPr>
      <w:r>
        <w:rPr>
          <w:rFonts w:ascii="Times New Roman" w:cs="Times New Roman" w:eastAsia="Times New Roman" w:hAnsi="Times New Roman"/>
          <w:b/>
          <w:bCs/>
          <w:sz w:val="28"/>
          <w:szCs w:val="28"/>
        </w:rPr>
        <w:t xml:space="preserve">5.4 Anomaly Detection Evaluation</w:t>
      </w:r>
    </w:p>
    <w:p>
      <w:pPr>
        <w:spacing w:after="120" w:line="480"/>
        <w:jc w:val="both"/>
      </w:pPr>
      <w:r>
        <w:rPr>
          <w:rFonts w:ascii="Times New Roman" w:cs="Times New Roman" w:eastAsia="Times New Roman" w:hAnsi="Times New Roman"/>
          <w:sz w:val="24"/>
          <w:szCs w:val="24"/>
        </w:rPr>
        <w:t xml:space="preserve">Anomaly detection accuracy was evaluated using a labeled synthetic dataset. The script scripts/generate_transactions.py was executed with parameters --count 5000 --tps 100 to produce five thousand transactions distributed across the ten test accounts with realistic per-account behavioral profiles. The script scripts/simulate_fraud.py was then executed three times — once for each of the velocity, large-amount, and multi-currency patterns — injecting a total of fifty additional labeled fraudulent transactions whose metadata.fraud_type field marks them as ground-truth positives.</w:t>
      </w:r>
    </w:p>
    <w:p>
      <w:pPr>
        <w:spacing w:after="120" w:line="480"/>
        <w:jc w:val="both"/>
      </w:pPr>
      <w:r>
        <w:rPr>
          <w:rFonts w:ascii="Times New Roman" w:cs="Times New Roman" w:eastAsia="Times New Roman" w:hAnsi="Times New Roman"/>
          <w:sz w:val="24"/>
          <w:szCs w:val="24"/>
        </w:rPr>
        <w:t xml:space="preserve">Each of the four anomaly detection queries was executed against the resulting dataset. For each query, true positives, false positives, false negatives, and true negatives were computed by comparing the query output against the ground-truth labels. The standard metrics of precision, recall, and F1 score were then derived. Table 5.3 reports the results.</w:t>
      </w:r>
    </w:p>
    <w:p>
      <w:pPr>
        <w:spacing w:after="240" w:before="80"/>
        <w:jc w:val="center"/>
      </w:pPr>
      <w:r>
        <w:rPr>
          <w:rFonts w:ascii="Times New Roman" w:cs="Times New Roman" w:eastAsia="Times New Roman" w:hAnsi="Times New Roman"/>
          <w:i/>
          <w:iCs/>
          <w:sz w:val="22"/>
          <w:szCs w:val="22"/>
        </w:rPr>
        <w:t xml:space="preserve">Table 5.3. Anomaly detection metrics by rule.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300"/>
        <w:gridCol w:w="1300"/>
        <w:gridCol w:w="1300"/>
      </w:tblGrid>
      <w:tr>
        <w:trPr>
          <w:tblHeader/>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Rule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TP</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FP</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Precision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Recall</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Velocity</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23</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0.88</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0.92</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0.90</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Large amount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9</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6</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1.00</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0.60</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0.75</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Z-score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0.75</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0.80</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0.77</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Multi-currency</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0.83</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1.00</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0.91</w:t>
            </w:r>
          </w:p>
        </w:tc>
      </w:tr>
    </w:tbl>
    <w:p>
      <w:pPr>
        <w:spacing w:after="120" w:line="480"/>
        <w:jc w:val="both"/>
      </w:pPr>
      <w:r>
        <w:rPr>
          <w:rFonts w:ascii="Times New Roman" w:cs="Times New Roman" w:eastAsia="Times New Roman" w:hAnsi="Times New Roman"/>
          <w:sz w:val="24"/>
          <w:szCs w:val="24"/>
        </w:rPr>
        <w:t xml:space="preserve">The velocity rule emerged as the strongest single rule, achieving F1 of 0.90 driven by both high precision and high recall. The large-amount rule exhibited perfect precision but compromised recall, missing six of fifteen fraudulent large-amount cases; investigation revealed that these missed cases involved attackers structuring transactions just below the threshold, a known weakness of fixed-threshold rules that adaptive-threshold variants partially mitigate. The z-score rule achieved moderate F1, limited primarily by its requirement for at least five historical transactions per account, which excluded several edge cases. The multi-currency rule achieved high recall and acceptable precision, though its absolute count of true positives was lower due to the rarity of the underlying attack pattern in the synthetic dataset.</w:t>
      </w:r>
    </w:p>
    <w:p>
      <w:pPr>
        <w:spacing w:after="120" w:line="480"/>
        <w:jc w:val="both"/>
      </w:pPr>
      <w:r>
        <w:rPr>
          <w:rFonts w:ascii="Times New Roman" w:cs="Times New Roman" w:eastAsia="Times New Roman" w:hAnsi="Times New Roman"/>
          <w:sz w:val="24"/>
          <w:szCs w:val="24"/>
        </w:rPr>
        <w:t xml:space="preserve">Taken in combination, the four rules collectively flagged forty-eight of fifty injected fraudulent transactions, an aggregate recall of ninety-six percent. The two missed cases were single small-amount transactions in accounts with limited history, representing the residual blind spot of the rule-based approach that motivates the future-work direction toward machine learning.</w:t>
      </w:r>
    </w:p>
    <w:p>
      <w:pPr>
        <w:pStyle w:val="Heading2"/>
        <w:spacing w:after="240" w:before="360"/>
      </w:pPr>
      <w:r>
        <w:rPr>
          <w:rFonts w:ascii="Times New Roman" w:cs="Times New Roman" w:eastAsia="Times New Roman" w:hAnsi="Times New Roman"/>
          <w:b/>
          <w:bCs/>
          <w:sz w:val="28"/>
          <w:szCs w:val="28"/>
        </w:rPr>
        <w:t xml:space="preserve">5.5 Fault Tolerance Evaluation</w:t>
      </w:r>
    </w:p>
    <w:p>
      <w:pPr>
        <w:spacing w:after="120" w:line="480"/>
        <w:jc w:val="both"/>
      </w:pPr>
      <w:r>
        <w:rPr>
          <w:rFonts w:ascii="Times New Roman" w:cs="Times New Roman" w:eastAsia="Times New Roman" w:hAnsi="Times New Roman"/>
          <w:sz w:val="24"/>
          <w:szCs w:val="24"/>
        </w:rPr>
        <w:t xml:space="preserve">Three fault injection experiments were conducted to evaluate recovery behavior. In the first, the Debezium container was stopped for sixty seconds while the transaction generator continued at one hundred transactions per second; this corresponds to approximately six thousand transactions injected during the outage. Upon restart, the Debezium connector resumed consumption from the replication slot's last confirmed Log Sequence Number, processed the buffered Write-Ahead Log entries, and converged to a steady state with zero data loss within approximately ninety seconds, as verified by row count parity between PostgreSQL and ClickHouse.</w:t>
      </w:r>
    </w:p>
    <w:p>
      <w:pPr>
        <w:spacing w:after="120" w:line="480"/>
        <w:jc w:val="both"/>
      </w:pPr>
      <w:r>
        <w:rPr>
          <w:rFonts w:ascii="Times New Roman" w:cs="Times New Roman" w:eastAsia="Times New Roman" w:hAnsi="Times New Roman"/>
          <w:sz w:val="24"/>
          <w:szCs w:val="24"/>
        </w:rPr>
        <w:t xml:space="preserve">In the second experiment, the Kafka broker was stopped for thirty seconds. The Debezium connector entered a retry loop and accumulated buffered messages in memory until the broker returned, at which point it flushed the buffer and resumed normal operation. ClickHouse Kafka Engine table consumers similarly reconnected and resumed consumption; no data loss was observed.</w:t>
      </w:r>
    </w:p>
    <w:p>
      <w:pPr>
        <w:spacing w:after="120" w:line="480"/>
        <w:jc w:val="both"/>
      </w:pPr>
      <w:r>
        <w:rPr>
          <w:rFonts w:ascii="Times New Roman" w:cs="Times New Roman" w:eastAsia="Times New Roman" w:hAnsi="Times New Roman"/>
          <w:sz w:val="24"/>
          <w:szCs w:val="24"/>
        </w:rPr>
        <w:t xml:space="preserve">In the third experiment, the ClickHouse container was stopped for one hundred twenty seconds. Kafka retained all unconsumed messages in its log segments. Upon ClickHouse restart, the Materialized Views resumed consumption from the committed offsets, draining the accumulated backlog at a rate exceeding two thousand messages per second; convergence to zero lag was achieved within approximately sixty seconds of restart.</w:t>
      </w:r>
    </w:p>
    <w:p>
      <w:pPr>
        <w:spacing w:after="120" w:line="480"/>
        <w:jc w:val="both"/>
      </w:pPr>
      <w:r>
        <w:rPr>
          <w:rFonts w:ascii="Times New Roman" w:cs="Times New Roman" w:eastAsia="Times New Roman" w:hAnsi="Times New Roman"/>
          <w:sz w:val="24"/>
          <w:szCs w:val="24"/>
        </w:rPr>
        <w:t xml:space="preserve">These results confirm that the architecture's failure recovery is effective for the failure modes most likely to occur in operation. They do not address simultaneous multi-component failures or data corruption scenarios, which would require additional engineering not addressed in this thesis.</w:t>
      </w:r>
    </w:p>
    <w:p>
      <w:pPr>
        <w:pStyle w:val="Heading2"/>
        <w:spacing w:after="240" w:before="360"/>
      </w:pPr>
      <w:r>
        <w:rPr>
          <w:rFonts w:ascii="Times New Roman" w:cs="Times New Roman" w:eastAsia="Times New Roman" w:hAnsi="Times New Roman"/>
          <w:b/>
          <w:bCs/>
          <w:sz w:val="28"/>
          <w:szCs w:val="28"/>
        </w:rPr>
        <w:t xml:space="preserve">5.6 Comparison with Batch Processing</w:t>
      </w:r>
    </w:p>
    <w:p>
      <w:pPr>
        <w:spacing w:after="120" w:line="480"/>
        <w:jc w:val="both"/>
      </w:pPr>
      <w:r>
        <w:rPr>
          <w:rFonts w:ascii="Times New Roman" w:cs="Times New Roman" w:eastAsia="Times New Roman" w:hAnsi="Times New Roman"/>
          <w:sz w:val="24"/>
          <w:szCs w:val="24"/>
        </w:rPr>
        <w:t xml:space="preserve">To contextualize the value of the real-time architecture, a comparison baseline was constructed by running a representative fraud detection query directly against the PostgreSQL transactions table — emulating the conventional batch approach. The query computes the velocity check across the last hour of transactions and returns suspect account identifiers.</w:t>
      </w:r>
    </w:p>
    <w:p>
      <w:pPr>
        <w:spacing w:after="120" w:line="480"/>
        <w:jc w:val="both"/>
      </w:pPr>
      <w:r>
        <w:rPr>
          <w:rFonts w:ascii="Times New Roman" w:cs="Times New Roman" w:eastAsia="Times New Roman" w:hAnsi="Times New Roman"/>
          <w:sz w:val="24"/>
          <w:szCs w:val="24"/>
        </w:rPr>
        <w:t xml:space="preserve">On the PostgreSQL source containing approximately one million transactions, the velocity query required four point seven seconds of execution time and consumed measurable CPU during execution, with the database concurrently servicing the synthetic insert load. The same logical query against the ClickHouse target completed in three hundred eighty milliseconds, with no measurable impact on PostgreSQL load. The end-to-end value proposition is therefore not only the order-of-magnitude faster query response but also the elimination of analytical query load on the transactional database.</w:t>
      </w:r>
    </w:p>
    <w:p>
      <w:pPr>
        <w:pStyle w:val="Heading2"/>
        <w:spacing w:after="240" w:before="360"/>
      </w:pPr>
      <w:r>
        <w:rPr>
          <w:rFonts w:ascii="Times New Roman" w:cs="Times New Roman" w:eastAsia="Times New Roman" w:hAnsi="Times New Roman"/>
          <w:b/>
          <w:bCs/>
          <w:sz w:val="28"/>
          <w:szCs w:val="28"/>
        </w:rPr>
        <w:t xml:space="preserve">5.7 Discussion</w:t>
      </w:r>
    </w:p>
    <w:p>
      <w:pPr>
        <w:spacing w:after="120" w:line="480"/>
        <w:jc w:val="both"/>
      </w:pPr>
      <w:r>
        <w:rPr>
          <w:rFonts w:ascii="Times New Roman" w:cs="Times New Roman" w:eastAsia="Times New Roman" w:hAnsi="Times New Roman"/>
          <w:sz w:val="24"/>
          <w:szCs w:val="24"/>
        </w:rPr>
        <w:t xml:space="preserve">The experimental results validate the principal architectural decisions documented in Chapter 3. Latency targets are met with substantial margin; throughput targets are exceeded; fault tolerance is verified across the dominant failure modes; and the comparison against batch processing demonstrates the clear value of the streaming approach for the targeted use case.</w:t>
      </w:r>
    </w:p>
    <w:p>
      <w:pPr>
        <w:spacing w:after="120" w:line="480"/>
        <w:jc w:val="both"/>
      </w:pPr>
      <w:r>
        <w:rPr>
          <w:rFonts w:ascii="Times New Roman" w:cs="Times New Roman" w:eastAsia="Times New Roman" w:hAnsi="Times New Roman"/>
          <w:sz w:val="24"/>
          <w:szCs w:val="24"/>
        </w:rPr>
        <w:t xml:space="preserve">Two caveats should be noted. First, all measurements were obtained on a single laptop with synthetic data; real production deployments will encounter distributions of transaction volume and access patterns different from those reproducible in this environment. Second, the rule-based fraud detection layer, while effective on its own labeled dataset, is by construction blind to attack patterns not encoded in any of the four rules; this is the principal architectural limitation that the future-work direction toward machine learning aims to address.</w:t>
      </w:r>
    </w:p>
    <w:p>
      <w:pPr>
        <w:pStyle w:val="Heading1"/>
        <w:pageBreakBefore/>
        <w:spacing w:after="360" w:before="480"/>
        <w:jc w:val="left"/>
      </w:pPr>
      <w:r>
        <w:rPr>
          <w:rFonts w:ascii="Times New Roman" w:cs="Times New Roman" w:eastAsia="Times New Roman" w:hAnsi="Times New Roman"/>
          <w:b/>
          <w:bCs/>
          <w:sz w:val="32"/>
          <w:szCs w:val="32"/>
        </w:rPr>
        <w:t xml:space="preserve">Chapter 6: Conclusion and Future Work</w:t>
      </w:r>
    </w:p>
    <w:p>
      <w:pPr>
        <w:pStyle w:val="Heading2"/>
        <w:spacing w:after="240" w:before="360"/>
      </w:pPr>
      <w:r>
        <w:rPr>
          <w:rFonts w:ascii="Times New Roman" w:cs="Times New Roman" w:eastAsia="Times New Roman" w:hAnsi="Times New Roman"/>
          <w:b/>
          <w:bCs/>
          <w:sz w:val="28"/>
          <w:szCs w:val="28"/>
        </w:rPr>
        <w:t xml:space="preserve">6.1 Summary of Contributions</w:t>
      </w:r>
    </w:p>
    <w:p>
      <w:pPr>
        <w:spacing w:after="120" w:line="480"/>
        <w:jc w:val="both"/>
      </w:pPr>
      <w:r>
        <w:rPr>
          <w:rFonts w:ascii="Times New Roman" w:cs="Times New Roman" w:eastAsia="Times New Roman" w:hAnsi="Times New Roman"/>
          <w:sz w:val="24"/>
          <w:szCs w:val="24"/>
        </w:rPr>
        <w:t xml:space="preserve">This thesis has presented FinWatch, a near real-time financial transaction monitoring system built entirely from open-source components. The thesis contributes four artifacts of practical value to the data engineering community in Vietnam and beyond.</w:t>
      </w:r>
    </w:p>
    <w:p>
      <w:pPr>
        <w:spacing w:after="120" w:line="480"/>
        <w:jc w:val="both"/>
      </w:pPr>
      <w:r>
        <w:rPr>
          <w:rFonts w:ascii="Times New Roman" w:cs="Times New Roman" w:eastAsia="Times New Roman" w:hAnsi="Times New Roman"/>
          <w:sz w:val="24"/>
          <w:szCs w:val="24"/>
        </w:rPr>
        <w:t xml:space="preserve">First, the thesis documents a complete reference architecture for log-based Change Data Capture into a columnar analytical store, with every design decision justified through trade-off analysis against viable alternatives. Second, the thesis delivers a working implementation deployable in a single docker compose up command, including all configuration files, initialization scripts, and supporting Python utilities. Third, the thesis provides empirical performance characterization of the architecture, with ninety-fifth percentile end-to-end latency of one point eight seconds and saturation throughput of approximately nine hundred fifty transactions per second on commodity hardware. Fourth, the thesis contributes a set of four SQL-based fraud detection rules with documented precision and recall metrics on a labeled synthetic evaluation dataset, achieving an aggregate ninety-six percent recall against fifty injected fraudulent transactions.</w:t>
      </w:r>
    </w:p>
    <w:p>
      <w:pPr>
        <w:pStyle w:val="Heading2"/>
        <w:spacing w:after="240" w:before="360"/>
      </w:pPr>
      <w:r>
        <w:rPr>
          <w:rFonts w:ascii="Times New Roman" w:cs="Times New Roman" w:eastAsia="Times New Roman" w:hAnsi="Times New Roman"/>
          <w:b/>
          <w:bCs/>
          <w:sz w:val="28"/>
          <w:szCs w:val="28"/>
        </w:rPr>
        <w:t xml:space="preserve">6.2 Achievement of Objectives</w:t>
      </w:r>
    </w:p>
    <w:p>
      <w:pPr>
        <w:spacing w:after="120" w:line="480"/>
        <w:jc w:val="both"/>
      </w:pPr>
      <w:r>
        <w:rPr>
          <w:rFonts w:ascii="Times New Roman" w:cs="Times New Roman" w:eastAsia="Times New Roman" w:hAnsi="Times New Roman"/>
          <w:sz w:val="24"/>
          <w:szCs w:val="24"/>
        </w:rPr>
        <w:t xml:space="preserve">Each of the five objectives stated in Section 1.3 of Chapter 1 has been addressed. The end-to-end CDC pipeline operates without measurable impact on PostgreSQL load. Four distinct anomaly rules have been implemented, each surpassing the seventy-percent precision target on the labeled dataset. The Grafana dashboard refreshes at five-second intervals and is supplemented by automated email notifications. The experimental evaluation produced quantitative latency and throughput characterizations together with fault tolerance verification. The complete deployment, including documentation and runbook, has been pushed to a public GitHub repository.</w:t>
      </w:r>
    </w:p>
    <w:p>
      <w:pPr>
        <w:pStyle w:val="Heading2"/>
        <w:spacing w:after="240" w:before="360"/>
      </w:pPr>
      <w:r>
        <w:rPr>
          <w:rFonts w:ascii="Times New Roman" w:cs="Times New Roman" w:eastAsia="Times New Roman" w:hAnsi="Times New Roman"/>
          <w:b/>
          <w:bCs/>
          <w:sz w:val="28"/>
          <w:szCs w:val="28"/>
        </w:rPr>
        <w:t xml:space="preserve">6.3 Limitations</w:t>
      </w:r>
    </w:p>
    <w:p>
      <w:pPr>
        <w:spacing w:after="120" w:line="480"/>
        <w:jc w:val="both"/>
      </w:pPr>
      <w:r>
        <w:rPr>
          <w:rFonts w:ascii="Times New Roman" w:cs="Times New Roman" w:eastAsia="Times New Roman" w:hAnsi="Times New Roman"/>
          <w:sz w:val="24"/>
          <w:szCs w:val="24"/>
        </w:rPr>
        <w:t xml:space="preserve">The work has three principal limitations that the thesis acknowledges openly. First, the deployment is single-node and lacks the redundancy required for production operation. A single broker failure halts the pipeline; a corrupted PostgreSQL volume loses all source data. Second, the fraud detection layer is rule-based and statistical; it cannot generalize to attack patterns outside the explicitly encoded signatures. Third, schema evolution is not automated; adding a column to a source table requires manual updates to the ClickHouse schema and the Materialized View.</w:t>
      </w:r>
    </w:p>
    <w:p>
      <w:pPr>
        <w:pStyle w:val="Heading2"/>
        <w:spacing w:after="240" w:before="360"/>
      </w:pPr>
      <w:r>
        <w:rPr>
          <w:rFonts w:ascii="Times New Roman" w:cs="Times New Roman" w:eastAsia="Times New Roman" w:hAnsi="Times New Roman"/>
          <w:b/>
          <w:bCs/>
          <w:sz w:val="28"/>
          <w:szCs w:val="28"/>
        </w:rPr>
        <w:t xml:space="preserve">6.4 Future Work</w:t>
      </w:r>
    </w:p>
    <w:p>
      <w:pPr>
        <w:spacing w:after="120" w:line="480"/>
        <w:jc w:val="both"/>
      </w:pPr>
      <w:r>
        <w:rPr>
          <w:rFonts w:ascii="Times New Roman" w:cs="Times New Roman" w:eastAsia="Times New Roman" w:hAnsi="Times New Roman"/>
          <w:sz w:val="24"/>
          <w:szCs w:val="24"/>
        </w:rPr>
        <w:t xml:space="preserve">The thesis identifies three principal directions for extending the present work. The first direction is production hardening. This entails deploying Kafka in a three-broker configuration with replication factor three, ClickHouse in a multi-shard replicated configuration with ZooKeeper coordination, and PostgreSQL with a hot standby. Transport-layer security, role-based access control, and secret management through a dedicated vault would be added across all components. An audit trail for compliance with Payment Card Industry Data Security Standard requirements would be implemented through ClickHouse's append-only nature combined with cryptographic log signing.</w:t>
      </w:r>
    </w:p>
    <w:p>
      <w:pPr>
        <w:spacing w:after="120" w:line="480"/>
        <w:jc w:val="both"/>
      </w:pPr>
      <w:r>
        <w:rPr>
          <w:rFonts w:ascii="Times New Roman" w:cs="Times New Roman" w:eastAsia="Times New Roman" w:hAnsi="Times New Roman"/>
          <w:sz w:val="24"/>
          <w:szCs w:val="24"/>
        </w:rPr>
        <w:t xml:space="preserve">The second direction is the integration of machine learning. A feature pipeline would extract per-account and per-merchant behavioral features from ClickHouse aggregations and write them to a feature store. An Isolation Forest baseline would provide unsupervised anomaly scores; supervised models including XGBoost would be trained on labeled data from the operational fraud review team. A model drift monitoring layer would detect distributional shift in input features and trigger retraining. The rule layer and machine learning layer would be combined through a risk scoring engine producing a single decision.</w:t>
      </w:r>
    </w:p>
    <w:p>
      <w:pPr>
        <w:spacing w:after="120" w:line="480"/>
        <w:jc w:val="both"/>
      </w:pPr>
      <w:r>
        <w:rPr>
          <w:rFonts w:ascii="Times New Roman" w:cs="Times New Roman" w:eastAsia="Times New Roman" w:hAnsi="Times New Roman"/>
          <w:sz w:val="24"/>
          <w:szCs w:val="24"/>
        </w:rPr>
        <w:t xml:space="preserve">The third direction is multi-tenancy and multi-region. A tenant identifier would be added to all tables, with row-level access controls in PostgreSQL and partition-level access controls in ClickHouse. Multi-region deployment would employ Kafka MirrorMaker 2 for cross-region replication and ClickHouse's distributed table engine for cross-region query federation.</w:t>
      </w:r>
    </w:p>
    <w:p>
      <w:pPr>
        <w:pStyle w:val="Heading2"/>
        <w:spacing w:after="240" w:before="360"/>
      </w:pPr>
      <w:r>
        <w:rPr>
          <w:rFonts w:ascii="Times New Roman" w:cs="Times New Roman" w:eastAsia="Times New Roman" w:hAnsi="Times New Roman"/>
          <w:b/>
          <w:bCs/>
          <w:sz w:val="28"/>
          <w:szCs w:val="28"/>
        </w:rPr>
        <w:t xml:space="preserve">6.5 Concluding Remarks</w:t>
      </w:r>
    </w:p>
    <w:p>
      <w:pPr>
        <w:spacing w:after="120" w:line="480"/>
        <w:jc w:val="both"/>
      </w:pPr>
      <w:r>
        <w:rPr>
          <w:rFonts w:ascii="Times New Roman" w:cs="Times New Roman" w:eastAsia="Times New Roman" w:hAnsi="Times New Roman"/>
          <w:sz w:val="24"/>
          <w:szCs w:val="24"/>
        </w:rPr>
        <w:t xml:space="preserve">The transformation of Vietnam's financial sector into a digitally native industry has created both opportunity and risk on a scale that the country has not previously encountered. Real-time fraud detection, once the province of the largest international banks, is now both technically achievable and economically necessary for institutions of every size. This thesis has aimed to demonstrate, through the construction and evaluation of a complete working system, that the open-source data engineering ecosystem has matured to the point where this capability is within reach of any organization with one competent engineer and a few weeks of dedicated effort. The author hopes that the reference architecture, working code, and quantitative results documented here will accelerate the journey for others undertaking similar work in service of safer financial systems for Vietnamese consumers.</w:t>
      </w:r>
    </w:p>
    <w:p>
      <w:pPr>
        <w:pStyle w:val="Heading1"/>
        <w:pageBreakBefore/>
        <w:spacing w:after="360" w:before="480"/>
        <w:jc w:val="left"/>
      </w:pPr>
      <w:r>
        <w:rPr>
          <w:rFonts w:ascii="Times New Roman" w:cs="Times New Roman" w:eastAsia="Times New Roman" w:hAnsi="Times New Roman"/>
          <w:b/>
          <w:bCs/>
          <w:sz w:val="32"/>
          <w:szCs w:val="32"/>
        </w:rPr>
        <w:t xml:space="preserve">References</w:t>
      </w:r>
    </w:p>
    <w:p>
      <w:pPr>
        <w:spacing w:after="120" w:line="480"/>
        <w:jc w:val="both"/>
      </w:pPr>
      <w:r>
        <w:rPr>
          <w:rFonts w:ascii="Times New Roman" w:cs="Times New Roman" w:eastAsia="Times New Roman" w:hAnsi="Times New Roman"/>
          <w:sz w:val="24"/>
          <w:szCs w:val="24"/>
        </w:rPr>
        <w:t xml:space="preserve">[1] Kreps, J. (2013). The Log: What every software engineer should know about real-time data's unifying abstraction. LinkedIn Engineering Blog. Retrieved from https://engineering.linkedin.com/distributed-systems/log-what-every-software-engineer-should-know-about-real-time-datas-unifying</w:t>
      </w:r>
    </w:p>
    <w:p>
      <w:pPr>
        <w:spacing w:after="120" w:line="480"/>
        <w:jc w:val="both"/>
      </w:pPr>
      <w:r>
        <w:rPr>
          <w:rFonts w:ascii="Times New Roman" w:cs="Times New Roman" w:eastAsia="Times New Roman" w:hAnsi="Times New Roman"/>
          <w:sz w:val="24"/>
          <w:szCs w:val="24"/>
        </w:rPr>
        <w:t xml:space="preserve">[2] Kreps, J., Narkhede, N., &amp; Rao, J. (2011). Kafka: a Distributed Messaging System for Log Processing. Proceedings of the NetDB Workshop, 1–7.</w:t>
      </w:r>
    </w:p>
    <w:p>
      <w:pPr>
        <w:spacing w:after="120" w:line="480"/>
        <w:jc w:val="both"/>
      </w:pPr>
      <w:r>
        <w:rPr>
          <w:rFonts w:ascii="Times New Roman" w:cs="Times New Roman" w:eastAsia="Times New Roman" w:hAnsi="Times New Roman"/>
          <w:sz w:val="24"/>
          <w:szCs w:val="24"/>
        </w:rPr>
        <w:t xml:space="preserve">[3] Stonebraker, M., Çetintemel, U., &amp; Zdonik, S. (2005). The 8 requirements of real-time stream processing. ACM SIGMOD Record, 34(4), 42–47.</w:t>
      </w:r>
    </w:p>
    <w:p>
      <w:pPr>
        <w:spacing w:after="120" w:line="480"/>
        <w:jc w:val="both"/>
      </w:pPr>
      <w:r>
        <w:rPr>
          <w:rFonts w:ascii="Times New Roman" w:cs="Times New Roman" w:eastAsia="Times New Roman" w:hAnsi="Times New Roman"/>
          <w:sz w:val="24"/>
          <w:szCs w:val="24"/>
        </w:rPr>
        <w:t xml:space="preserve">[4] Shapira, G., Palino, T., Sivaram, R., &amp; Petty, K. (2021). Kafka: The Definitive Guide (2nd ed.). O'Reilly Media.</w:t>
      </w:r>
    </w:p>
    <w:p>
      <w:pPr>
        <w:spacing w:after="120" w:line="480"/>
        <w:jc w:val="both"/>
      </w:pPr>
      <w:r>
        <w:rPr>
          <w:rFonts w:ascii="Times New Roman" w:cs="Times New Roman" w:eastAsia="Times New Roman" w:hAnsi="Times New Roman"/>
          <w:sz w:val="24"/>
          <w:szCs w:val="24"/>
        </w:rPr>
        <w:t xml:space="preserve">[5] Debezium Documentation. (2024). Debezium Connector for PostgreSQL. Retrieved from https://debezium.io/documentation/reference/stable/connectors/postgresql.html</w:t>
      </w:r>
    </w:p>
    <w:p>
      <w:pPr>
        <w:spacing w:after="120" w:line="480"/>
        <w:jc w:val="both"/>
      </w:pPr>
      <w:r>
        <w:rPr>
          <w:rFonts w:ascii="Times New Roman" w:cs="Times New Roman" w:eastAsia="Times New Roman" w:hAnsi="Times New Roman"/>
          <w:sz w:val="24"/>
          <w:szCs w:val="24"/>
        </w:rPr>
        <w:t xml:space="preserve">[6] PostgreSQL Global Development Group. (2024). PostgreSQL Documentation, Chapter 29: Reliability and the Write-Ahead Log. Retrieved from https://www.postgresql.org/docs/15/wal.html</w:t>
      </w:r>
    </w:p>
    <w:p>
      <w:pPr>
        <w:spacing w:after="120" w:line="480"/>
        <w:jc w:val="both"/>
      </w:pPr>
      <w:r>
        <w:rPr>
          <w:rFonts w:ascii="Times New Roman" w:cs="Times New Roman" w:eastAsia="Times New Roman" w:hAnsi="Times New Roman"/>
          <w:sz w:val="24"/>
          <w:szCs w:val="24"/>
        </w:rPr>
        <w:t xml:space="preserve">[7] PostgreSQL Global Development Group. (2024). PostgreSQL Documentation, Chapter 30: Logical Replication. Retrieved from https://www.postgresql.org/docs/15/logical-replication.html</w:t>
      </w:r>
    </w:p>
    <w:p>
      <w:pPr>
        <w:spacing w:after="120" w:line="480"/>
        <w:jc w:val="both"/>
      </w:pPr>
      <w:r>
        <w:rPr>
          <w:rFonts w:ascii="Times New Roman" w:cs="Times New Roman" w:eastAsia="Times New Roman" w:hAnsi="Times New Roman"/>
          <w:sz w:val="24"/>
          <w:szCs w:val="24"/>
        </w:rPr>
        <w:t xml:space="preserve">[8] ClickHouse Documentation. (2024). MergeTree Engine Family. Retrieved from https://clickhouse.com/docs/en/engines/table-engines/mergetree-family/mergetree</w:t>
      </w:r>
    </w:p>
    <w:p>
      <w:pPr>
        <w:spacing w:after="120" w:line="480"/>
        <w:jc w:val="both"/>
      </w:pPr>
      <w:r>
        <w:rPr>
          <w:rFonts w:ascii="Times New Roman" w:cs="Times New Roman" w:eastAsia="Times New Roman" w:hAnsi="Times New Roman"/>
          <w:sz w:val="24"/>
          <w:szCs w:val="24"/>
        </w:rPr>
        <w:t xml:space="preserve">[9] ClickHouse Documentation. (2024). Kafka Engine. Retrieved from https://clickhouse.com/docs/en/engines/table-engines/integrations/kafka</w:t>
      </w:r>
    </w:p>
    <w:p>
      <w:pPr>
        <w:spacing w:after="120" w:line="480"/>
        <w:jc w:val="both"/>
      </w:pPr>
      <w:r>
        <w:rPr>
          <w:rFonts w:ascii="Times New Roman" w:cs="Times New Roman" w:eastAsia="Times New Roman" w:hAnsi="Times New Roman"/>
          <w:sz w:val="24"/>
          <w:szCs w:val="24"/>
        </w:rPr>
        <w:t xml:space="preserve">[10] Dal Pozzolo, A., Caelen, O., Le Borgne, Y. A., Waterschoot, S., &amp; Bontempi, G. (2014). Learned lessons in credit card fraud detection from a practitioner perspective. Expert Systems with Applications, 41(10), 4915–4928.</w:t>
      </w:r>
    </w:p>
    <w:p>
      <w:pPr>
        <w:spacing w:after="120" w:line="480"/>
        <w:jc w:val="both"/>
      </w:pPr>
      <w:r>
        <w:rPr>
          <w:rFonts w:ascii="Times New Roman" w:cs="Times New Roman" w:eastAsia="Times New Roman" w:hAnsi="Times New Roman"/>
          <w:sz w:val="24"/>
          <w:szCs w:val="24"/>
        </w:rPr>
        <w:t xml:space="preserve">[11] Baesens, B., Van Vlasselaer, V., &amp; Verbeke, W. (2015). Fraud Analytics Using Descriptive, Predictive, and Social Network Techniques. Wiley.</w:t>
      </w:r>
    </w:p>
    <w:p>
      <w:pPr>
        <w:spacing w:after="120" w:line="480"/>
        <w:jc w:val="both"/>
      </w:pPr>
      <w:r>
        <w:rPr>
          <w:rFonts w:ascii="Times New Roman" w:cs="Times New Roman" w:eastAsia="Times New Roman" w:hAnsi="Times New Roman"/>
          <w:sz w:val="24"/>
          <w:szCs w:val="24"/>
        </w:rPr>
        <w:t xml:space="preserve">[12] Kleppmann, M. (2017). Designing Data-Intensive Applications. O'Reilly Media.</w:t>
      </w:r>
    </w:p>
    <w:p>
      <w:pPr>
        <w:spacing w:after="120" w:line="480"/>
        <w:jc w:val="both"/>
      </w:pPr>
      <w:r>
        <w:rPr>
          <w:rFonts w:ascii="Times New Roman" w:cs="Times New Roman" w:eastAsia="Times New Roman" w:hAnsi="Times New Roman"/>
          <w:sz w:val="24"/>
          <w:szCs w:val="24"/>
        </w:rPr>
        <w:t xml:space="preserve">[13] Petrov, A. (2019). Database Internals: A Deep Dive into How Distributed Data Systems Work. O'Reilly Media.</w:t>
      </w:r>
    </w:p>
    <w:p>
      <w:pPr>
        <w:spacing w:after="120" w:line="480"/>
        <w:jc w:val="both"/>
      </w:pPr>
      <w:r>
        <w:rPr>
          <w:rFonts w:ascii="Times New Roman" w:cs="Times New Roman" w:eastAsia="Times New Roman" w:hAnsi="Times New Roman"/>
          <w:sz w:val="24"/>
          <w:szCs w:val="24"/>
        </w:rPr>
        <w:t xml:space="preserve">[14] Nilson Report. (2023). Card Fraud Losses Worldwide. Issue 1232, December 2023.</w:t>
      </w:r>
    </w:p>
    <w:p>
      <w:pPr>
        <w:spacing w:after="120" w:line="480"/>
        <w:jc w:val="both"/>
      </w:pPr>
      <w:r>
        <w:rPr>
          <w:rFonts w:ascii="Times New Roman" w:cs="Times New Roman" w:eastAsia="Times New Roman" w:hAnsi="Times New Roman"/>
          <w:sz w:val="24"/>
          <w:szCs w:val="24"/>
        </w:rPr>
        <w:t xml:space="preserve">[15] LexisNexis Risk Solutions. (2024). True Cost of Fraud Study: Financial Services and Lending. Annual report.</w:t>
      </w:r>
    </w:p>
    <w:p>
      <w:pPr>
        <w:spacing w:after="120" w:line="480"/>
        <w:jc w:val="both"/>
      </w:pPr>
      <w:r>
        <w:rPr>
          <w:rFonts w:ascii="Times New Roman" w:cs="Times New Roman" w:eastAsia="Times New Roman" w:hAnsi="Times New Roman"/>
          <w:sz w:val="24"/>
          <w:szCs w:val="24"/>
        </w:rPr>
        <w:t xml:space="preserve">[16] Vietnam Banking Association. (2024). Annual Report on Digital Banking Trends in Vietnam.</w:t>
      </w:r>
    </w:p>
    <w:p>
      <w:pPr>
        <w:spacing w:after="120" w:line="480"/>
        <w:jc w:val="both"/>
      </w:pPr>
      <w:r>
        <w:rPr>
          <w:rFonts w:ascii="Times New Roman" w:cs="Times New Roman" w:eastAsia="Times New Roman" w:hAnsi="Times New Roman"/>
          <w:sz w:val="24"/>
          <w:szCs w:val="24"/>
        </w:rPr>
        <w:t xml:space="preserve">[17] State Bank of Vietnam. (2024). Statistics on Non-Cash Payment Volumes. Quarterly Bulletin.</w:t>
      </w:r>
    </w:p>
    <w:p>
      <w:pPr>
        <w:spacing w:after="120" w:line="480"/>
        <w:jc w:val="both"/>
      </w:pPr>
      <w:r>
        <w:rPr>
          <w:rFonts w:ascii="Times New Roman" w:cs="Times New Roman" w:eastAsia="Times New Roman" w:hAnsi="Times New Roman"/>
          <w:sz w:val="24"/>
          <w:szCs w:val="24"/>
        </w:rPr>
        <w:t xml:space="preserve">[18] Marz, N., &amp; Warren, J. (2015). Big Data: Principles and Best Practices of Scalable Real-Time Data Systems. Manning Publications.</w:t>
      </w:r>
    </w:p>
    <w:p>
      <w:pPr>
        <w:spacing w:after="120" w:line="480"/>
        <w:jc w:val="both"/>
      </w:pPr>
      <w:r>
        <w:rPr>
          <w:rFonts w:ascii="Times New Roman" w:cs="Times New Roman" w:eastAsia="Times New Roman" w:hAnsi="Times New Roman"/>
          <w:sz w:val="24"/>
          <w:szCs w:val="24"/>
        </w:rPr>
        <w:t xml:space="preserve">[19] Confluent Documentation. (2024). Kafka Connect: Distributed Mode. Retrieved from https://docs.confluent.io/platform/current/connect</w:t>
      </w:r>
    </w:p>
    <w:p>
      <w:pPr>
        <w:spacing w:after="120" w:line="480"/>
        <w:jc w:val="both"/>
      </w:pPr>
      <w:r>
        <w:rPr>
          <w:rFonts w:ascii="Times New Roman" w:cs="Times New Roman" w:eastAsia="Times New Roman" w:hAnsi="Times New Roman"/>
          <w:sz w:val="24"/>
          <w:szCs w:val="24"/>
        </w:rPr>
        <w:t xml:space="preserve">[20] Uber Engineering. (2022). Real-Time Risk Decisions at Uber Scale. Uber Engineering Blog.</w:t>
      </w:r>
    </w:p>
    <w:p>
      <w:pPr>
        <w:spacing w:after="120" w:line="480"/>
        <w:jc w:val="both"/>
      </w:pPr>
      <w:r>
        <w:rPr>
          <w:rFonts w:ascii="Times New Roman" w:cs="Times New Roman" w:eastAsia="Times New Roman" w:hAnsi="Times New Roman"/>
          <w:sz w:val="24"/>
          <w:szCs w:val="24"/>
        </w:rPr>
        <w:t xml:space="preserve">[21] Stripe Engineering. (2023). How Stripe Radar Works: Adaptive Machine Learning for Fraud Detection. Stripe Engineering Blog.</w:t>
      </w:r>
    </w:p>
    <w:p>
      <w:pPr>
        <w:spacing w:after="120" w:line="480"/>
        <w:jc w:val="both"/>
      </w:pPr>
      <w:r>
        <w:rPr>
          <w:rFonts w:ascii="Times New Roman" w:cs="Times New Roman" w:eastAsia="Times New Roman" w:hAnsi="Times New Roman"/>
          <w:sz w:val="24"/>
          <w:szCs w:val="24"/>
        </w:rPr>
        <w:t xml:space="preserve">[22] Shopify Engineering. (2022). Building Shopify's Real-Time Fraud Detection Pipeline. Shopify Engineering Blog.</w:t>
      </w:r>
    </w:p>
    <w:p>
      <w:pPr>
        <w:spacing w:after="120" w:line="480"/>
        <w:jc w:val="both"/>
      </w:pPr>
      <w:r>
        <w:rPr>
          <w:rFonts w:ascii="Times New Roman" w:cs="Times New Roman" w:eastAsia="Times New Roman" w:hAnsi="Times New Roman"/>
          <w:sz w:val="24"/>
          <w:szCs w:val="24"/>
        </w:rPr>
        <w:t xml:space="preserve">[23] Altinity. (2023). ClickHouse Knowledge Base: Best Practices for Real-Time Data Ingestion. Retrieved from https://altinity.com/blog/clickhouse-realtime-best-practices</w:t>
      </w:r>
    </w:p>
    <w:p>
      <w:pPr>
        <w:spacing w:after="120" w:line="480"/>
        <w:jc w:val="both"/>
      </w:pPr>
      <w:r>
        <w:rPr>
          <w:rFonts w:ascii="Times New Roman" w:cs="Times New Roman" w:eastAsia="Times New Roman" w:hAnsi="Times New Roman"/>
          <w:sz w:val="24"/>
          <w:szCs w:val="24"/>
        </w:rPr>
        <w:t xml:space="preserve">[24] Grafana Labs Documentation. (2024). Alerting in Grafana: A Comprehensive Guide. Retrieved from https://grafana.com/docs/grafana/latest/alerting</w:t>
      </w:r>
    </w:p>
    <w:p>
      <w:pPr>
        <w:spacing w:after="120" w:line="480"/>
        <w:jc w:val="both"/>
      </w:pPr>
      <w:r>
        <w:rPr>
          <w:rFonts w:ascii="Times New Roman" w:cs="Times New Roman" w:eastAsia="Times New Roman" w:hAnsi="Times New Roman"/>
          <w:sz w:val="24"/>
          <w:szCs w:val="24"/>
        </w:rPr>
        <w:t xml:space="preserve">[25] Brazil, B. (2018). Prometheus: Up &amp; Running. O'Reilly Media.</w:t>
      </w:r>
    </w:p>
    <w:p>
      <w:pPr>
        <w:pStyle w:val="Heading1"/>
        <w:pageBreakBefore/>
        <w:spacing w:after="360" w:before="480"/>
        <w:jc w:val="left"/>
      </w:pPr>
      <w:r>
        <w:rPr>
          <w:rFonts w:ascii="Times New Roman" w:cs="Times New Roman" w:eastAsia="Times New Roman" w:hAnsi="Times New Roman"/>
          <w:b/>
          <w:bCs/>
          <w:sz w:val="32"/>
          <w:szCs w:val="32"/>
        </w:rPr>
        <w:t xml:space="preserve">Appendix A: Key Configuration Files</w:t>
      </w:r>
    </w:p>
    <w:p>
      <w:pPr>
        <w:pStyle w:val="Heading2"/>
        <w:spacing w:after="240" w:before="360"/>
      </w:pPr>
      <w:r>
        <w:rPr>
          <w:rFonts w:ascii="Times New Roman" w:cs="Times New Roman" w:eastAsia="Times New Roman" w:hAnsi="Times New Roman"/>
          <w:b/>
          <w:bCs/>
          <w:sz w:val="28"/>
          <w:szCs w:val="28"/>
        </w:rPr>
        <w:t xml:space="preserve">A.1 docker-compose.yml (excerpt)</w:t>
      </w:r>
    </w:p>
    <w:p>
      <w:pPr>
        <w:shd w:fill="F4F4F4" w:val="clear"/>
        <w:spacing w:after="200" w:before="120" w:line="280"/>
        <w:jc w:val="left"/>
      </w:pPr>
      <w:r>
        <w:rPr>
          <w:rFonts w:ascii="Courier New" w:cs="Courier New" w:eastAsia="Courier New" w:hAnsi="Courier New"/>
          <w:sz w:val="20"/>
          <w:szCs w:val="20"/>
        </w:rPr>
        <w:t xml:space="preserve">version: "3.9"
services:
  postgres:
    image: postgres:15-alpine
    container_name: finwatch-postgres
    environment:
      POSTGRES_DB: ${POSTGRES_DB}
      POSTGRES_USER: ${POSTGRES_USER}
      POSTGRES_PASSWORD: ${POSTGRES_PASSWORD}
    ports: ["5432:5432"]
    volumes:
      - pgdata:/var/lib/postgresql/data
      - ./postgres/postgresql.conf:/etc/postgresql/postgresql.conf:ro
      - ./postgres/init:/docker-entrypoint-initdb.d
    command: postgres -c config_file=/etc/postgresql/postgresql.conf
    healthcheck:
      test: ["CMD-SHELL", "pg_isready -U ${POSTGRES_USER}"]
      interval: 5s
      retries: 10
    networks: [finwatch-net]
  kafka:
    image: confluentinc/cp-kafka:7.6.0
    depends_on: [zookeeper]
    ports: ["29092:29092"]
    environment:
      KAFKA_BROKER_ID: 1
      KAFKA_ZOOKEEPER_CONNECT: zookeeper:2181
      KAFKA_ADVERTISED_LISTENERS: PLAINTEXT://kafka:9092,PLAINTEXT_HOST://localhost:29092
      KAFKA_OFFSETS_TOPIC_REPLICATION_FACTOR: 1
    networks: [finwatch-net]
  debezium:
    image: debezium/connect:2.5
    depends_on:
      postgres: { condition: service_healthy }
      kafka:    { condition: service_healthy }
    ports: ["8083:8083"]
    environment:
      BOOTSTRAP_SERVERS: kafka:9092
      KEY_CONVERTER: org.apache.kafka.connect.json.JsonConverter
      VALUE_CONVERTER: org.apache.kafka.connect.json.JsonConverter
    networks: [finwatch-net]
  clickhouse:
    image: clickhouse/clickhouse-server:24.3-alpine
    ports: ["8123:8123", "9000:9000"]
    volumes:
      - chdata:/var/lib/clickhouse
      - ./clickhouse/init:/docker-entrypoint-initdb.d
    networks: [finwatch-net]
volumes:
  pgdata:
  chdata:
networks:
  finwatch-net:
    driver: bridge</w:t>
      </w:r>
    </w:p>
    <w:p>
      <w:pPr>
        <w:pStyle w:val="Heading2"/>
        <w:spacing w:after="240" w:before="360"/>
      </w:pPr>
      <w:r>
        <w:rPr>
          <w:rFonts w:ascii="Times New Roman" w:cs="Times New Roman" w:eastAsia="Times New Roman" w:hAnsi="Times New Roman"/>
          <w:b/>
          <w:bCs/>
          <w:sz w:val="28"/>
          <w:szCs w:val="28"/>
        </w:rPr>
        <w:t xml:space="preserve">A.2 Debezium Connector Configuration</w:t>
      </w:r>
    </w:p>
    <w:p>
      <w:pPr>
        <w:shd w:fill="F4F4F4" w:val="clear"/>
        <w:spacing w:after="200" w:before="120" w:line="280"/>
        <w:jc w:val="left"/>
      </w:pPr>
      <w:r>
        <w:rPr>
          <w:rFonts w:ascii="Courier New" w:cs="Courier New" w:eastAsia="Courier New" w:hAnsi="Courier New"/>
          <w:sz w:val="20"/>
          <w:szCs w:val="20"/>
        </w:rPr>
        <w:t xml:space="preserve">{
  "name": "finwatch-connector",
  "config": {
    "connector.class": "io.debezium.connector.postgresql.PostgresConnector",
    "tasks.max": "1",
    "database.hostname": "postgres",
    "database.port": "5432",
    "database.user": "debezium",
    "database.password": "debezium_secret_2024",
    "database.dbname": "finwatch",
    "topic.prefix": "finwatch",
    "plugin.name": "pgoutput",
    "slot.name": "finwatch_slot",
    "publication.name": "finwatch_pub",
    "table.include.list": "public.accounts,public.merchants,public.transactions",
    "key.converter.schemas.enable": "false",
    "value.converter.schemas.enable": "false",
    "transforms": "unwrap",
    "transforms.unwrap.type": "io.debezium.transforms.ExtractNewRecordState",
    "transforms.unwrap.drop.tombstones": "true",
    "transforms.unwrap.delete.handling.mode": "rewrite",
    "transforms.unwrap.add.fields": "op,table,source.ts_ms",
    "decimal.handling.mode": "string",
    "time.precision.mode": "connect",
    "snapshot.mode": "initial",
    "heartbeat.interval.ms": "5000"
  }
}</w:t>
      </w:r>
    </w:p>
    <w:p>
      <w:pPr>
        <w:pStyle w:val="Heading2"/>
        <w:spacing w:after="240" w:before="360"/>
      </w:pPr>
      <w:r>
        <w:rPr>
          <w:rFonts w:ascii="Times New Roman" w:cs="Times New Roman" w:eastAsia="Times New Roman" w:hAnsi="Times New Roman"/>
          <w:b/>
          <w:bCs/>
          <w:sz w:val="28"/>
          <w:szCs w:val="28"/>
        </w:rPr>
        <w:t xml:space="preserve">A.3 PostgreSQL Schema Initialization</w:t>
      </w:r>
    </w:p>
    <w:p>
      <w:pPr>
        <w:shd w:fill="F4F4F4" w:val="clear"/>
        <w:spacing w:after="200" w:before="120" w:line="280"/>
        <w:jc w:val="left"/>
      </w:pPr>
      <w:r>
        <w:rPr>
          <w:rFonts w:ascii="Courier New" w:cs="Courier New" w:eastAsia="Courier New" w:hAnsi="Courier New"/>
          <w:sz w:val="20"/>
          <w:szCs w:val="20"/>
        </w:rPr>
        <w:t xml:space="preserve">CREATE EXTENSION IF NOT EXISTS "uuid-ossp";
CREATE TABLE accounts (
    id UUID PRIMARY KEY DEFAULT uuid_generate_v4(),
    full_name VARCHAR(255) NOT NULL,
    email VARCHAR(255) NOT NULL UNIQUE,
    phone VARCHAR(20),
    balance DECIMAL(18,2) NOT NULL DEFAULT 0.00 CHECK (balance &gt;= 0),
    currency VARCHAR(3) NOT NULL DEFAULT 'VND',
    status VARCHAR(20) NOT NULL DEFAULT 'active'
        CHECK (status IN ('active','suspended','closed')),
    created_at TIMESTAMPTZ NOT NULL DEFAULT NOW(),
    updated_at TIMESTAMPTZ NOT NULL DEFAULT NOW()
);
CREATE TABLE transactions (
    id UUID PRIMARY KEY DEFAULT uuid_generate_v4(),
    account_id UUID NOT NULL REFERENCES accounts(id),
    merchant_id UUID REFERENCES merchants(id),
    amount DECIMAL(18,2) NOT NULL CHECK (amount &gt; 0),
    currency VARCHAR(3) NOT NULL,
    type VARCHAR(20) NOT NULL CHECK (type IN
        ('purchase','transfer','withdrawal','deposit','refund')),
    status VARCHAR(20) NOT NULL DEFAULT 'pending',
    description TEXT,
    metadata JSONB,
    ip_address INET,
    device_id VARCHAR(64),
    created_at TIMESTAMPTZ NOT NULL DEFAULT NOW(),
    updated_at TIMESTAMPTZ NOT NULL DEFAULT NOW()
);
CREATE INDEX idx_tx_account ON transactions(account_id);
CREATE INDEX idx_tx_created ON transactions(created_at);
CREATE PUBLICATION finwatch_pub FOR TABLE accounts, merchants, transactions;
CREATE ROLE debezium WITH LOGIN PASSWORD 'debezium_secret_2024' REPLICATION;
GRANT SELECT ON ALL TABLES IN SCHEMA public TO debezium;</w:t>
      </w:r>
    </w:p>
    <w:p>
      <w:pPr>
        <w:pStyle w:val="Heading2"/>
        <w:spacing w:after="240" w:before="360"/>
      </w:pPr>
      <w:r>
        <w:rPr>
          <w:rFonts w:ascii="Times New Roman" w:cs="Times New Roman" w:eastAsia="Times New Roman" w:hAnsi="Times New Roman"/>
          <w:b/>
          <w:bCs/>
          <w:sz w:val="28"/>
          <w:szCs w:val="28"/>
        </w:rPr>
        <w:t xml:space="preserve">A.4 ClickHouse Target Table and Materialized View</w:t>
      </w:r>
    </w:p>
    <w:p>
      <w:pPr>
        <w:shd w:fill="F4F4F4" w:val="clear"/>
        <w:spacing w:after="200" w:before="120" w:line="280"/>
        <w:jc w:val="left"/>
      </w:pPr>
      <w:r>
        <w:rPr>
          <w:rFonts w:ascii="Courier New" w:cs="Courier New" w:eastAsia="Courier New" w:hAnsi="Courier New"/>
          <w:sz w:val="20"/>
          <w:szCs w:val="20"/>
        </w:rPr>
        <w:t xml:space="preserve">CREATE DATABASE IF NOT EXISTS finwatch;
CREATE TABLE finwatch.transactions (
    id String,
    account_id String,
    merchant_id Nullable(String),
    amount Decimal128(2),
    currency LowCardinality(String),
    type LowCardinality(String),
    status LowCardinality(String),
    description Nullable(String),
    created_at DateTime64(3, 'Asia/Ho_Chi_Minh'),
    cdc_op LowCardinality(String),
    _source_ts_ms Int64
) ENGINE = ReplacingMergeTree(_source_ts_ms)
PARTITION BY toYYYYMM(created_at)
ORDER BY (account_id, created_at, id);
CREATE TABLE finwatch.transactions_kafka (
    id String, account_id String, merchant_id Nullable(String),
    amount String, currency String, type String, status String,
    description Nullable(String), created_at Nullable(Int64),
    __op String, __table String, __source_ts_ms Int64
) ENGINE = Kafka
SETTINGS
    kafka_broker_list = 'kafka:9092',
    kafka_topic_list = 'finwatch.public.transactions',
    kafka_group_name = 'clickhouse_transactions',
    kafka_format = 'JSONEachRow';
CREATE MATERIALIZED VIEW finwatch.transactions_mv TO finwatch.transactions AS
SELECT
    id, account_id, merchant_id,
    toDecimal128(amount, 2) AS amount,
    currency, type, status, description,
    fromUnixTimestamp64Milli(coalesce(created_at, __source_ts_ms)) AS created_at,
    __op AS cdc_op,
    __source_ts_ms AS _source_ts_ms
FROM finwatch.transactions_kafka;</w:t>
      </w:r>
    </w:p>
    <w:p>
      <w:pPr>
        <w:pStyle w:val="Heading1"/>
        <w:pageBreakBefore/>
        <w:spacing w:after="360" w:before="480"/>
        <w:jc w:val="left"/>
      </w:pPr>
      <w:r>
        <w:rPr>
          <w:rFonts w:ascii="Times New Roman" w:cs="Times New Roman" w:eastAsia="Times New Roman" w:hAnsi="Times New Roman"/>
          <w:b/>
          <w:bCs/>
          <w:sz w:val="32"/>
          <w:szCs w:val="32"/>
        </w:rPr>
        <w:t xml:space="preserve">Appendix B: Anomaly Detection Queries</w:t>
      </w:r>
    </w:p>
    <w:p>
      <w:pPr>
        <w:pStyle w:val="Heading2"/>
        <w:spacing w:after="240" w:before="360"/>
      </w:pPr>
      <w:r>
        <w:rPr>
          <w:rFonts w:ascii="Times New Roman" w:cs="Times New Roman" w:eastAsia="Times New Roman" w:hAnsi="Times New Roman"/>
          <w:b/>
          <w:bCs/>
          <w:sz w:val="28"/>
          <w:szCs w:val="28"/>
        </w:rPr>
        <w:t xml:space="preserve">B.1 Velocity Check</w:t>
      </w:r>
    </w:p>
    <w:p>
      <w:pPr>
        <w:shd w:fill="F4F4F4" w:val="clear"/>
        <w:spacing w:after="200" w:before="120" w:line="280"/>
        <w:jc w:val="left"/>
      </w:pPr>
      <w:r>
        <w:rPr>
          <w:rFonts w:ascii="Courier New" w:cs="Courier New" w:eastAsia="Courier New" w:hAnsi="Courier New"/>
          <w:sz w:val="20"/>
          <w:szCs w:val="20"/>
        </w:rPr>
        <w:t xml:space="preserve">-- Detect accounts with &gt;10 transactions or &gt;50M VND in 5 minutes
SELECT
    account_id,
    count() AS txn_count,
    sum(toFloat64(amount)) AS total_amount,
    min(created_at) AS window_start,
    max(created_at) AS window_end
FROM finwatch.transactions FINAL
WHERE created_at &gt;= now() - INTERVAL 5 MINUTE
  AND cdc_op != 'd'
GROUP BY account_id
HAVING txn_count &gt; 10 OR total_amount &gt; 50000000
ORDER BY txn_count DESC;</w:t>
      </w:r>
    </w:p>
    <w:p>
      <w:pPr>
        <w:pStyle w:val="Heading2"/>
        <w:spacing w:after="240" w:before="360"/>
      </w:pPr>
      <w:r>
        <w:rPr>
          <w:rFonts w:ascii="Times New Roman" w:cs="Times New Roman" w:eastAsia="Times New Roman" w:hAnsi="Times New Roman"/>
          <w:b/>
          <w:bCs/>
          <w:sz w:val="28"/>
          <w:szCs w:val="28"/>
        </w:rPr>
        <w:t xml:space="preserve">B.2 Z-Score Anomaly</w:t>
      </w:r>
    </w:p>
    <w:p>
      <w:pPr>
        <w:shd w:fill="F4F4F4" w:val="clear"/>
        <w:spacing w:after="200" w:before="120" w:line="280"/>
        <w:jc w:val="left"/>
      </w:pPr>
      <w:r>
        <w:rPr>
          <w:rFonts w:ascii="Courier New" w:cs="Courier New" w:eastAsia="Courier New" w:hAnsi="Courier New"/>
          <w:sz w:val="20"/>
          <w:szCs w:val="20"/>
        </w:rPr>
        <w:t xml:space="preserve">-- Detect transactions &gt; 3 standard deviations from 30-day baseline
WITH baseline AS (
    SELECT account_id,
        avg(toFloat64(amount)) AS avg_amount,
        stddevPop(toFloat64(amount)) AS std_amount,
        count() AS txn_count_30d
    FROM finwatch.transactions FINAL
    WHERE created_at &gt;= now() - INTERVAL 30 DAY
      AND cdc_op != 'd'
    GROUP BY account_id
    HAVING txn_count_30d &gt;= 5
)
SELECT t.id, t.account_id, t.amount,
    b.avg_amount, b.std_amount,
    round((toFloat64(t.amount) - b.avg_amount)
         / nullIf(b.std_amount, 0), 2) AS z_score
FROM finwatch.transactions t FINAL
JOIN baseline b ON t.account_id = b.account_id
WHERE t.created_at &gt;= now() - INTERVAL 10 MINUTE
  AND abs((toFloat64(t.amount) - b.avg_amount)
         / nullIf(b.std_amount, 0)) &gt; 3
ORDER BY abs(z_score) DESC;</w:t>
      </w:r>
    </w:p>
    <w:p>
      <w:pPr>
        <w:pStyle w:val="Heading2"/>
        <w:spacing w:after="240" w:before="360"/>
      </w:pPr>
      <w:r>
        <w:rPr>
          <w:rFonts w:ascii="Times New Roman" w:cs="Times New Roman" w:eastAsia="Times New Roman" w:hAnsi="Times New Roman"/>
          <w:b/>
          <w:bCs/>
          <w:sz w:val="28"/>
          <w:szCs w:val="28"/>
        </w:rPr>
        <w:t xml:space="preserve">B.3 Multi-Currency Pattern</w:t>
      </w:r>
    </w:p>
    <w:p>
      <w:pPr>
        <w:shd w:fill="F4F4F4" w:val="clear"/>
        <w:spacing w:after="200" w:before="120" w:line="280"/>
        <w:jc w:val="left"/>
      </w:pPr>
      <w:r>
        <w:rPr>
          <w:rFonts w:ascii="Courier New" w:cs="Courier New" w:eastAsia="Courier New" w:hAnsi="Courier New"/>
          <w:sz w:val="20"/>
          <w:szCs w:val="20"/>
        </w:rPr>
        <w:t xml:space="preserve">-- Detect accounts using &gt;=3 currencies in 10 minutes
SELECT
    account_id,
    groupArray(DISTINCT currency) AS currencies,
    length(groupArray(DISTINCT currency)) AS curr_count,
    count() AS txn_count
FROM finwatch.transactions FINAL
WHERE created_at &gt;= now() - INTERVAL 10 MINUTE
  AND cdc_op != 'd'
GROUP BY account_id
HAVING curr_count &gt;= 3
ORDER BY curr_count DESC;</w:t>
      </w:r>
    </w:p>
    <w:p>
      <w:pPr>
        <w:pStyle w:val="Heading2"/>
        <w:spacing w:after="240" w:before="360"/>
      </w:pPr>
      <w:r>
        <w:rPr>
          <w:rFonts w:ascii="Times New Roman" w:cs="Times New Roman" w:eastAsia="Times New Roman" w:hAnsi="Times New Roman"/>
          <w:b/>
          <w:bCs/>
          <w:sz w:val="28"/>
          <w:szCs w:val="28"/>
        </w:rPr>
        <w:t xml:space="preserve">B.4 Threshold Rules (large amount + high-risk merchant)</w:t>
      </w:r>
    </w:p>
    <w:p>
      <w:pPr>
        <w:shd w:fill="F4F4F4" w:val="clear"/>
        <w:spacing w:after="200" w:before="120" w:line="280"/>
        <w:jc w:val="left"/>
      </w:pPr>
      <w:r>
        <w:rPr>
          <w:rFonts w:ascii="Courier New" w:cs="Courier New" w:eastAsia="Courier New" w:hAnsi="Courier New"/>
          <w:sz w:val="20"/>
          <w:szCs w:val="20"/>
        </w:rPr>
        <w:t xml:space="preserve">-- Large amount + high-risk merchant
SELECT t.id, t.account_id, t.amount,
    m.name AS merchant, m.risk_level,
    t.created_at
FROM finwatch.transactions t FINAL
LEFT JOIN finwatch.merchants m FINAL ON t.merchant_id = m.id
WHERE t.created_at &gt;= now() - INTERVAL 1 HOUR
  AND t.cdc_op != 'd'
  AND (toFloat64(t.amount) &gt; 100000000 OR m.risk_level = 'high')
ORDER BY t.amount DESC;</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FinWatch — Bùi Hoàng Nhân — VNUK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4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sz w:val="26"/>
      <w:szCs w:val="26"/>
    </w:rPr>
  </w:style>
  <w:style w:type="paragraph" w:styleId="Heading4">
    <w:name w:val="Heading 4"/>
    <w:basedOn w:val="Normal"/>
    <w:next w:val="Normal"/>
    <w:qFormat/>
    <w:pPr>
      <w:spacing w:after="120" w:before="200"/>
      <w:outlineLvl w:val="3"/>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FinWatch Graduation Thesis</dc:title>
  <dc:creator>Bùi Hoàng Nhân</dc:creator>
  <dc:description>Design and Implementation of a Near Real-Time Financial Transaction Monitoring System</dc:description>
  <cp:lastModifiedBy>Un-named</cp:lastModifiedBy>
  <cp:revision>1</cp:revision>
  <dcterms:created xsi:type="dcterms:W3CDTF">2026-05-19T12:40:30.883Z</dcterms:created>
  <dcterms:modified xsi:type="dcterms:W3CDTF">2026-05-19T12:40:30.886Z</dcterms:modified>
</cp:coreProperties>
</file>

<file path=docProps/custom.xml><?xml version="1.0" encoding="utf-8"?>
<Properties xmlns="http://schemas.openxmlformats.org/officeDocument/2006/custom-properties" xmlns:vt="http://schemas.openxmlformats.org/officeDocument/2006/docPropsVTypes"/>
</file>