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15C56" w14:textId="77777777" w:rsidR="00847A77" w:rsidRPr="003E7BC1" w:rsidRDefault="00847A77" w:rsidP="003E7BC1">
      <w:pPr>
        <w:ind w:left="-426"/>
        <w:rPr>
          <w:rFonts w:ascii="Times New Roman" w:hAnsi="Times New Roman" w:cs="Times New Roman"/>
          <w:b/>
          <w:color w:val="000000"/>
        </w:rPr>
        <w:sectPr w:rsidR="00847A77" w:rsidRPr="003E7BC1" w:rsidSect="00847A77">
          <w:headerReference w:type="default" r:id="rId8"/>
          <w:footerReference w:type="default" r:id="rId9"/>
          <w:footerReference w:type="first" r:id="rId10"/>
          <w:pgSz w:w="12240" w:h="15840"/>
          <w:pgMar w:top="1701" w:right="1134" w:bottom="1701" w:left="1985" w:header="431" w:footer="431" w:gutter="0"/>
          <w:pgNumType w:start="1"/>
          <w:cols w:space="720"/>
          <w:titlePg/>
        </w:sectPr>
      </w:pPr>
      <w:bookmarkStart w:id="0" w:name="_heading=h.gjdgxs" w:colFirst="0" w:colLast="0"/>
      <w:bookmarkEnd w:id="0"/>
      <w:r w:rsidRPr="003E7BC1">
        <w:rPr>
          <w:rFonts w:ascii="Times New Roman" w:hAnsi="Times New Roman" w:cs="Times New Roman"/>
          <w:noProof/>
        </w:rPr>
        <w:drawing>
          <wp:anchor distT="0" distB="0" distL="0" distR="0" simplePos="0" relativeHeight="251659264" behindDoc="0" locked="0" layoutInCell="1" hidden="0" allowOverlap="1" wp14:anchorId="7908194D" wp14:editId="099FD28E">
            <wp:simplePos x="0" y="0"/>
            <wp:positionH relativeFrom="column">
              <wp:posOffset>2105872</wp:posOffset>
            </wp:positionH>
            <wp:positionV relativeFrom="paragraph">
              <wp:posOffset>85725</wp:posOffset>
            </wp:positionV>
            <wp:extent cx="1257300" cy="695325"/>
            <wp:effectExtent l="0" t="0" r="0" b="9525"/>
            <wp:wrapSquare wrapText="bothSides" distT="0" distB="0" distL="0" distR="0"/>
            <wp:docPr id="9" name="image2.png" descr="https://lh4.googleusercontent.com/Kcvvy_nysOgxt0hjM8n0mR0Ax3UYJC0sC-PmlAL08hfuMMNICq5bvI47zkBjiZrSeeOzjzPTe38Sn_naRKY6afO7LHWk4tcLrjdyhsD640mOyAJ8WVc7NOIYD8wXYUu-3HMalExF"/>
            <wp:cNvGraphicFramePr/>
            <a:graphic xmlns:a="http://schemas.openxmlformats.org/drawingml/2006/main">
              <a:graphicData uri="http://schemas.openxmlformats.org/drawingml/2006/picture">
                <pic:pic xmlns:pic="http://schemas.openxmlformats.org/drawingml/2006/picture">
                  <pic:nvPicPr>
                    <pic:cNvPr id="0" name="image2.png" descr="https://lh4.googleusercontent.com/Kcvvy_nysOgxt0hjM8n0mR0Ax3UYJC0sC-PmlAL08hfuMMNICq5bvI47zkBjiZrSeeOzjzPTe38Sn_naRKY6afO7LHWk4tcLrjdyhsD640mOyAJ8WVc7NOIYD8wXYUu-3HMalExF"/>
                    <pic:cNvPicPr preferRelativeResize="0"/>
                  </pic:nvPicPr>
                  <pic:blipFill>
                    <a:blip r:embed="rId11"/>
                    <a:srcRect/>
                    <a:stretch>
                      <a:fillRect/>
                    </a:stretch>
                  </pic:blipFill>
                  <pic:spPr>
                    <a:xfrm>
                      <a:off x="0" y="0"/>
                      <a:ext cx="1257300" cy="695325"/>
                    </a:xfrm>
                    <a:prstGeom prst="rect">
                      <a:avLst/>
                    </a:prstGeom>
                    <a:ln/>
                  </pic:spPr>
                </pic:pic>
              </a:graphicData>
            </a:graphic>
          </wp:anchor>
        </w:drawing>
      </w:r>
    </w:p>
    <w:p w14:paraId="5E30524A" w14:textId="77777777" w:rsidR="00847A77" w:rsidRPr="003E7BC1" w:rsidRDefault="00847A77" w:rsidP="003E7BC1">
      <w:pPr>
        <w:ind w:left="-426"/>
        <w:rPr>
          <w:rFonts w:ascii="Times New Roman" w:hAnsi="Times New Roman" w:cs="Times New Roman"/>
          <w:b/>
        </w:rPr>
        <w:sectPr w:rsidR="00847A77" w:rsidRPr="003E7BC1" w:rsidSect="00847A77">
          <w:type w:val="continuous"/>
          <w:pgSz w:w="12240" w:h="15840"/>
          <w:pgMar w:top="1701" w:right="1134" w:bottom="1701" w:left="1985" w:header="431" w:footer="431" w:gutter="0"/>
          <w:cols w:num="2" w:space="720" w:equalWidth="0">
            <w:col w:w="2555" w:space="4010"/>
            <w:col w:w="2555" w:space="0"/>
          </w:cols>
        </w:sectPr>
      </w:pPr>
    </w:p>
    <w:p w14:paraId="7ED1D53E" w14:textId="77777777" w:rsidR="00847A77" w:rsidRPr="003E7BC1" w:rsidRDefault="00847A77" w:rsidP="003E7BC1">
      <w:pPr>
        <w:ind w:left="-426"/>
        <w:rPr>
          <w:rFonts w:ascii="Times New Roman" w:hAnsi="Times New Roman" w:cs="Times New Roman"/>
          <w:b/>
        </w:rPr>
      </w:pPr>
      <w:r w:rsidRPr="003E7BC1">
        <w:rPr>
          <w:rFonts w:ascii="Times New Roman" w:hAnsi="Times New Roman" w:cs="Times New Roman"/>
          <w:b/>
        </w:rPr>
        <w:br/>
      </w:r>
    </w:p>
    <w:p w14:paraId="52EEAF19" w14:textId="77777777" w:rsidR="00847A77" w:rsidRPr="003E7BC1" w:rsidRDefault="00847A77" w:rsidP="003E7BC1">
      <w:pPr>
        <w:ind w:left="-426"/>
        <w:rPr>
          <w:rFonts w:ascii="Times New Roman" w:hAnsi="Times New Roman" w:cs="Times New Roman"/>
          <w:b/>
        </w:rPr>
      </w:pPr>
    </w:p>
    <w:p w14:paraId="31C3FB78" w14:textId="77777777" w:rsidR="00847A77" w:rsidRPr="003E7BC1" w:rsidRDefault="00847A77" w:rsidP="003E7BC1">
      <w:pPr>
        <w:ind w:left="-426"/>
        <w:rPr>
          <w:rFonts w:ascii="Times New Roman" w:hAnsi="Times New Roman" w:cs="Times New Roman"/>
          <w:b/>
        </w:rPr>
      </w:pPr>
    </w:p>
    <w:p w14:paraId="0FC4F785" w14:textId="77777777" w:rsidR="00847A77" w:rsidRPr="003E7BC1" w:rsidRDefault="00847A77" w:rsidP="003E7BC1">
      <w:pPr>
        <w:ind w:left="-426"/>
        <w:rPr>
          <w:rFonts w:ascii="Times New Roman" w:hAnsi="Times New Roman" w:cs="Times New Roman"/>
          <w:b/>
        </w:rPr>
      </w:pPr>
    </w:p>
    <w:p w14:paraId="623A716F" w14:textId="77777777" w:rsidR="00847A77" w:rsidRPr="003E7BC1" w:rsidRDefault="00847A77" w:rsidP="007A1056">
      <w:pPr>
        <w:ind w:left="-426"/>
        <w:jc w:val="center"/>
        <w:rPr>
          <w:rFonts w:ascii="Times New Roman" w:hAnsi="Times New Roman" w:cs="Times New Roman"/>
          <w:b/>
        </w:rPr>
      </w:pPr>
    </w:p>
    <w:p w14:paraId="29C02A6D" w14:textId="12585826" w:rsidR="00847A77" w:rsidRPr="003E7BC1" w:rsidRDefault="00847A77" w:rsidP="007A1056">
      <w:pPr>
        <w:ind w:left="-426"/>
        <w:jc w:val="center"/>
        <w:rPr>
          <w:rFonts w:ascii="Times New Roman" w:hAnsi="Times New Roman" w:cs="Times New Roman"/>
          <w:b/>
        </w:rPr>
      </w:pPr>
      <w:r w:rsidRPr="003E7BC1">
        <w:rPr>
          <w:rFonts w:ascii="Times New Roman" w:hAnsi="Times New Roman" w:cs="Times New Roman"/>
          <w:b/>
        </w:rPr>
        <w:t>COMPUTER SCIENCE AND ENGINEERING</w:t>
      </w:r>
    </w:p>
    <w:p w14:paraId="3F206EE6" w14:textId="77777777" w:rsidR="00811465" w:rsidRPr="003E7BC1" w:rsidRDefault="00811465" w:rsidP="007A1056">
      <w:pPr>
        <w:ind w:left="-426"/>
        <w:jc w:val="center"/>
        <w:rPr>
          <w:rFonts w:ascii="Times New Roman" w:hAnsi="Times New Roman" w:cs="Times New Roman"/>
          <w:b/>
        </w:rPr>
      </w:pPr>
    </w:p>
    <w:p w14:paraId="12B179E1" w14:textId="77777777" w:rsidR="00811465" w:rsidRPr="003E7BC1" w:rsidRDefault="00811465" w:rsidP="007A1056">
      <w:pPr>
        <w:ind w:left="-426"/>
        <w:jc w:val="center"/>
        <w:rPr>
          <w:rFonts w:ascii="Times New Roman" w:hAnsi="Times New Roman" w:cs="Times New Roman"/>
          <w:b/>
        </w:rPr>
      </w:pPr>
    </w:p>
    <w:p w14:paraId="598F4F01" w14:textId="77777777" w:rsidR="00811465" w:rsidRPr="003E7BC1" w:rsidRDefault="00811465" w:rsidP="007A1056">
      <w:pPr>
        <w:ind w:left="-426"/>
        <w:jc w:val="center"/>
        <w:rPr>
          <w:rFonts w:ascii="Times New Roman" w:hAnsi="Times New Roman" w:cs="Times New Roman"/>
          <w:b/>
        </w:rPr>
      </w:pPr>
    </w:p>
    <w:p w14:paraId="6F3DA5B0" w14:textId="77777777" w:rsidR="00811465" w:rsidRPr="003E7BC1" w:rsidRDefault="00811465" w:rsidP="007A1056">
      <w:pPr>
        <w:ind w:left="-426"/>
        <w:jc w:val="center"/>
        <w:rPr>
          <w:rFonts w:ascii="Times New Roman" w:hAnsi="Times New Roman" w:cs="Times New Roman"/>
          <w:b/>
        </w:rPr>
      </w:pPr>
    </w:p>
    <w:p w14:paraId="4117BA74" w14:textId="77777777" w:rsidR="00811465" w:rsidRPr="003E7BC1" w:rsidRDefault="00811465" w:rsidP="007A1056">
      <w:pPr>
        <w:ind w:left="-426"/>
        <w:jc w:val="center"/>
        <w:rPr>
          <w:rFonts w:ascii="Times New Roman" w:hAnsi="Times New Roman" w:cs="Times New Roman"/>
          <w:b/>
        </w:rPr>
      </w:pPr>
    </w:p>
    <w:p w14:paraId="4C2850FE" w14:textId="77777777" w:rsidR="00847A77" w:rsidRPr="003E7BC1" w:rsidRDefault="00847A77" w:rsidP="007A1056">
      <w:pPr>
        <w:ind w:left="-426"/>
        <w:jc w:val="center"/>
        <w:rPr>
          <w:rFonts w:ascii="Times New Roman" w:hAnsi="Times New Roman" w:cs="Times New Roman"/>
          <w:b/>
        </w:rPr>
      </w:pPr>
    </w:p>
    <w:p w14:paraId="38049E41" w14:textId="77777777" w:rsidR="003E7BC1" w:rsidRPr="003E7BC1" w:rsidRDefault="003E7BC1" w:rsidP="007A1056">
      <w:pPr>
        <w:ind w:left="-426"/>
        <w:jc w:val="center"/>
        <w:rPr>
          <w:rFonts w:ascii="Times New Roman" w:hAnsi="Times New Roman" w:cs="Times New Roman"/>
          <w:b/>
          <w:sz w:val="52"/>
          <w:szCs w:val="52"/>
        </w:rPr>
      </w:pPr>
      <w:r w:rsidRPr="003E7BC1">
        <w:rPr>
          <w:rFonts w:ascii="Times New Roman" w:hAnsi="Times New Roman" w:cs="Times New Roman"/>
          <w:b/>
          <w:sz w:val="52"/>
          <w:szCs w:val="52"/>
        </w:rPr>
        <w:t>Time Series Forecasting with Chronos-2</w:t>
      </w:r>
    </w:p>
    <w:p w14:paraId="2F3C2DF0" w14:textId="2437F330" w:rsidR="00094834" w:rsidRPr="003E7BC1" w:rsidRDefault="003E7BC1" w:rsidP="007A1056">
      <w:pPr>
        <w:ind w:left="-426"/>
        <w:jc w:val="center"/>
        <w:rPr>
          <w:rFonts w:ascii="Times New Roman" w:hAnsi="Times New Roman" w:cs="Times New Roman"/>
          <w:b/>
          <w:sz w:val="56"/>
          <w:szCs w:val="56"/>
        </w:rPr>
      </w:pPr>
      <w:r w:rsidRPr="003E7BC1">
        <w:rPr>
          <w:rFonts w:ascii="Times New Roman" w:hAnsi="Times New Roman" w:cs="Times New Roman"/>
          <w:b/>
          <w:sz w:val="52"/>
          <w:szCs w:val="52"/>
        </w:rPr>
        <w:t>Comparative Analysis of Zero-Shot and Fine-Tuned Foundation Models</w:t>
      </w:r>
    </w:p>
    <w:p w14:paraId="07469315" w14:textId="77777777" w:rsidR="00847A77" w:rsidRPr="003E7BC1" w:rsidRDefault="00847A77" w:rsidP="007A1056">
      <w:pPr>
        <w:ind w:left="-426"/>
        <w:jc w:val="center"/>
        <w:rPr>
          <w:rFonts w:ascii="Times New Roman" w:hAnsi="Times New Roman" w:cs="Times New Roman"/>
        </w:rPr>
      </w:pPr>
      <w:r w:rsidRPr="003E7BC1">
        <w:rPr>
          <w:rFonts w:ascii="Times New Roman" w:hAnsi="Times New Roman" w:cs="Times New Roman"/>
        </w:rPr>
        <w:t>by</w:t>
      </w:r>
    </w:p>
    <w:p w14:paraId="4A26C464" w14:textId="77777777" w:rsidR="003A031A" w:rsidRPr="003E7BC1" w:rsidRDefault="003A031A" w:rsidP="007A1056">
      <w:pPr>
        <w:ind w:left="-426"/>
        <w:jc w:val="center"/>
        <w:rPr>
          <w:rFonts w:ascii="Times New Roman" w:hAnsi="Times New Roman" w:cs="Times New Roman"/>
        </w:rPr>
      </w:pPr>
    </w:p>
    <w:p w14:paraId="05D3CEFB" w14:textId="77777777" w:rsidR="003A031A" w:rsidRPr="003E7BC1" w:rsidRDefault="003A031A" w:rsidP="007A1056">
      <w:pPr>
        <w:ind w:left="-426"/>
        <w:jc w:val="center"/>
        <w:rPr>
          <w:rFonts w:ascii="Times New Roman" w:hAnsi="Times New Roman" w:cs="Times New Roman"/>
        </w:rPr>
        <w:sectPr w:rsidR="003A031A" w:rsidRPr="003E7BC1" w:rsidSect="00847A77">
          <w:type w:val="continuous"/>
          <w:pgSz w:w="12240" w:h="15840"/>
          <w:pgMar w:top="1701" w:right="1134" w:bottom="1701" w:left="1985" w:header="431" w:footer="431" w:gutter="0"/>
          <w:cols w:space="720"/>
        </w:sectPr>
      </w:pPr>
    </w:p>
    <w:p w14:paraId="29B82FF4" w14:textId="77777777" w:rsidR="00847A77" w:rsidRPr="003E7BC1" w:rsidRDefault="00847A77" w:rsidP="007A1056">
      <w:pPr>
        <w:ind w:left="-426"/>
        <w:jc w:val="center"/>
        <w:rPr>
          <w:rFonts w:ascii="Times New Roman" w:hAnsi="Times New Roman" w:cs="Times New Roman"/>
          <w:b/>
          <w:i/>
          <w:sz w:val="28"/>
          <w:szCs w:val="28"/>
        </w:rPr>
      </w:pPr>
      <w:r w:rsidRPr="003E7BC1">
        <w:rPr>
          <w:rFonts w:ascii="Times New Roman" w:hAnsi="Times New Roman" w:cs="Times New Roman"/>
          <w:b/>
          <w:i/>
          <w:sz w:val="28"/>
          <w:szCs w:val="28"/>
        </w:rPr>
        <w:t>Bùi Hoàng Nhân</w:t>
      </w:r>
    </w:p>
    <w:p w14:paraId="1A146308" w14:textId="77777777" w:rsidR="00847A77" w:rsidRPr="003E7BC1" w:rsidRDefault="00847A77" w:rsidP="007A1056">
      <w:pPr>
        <w:ind w:left="-426"/>
        <w:jc w:val="center"/>
        <w:rPr>
          <w:rFonts w:ascii="Times New Roman" w:hAnsi="Times New Roman" w:cs="Times New Roman"/>
          <w:b/>
          <w:i/>
          <w:highlight w:val="yellow"/>
        </w:rPr>
      </w:pPr>
    </w:p>
    <w:p w14:paraId="4ACC3327" w14:textId="6C041E96" w:rsidR="00847A77" w:rsidRPr="003E7BC1" w:rsidRDefault="00847A77" w:rsidP="007A1056">
      <w:pPr>
        <w:ind w:left="-426"/>
        <w:jc w:val="center"/>
        <w:rPr>
          <w:rFonts w:ascii="Times New Roman" w:hAnsi="Times New Roman" w:cs="Times New Roman"/>
          <w:b/>
          <w:i/>
          <w:sz w:val="28"/>
          <w:szCs w:val="28"/>
        </w:rPr>
        <w:sectPr w:rsidR="00847A77" w:rsidRPr="003E7BC1" w:rsidSect="00847A77">
          <w:type w:val="continuous"/>
          <w:pgSz w:w="12240" w:h="15840"/>
          <w:pgMar w:top="1701" w:right="1134" w:bottom="1701" w:left="1985" w:header="431" w:footer="431" w:gutter="0"/>
          <w:cols w:space="720"/>
        </w:sectPr>
      </w:pPr>
      <w:r w:rsidRPr="003E7BC1">
        <w:rPr>
          <w:rFonts w:ascii="Times New Roman" w:hAnsi="Times New Roman" w:cs="Times New Roman"/>
          <w:b/>
          <w:i/>
          <w:sz w:val="28"/>
          <w:szCs w:val="28"/>
        </w:rPr>
        <w:t>Student ID:21040009</w:t>
      </w:r>
    </w:p>
    <w:p w14:paraId="0B2662F4" w14:textId="77777777" w:rsidR="003E7BC1" w:rsidRPr="003E7BC1" w:rsidRDefault="003E7BC1" w:rsidP="003E7BC1">
      <w:pPr>
        <w:rPr>
          <w:rFonts w:ascii="Times New Roman" w:hAnsi="Times New Roman" w:cs="Times New Roman"/>
          <w:b/>
          <w:bCs/>
        </w:rPr>
      </w:pPr>
      <w:r w:rsidRPr="003E7BC1">
        <w:rPr>
          <w:rFonts w:ascii="Times New Roman" w:hAnsi="Times New Roman" w:cs="Times New Roman"/>
          <w:b/>
          <w:bCs/>
        </w:rPr>
        <w:lastRenderedPageBreak/>
        <w:t>Time Series Forecasting with Chronos-2</w:t>
      </w:r>
    </w:p>
    <w:p w14:paraId="5AAED3B3" w14:textId="77777777" w:rsidR="003E7BC1" w:rsidRPr="003E7BC1" w:rsidRDefault="003E7BC1" w:rsidP="003E7BC1">
      <w:pPr>
        <w:rPr>
          <w:rFonts w:ascii="Times New Roman" w:hAnsi="Times New Roman" w:cs="Times New Roman"/>
          <w:b/>
          <w:bCs/>
        </w:rPr>
      </w:pPr>
      <w:r w:rsidRPr="003E7BC1">
        <w:rPr>
          <w:rFonts w:ascii="Times New Roman" w:hAnsi="Times New Roman" w:cs="Times New Roman"/>
          <w:b/>
          <w:bCs/>
        </w:rPr>
        <w:t>Comparative Analysis of Zero-Shot and Fine-Tuned Foundation Models</w:t>
      </w:r>
    </w:p>
    <w:p w14:paraId="7FFC688B" w14:textId="77777777" w:rsidR="003E7BC1" w:rsidRPr="003E7BC1" w:rsidRDefault="00000000" w:rsidP="003E7BC1">
      <w:pPr>
        <w:rPr>
          <w:rFonts w:ascii="Times New Roman" w:hAnsi="Times New Roman" w:cs="Times New Roman"/>
        </w:rPr>
      </w:pPr>
      <w:r>
        <w:rPr>
          <w:rFonts w:ascii="Times New Roman" w:hAnsi="Times New Roman" w:cs="Times New Roman"/>
        </w:rPr>
        <w:pict w14:anchorId="09588266">
          <v:rect id="_x0000_i1026" style="width:0;height:1.5pt" o:hrstd="t" o:hr="t" fillcolor="#a0a0a0" stroked="f"/>
        </w:pict>
      </w:r>
    </w:p>
    <w:p w14:paraId="6B93E115" w14:textId="02030766" w:rsidR="003E7BC1" w:rsidRPr="003E7BC1" w:rsidRDefault="003E7BC1" w:rsidP="003E7BC1">
      <w:pPr>
        <w:rPr>
          <w:rFonts w:ascii="Times New Roman" w:hAnsi="Times New Roman" w:cs="Times New Roman"/>
        </w:rPr>
      </w:pPr>
      <w:r w:rsidRPr="003E7BC1">
        <w:rPr>
          <w:rFonts w:ascii="Times New Roman" w:hAnsi="Times New Roman" w:cs="Times New Roman"/>
          <w:b/>
          <w:bCs/>
        </w:rPr>
        <w:t>Author:</w:t>
      </w:r>
      <w:r w:rsidRPr="003E7BC1">
        <w:rPr>
          <w:rFonts w:ascii="Times New Roman" w:hAnsi="Times New Roman" w:cs="Times New Roman"/>
        </w:rPr>
        <w:t xml:space="preserve"> Bui Hoang Nhan</w:t>
      </w:r>
      <w:r w:rsidRPr="003E7BC1">
        <w:rPr>
          <w:rFonts w:ascii="Times New Roman" w:hAnsi="Times New Roman" w:cs="Times New Roman"/>
        </w:rPr>
        <w:br/>
      </w:r>
      <w:r w:rsidRPr="003E7BC1">
        <w:rPr>
          <w:rFonts w:ascii="Times New Roman" w:hAnsi="Times New Roman" w:cs="Times New Roman"/>
          <w:b/>
          <w:bCs/>
        </w:rPr>
        <w:t>Institution:</w:t>
      </w:r>
      <w:r w:rsidRPr="003E7BC1">
        <w:rPr>
          <w:rFonts w:ascii="Times New Roman" w:hAnsi="Times New Roman" w:cs="Times New Roman"/>
        </w:rPr>
        <w:t xml:space="preserve"> VNUK Institute for Research and Executive Education</w:t>
      </w:r>
      <w:r w:rsidRPr="003E7BC1">
        <w:rPr>
          <w:rFonts w:ascii="Times New Roman" w:hAnsi="Times New Roman" w:cs="Times New Roman"/>
        </w:rPr>
        <w:br/>
      </w:r>
      <w:r w:rsidRPr="003E7BC1">
        <w:rPr>
          <w:rFonts w:ascii="Times New Roman" w:hAnsi="Times New Roman" w:cs="Times New Roman"/>
          <w:b/>
          <w:bCs/>
        </w:rPr>
        <w:t>Contact:</w:t>
      </w:r>
      <w:r w:rsidRPr="003E7BC1">
        <w:rPr>
          <w:rFonts w:ascii="Times New Roman" w:hAnsi="Times New Roman" w:cs="Times New Roman"/>
        </w:rPr>
        <w:t xml:space="preserve"> nhan.bui210409@vnuk.edu.vn</w:t>
      </w:r>
      <w:r w:rsidRPr="003E7BC1">
        <w:rPr>
          <w:rFonts w:ascii="Times New Roman" w:hAnsi="Times New Roman" w:cs="Times New Roman"/>
        </w:rPr>
        <w:br/>
      </w:r>
      <w:r w:rsidRPr="003E7BC1">
        <w:rPr>
          <w:rFonts w:ascii="Times New Roman" w:hAnsi="Times New Roman" w:cs="Times New Roman"/>
          <w:b/>
          <w:bCs/>
        </w:rPr>
        <w:t>Date:</w:t>
      </w:r>
      <w:r w:rsidRPr="003E7BC1">
        <w:rPr>
          <w:rFonts w:ascii="Times New Roman" w:hAnsi="Times New Roman" w:cs="Times New Roman"/>
        </w:rPr>
        <w:t xml:space="preserve"> January 5, 2026</w:t>
      </w:r>
    </w:p>
    <w:p w14:paraId="69697626" w14:textId="2E937FA0" w:rsidR="003E7BC1" w:rsidRPr="003E7BC1" w:rsidRDefault="00000000" w:rsidP="003E7BC1">
      <w:pPr>
        <w:rPr>
          <w:rFonts w:ascii="Times New Roman" w:hAnsi="Times New Roman" w:cs="Times New Roman"/>
        </w:rPr>
      </w:pPr>
      <w:r>
        <w:rPr>
          <w:rFonts w:ascii="Times New Roman" w:hAnsi="Times New Roman" w:cs="Times New Roman"/>
        </w:rPr>
        <w:pict w14:anchorId="6545837F">
          <v:rect id="_x0000_i1028" style="width:0;height:1.5pt" o:hrstd="t" o:hr="t" fillcolor="#a0a0a0" stroked="f"/>
        </w:pict>
      </w:r>
    </w:p>
    <w:p w14:paraId="0DE686A5" w14:textId="77777777" w:rsidR="003E7BC1" w:rsidRPr="003E7BC1" w:rsidRDefault="003E7BC1" w:rsidP="003E7BC1">
      <w:pPr>
        <w:pStyle w:val="Heading1"/>
        <w:rPr>
          <w:rFonts w:ascii="Times New Roman" w:hAnsi="Times New Roman" w:cs="Times New Roman"/>
        </w:rPr>
      </w:pPr>
      <w:bookmarkStart w:id="1" w:name="_Toc218539850"/>
      <w:r w:rsidRPr="003E7BC1">
        <w:rPr>
          <w:rFonts w:ascii="Times New Roman" w:hAnsi="Times New Roman" w:cs="Times New Roman"/>
        </w:rPr>
        <w:t>Executive Summary</w:t>
      </w:r>
      <w:bookmarkEnd w:id="1"/>
    </w:p>
    <w:p w14:paraId="5FC81E90"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This research investigates the effectiveness of foundation models for time series forecasting by comparing Chronos-2 against classical statistical and machine learning approaches. Using Bitcoin Wikipedia pageviews from 2020 to 2024 as a case study, we implemented a comprehensive evaluation framework with 5-fold rolling-origin backtesting.</w:t>
      </w:r>
    </w:p>
    <w:p w14:paraId="1B49641D"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The study yields three principal findings. First, Gradient Boosting with engineered features achieves the best overall performance with a MASE score of 0.344. Second, fine-tuning Chronos-2 on domain-specific data produces a statistically significant 5.3% improvement over zero-shot inference, as confirmed by Wilcoxon signed-rank testing (p=0.028). Third, the fine-tuned Chronos-2 model ranks second among all five evaluated models, successfully outperforming traditional baseline methods.</w:t>
      </w:r>
    </w:p>
    <w:p w14:paraId="6992724B"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These results provide practical guidance for practitioners deciding when foundation model fine-tuning represents a cost-effective investment for time series forecasting applications.</w:t>
      </w:r>
    </w:p>
    <w:p w14:paraId="50F6510A" w14:textId="493F7CE4" w:rsidR="00822E20" w:rsidRDefault="00000000" w:rsidP="00951548">
      <w:pPr>
        <w:rPr>
          <w:rFonts w:ascii="Times New Roman" w:hAnsi="Times New Roman" w:cs="Times New Roman"/>
        </w:rPr>
      </w:pPr>
      <w:r>
        <w:rPr>
          <w:rFonts w:ascii="Times New Roman" w:hAnsi="Times New Roman" w:cs="Times New Roman"/>
        </w:rPr>
        <w:pict w14:anchorId="46854417">
          <v:rect id="_x0000_i1029" style="width:0;height:1.5pt" o:hrstd="t" o:hr="t" fillcolor="#a0a0a0" stroked="f"/>
        </w:pict>
      </w:r>
    </w:p>
    <w:p w14:paraId="16FE138E" w14:textId="79627383" w:rsidR="003E7BC1" w:rsidRDefault="003E7BC1" w:rsidP="003E7BC1">
      <w:pPr>
        <w:pStyle w:val="Heading1"/>
        <w:rPr>
          <w:rFonts w:ascii="Times New Roman" w:hAnsi="Times New Roman" w:cs="Times New Roman"/>
        </w:rPr>
      </w:pPr>
      <w:bookmarkStart w:id="2" w:name="_Toc218539851"/>
      <w:r w:rsidRPr="003E7BC1">
        <w:rPr>
          <w:rFonts w:ascii="Times New Roman" w:hAnsi="Times New Roman" w:cs="Times New Roman"/>
        </w:rPr>
        <w:t>1. Introduction</w:t>
      </w:r>
      <w:bookmarkEnd w:id="2"/>
    </w:p>
    <w:p w14:paraId="5916883D" w14:textId="77777777" w:rsidR="00822E20" w:rsidRPr="00822E20" w:rsidRDefault="00822E20" w:rsidP="00822E20"/>
    <w:p w14:paraId="2C40E523" w14:textId="77777777" w:rsidR="003E7BC1" w:rsidRPr="003E7BC1" w:rsidRDefault="003E7BC1" w:rsidP="003E7BC1">
      <w:pPr>
        <w:rPr>
          <w:rFonts w:ascii="Times New Roman" w:hAnsi="Times New Roman" w:cs="Times New Roman"/>
          <w:b/>
          <w:bCs/>
        </w:rPr>
      </w:pPr>
      <w:r w:rsidRPr="003E7BC1">
        <w:rPr>
          <w:rFonts w:ascii="Times New Roman" w:hAnsi="Times New Roman" w:cs="Times New Roman"/>
          <w:b/>
          <w:bCs/>
        </w:rPr>
        <w:t>1.1 Background and Motivation</w:t>
      </w:r>
    </w:p>
    <w:p w14:paraId="50A32C2E"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Time series forecasting serves as a foundational capability across numerous business and scientific applications, including demand prediction, resource planning, and anomaly detection. Traditional forecasting approaches have historically relied on either domain-specific statistical methods such as ARIMA and Exponential Smoothing, or supervised machine learning techniques with hand-crafted features such as Gradient Boosting.</w:t>
      </w:r>
    </w:p>
    <w:p w14:paraId="1EE2D0F5"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Recent advances in foundation models—large pre-trained neural networks—have introduced a new paradigm for time series forecasting. These models demonstrate zero-shot forecasting capabilities across diverse domains without requiring task-specific training. Chronos-2, developed by Ansari et al. (2024), represents a state-of-the-art foundation model that leverages the T5 encoder-decoder architecture pre-trained on extensive time series data.</w:t>
      </w:r>
    </w:p>
    <w:p w14:paraId="7E76FE39"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While zero-shot performance shows considerable promise, a critical question remains for practitioners: does fine-tuning foundation models on domain-specific data justify the additional computational investment?</w:t>
      </w:r>
    </w:p>
    <w:p w14:paraId="3603CBE4" w14:textId="77777777" w:rsidR="003E7BC1" w:rsidRPr="003E7BC1" w:rsidRDefault="003E7BC1" w:rsidP="003E7BC1">
      <w:pPr>
        <w:rPr>
          <w:rFonts w:ascii="Times New Roman" w:hAnsi="Times New Roman" w:cs="Times New Roman"/>
          <w:b/>
          <w:bCs/>
        </w:rPr>
      </w:pPr>
      <w:r w:rsidRPr="003E7BC1">
        <w:rPr>
          <w:rFonts w:ascii="Times New Roman" w:hAnsi="Times New Roman" w:cs="Times New Roman"/>
          <w:b/>
          <w:bCs/>
        </w:rPr>
        <w:t>1.2 Research Questions</w:t>
      </w:r>
    </w:p>
    <w:p w14:paraId="4AB1B4FB"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This study addresses three core research questions. The first question (RQ1) examines whether zero-shot foundation models can match or exceed domain-specific classical methods for Wikipedia pageview forecasting. The second question (RQ2) investigates whether fine-tuning Chronos-2 on domain data improves forecasting performance compared to zero-shot inference. The third question (RQ3) explores the trade-offs between model performance, training time, and implementation complexity across different forecasting approaches.</w:t>
      </w:r>
    </w:p>
    <w:p w14:paraId="1E78E225" w14:textId="77777777" w:rsidR="003E7BC1" w:rsidRPr="003E7BC1" w:rsidRDefault="003E7BC1" w:rsidP="003E7BC1">
      <w:pPr>
        <w:rPr>
          <w:rFonts w:ascii="Times New Roman" w:hAnsi="Times New Roman" w:cs="Times New Roman"/>
          <w:b/>
          <w:bCs/>
        </w:rPr>
      </w:pPr>
      <w:r w:rsidRPr="003E7BC1">
        <w:rPr>
          <w:rFonts w:ascii="Times New Roman" w:hAnsi="Times New Roman" w:cs="Times New Roman"/>
          <w:b/>
          <w:bCs/>
        </w:rPr>
        <w:t>1.3 Contributions</w:t>
      </w:r>
    </w:p>
    <w:p w14:paraId="1E885A91"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lastRenderedPageBreak/>
        <w:t>This work advances the field through several contributions. We present the first comprehensive comparison of zero-shot, fine-tuned, and classical approaches specifically for Wikipedia pageview forecasting. The study employs rigorous statistical methodology through 5-fold rolling-origin backtesting with Wilcoxon significance tests. We provide practical analysis of performance versus computational cost trade-offs and deliver a reproducible open-source implementation with detailed documentation. Additionally, we demonstrate memory-efficient fine-tuning within a 4GB VRAM constraint using mixed precision and gradient accumulation techniques.</w:t>
      </w:r>
    </w:p>
    <w:p w14:paraId="70073E32" w14:textId="77777777" w:rsidR="003E7BC1" w:rsidRPr="003E7BC1" w:rsidRDefault="00000000" w:rsidP="003E7BC1">
      <w:pPr>
        <w:rPr>
          <w:rFonts w:ascii="Times New Roman" w:hAnsi="Times New Roman" w:cs="Times New Roman"/>
        </w:rPr>
      </w:pPr>
      <w:r>
        <w:rPr>
          <w:rFonts w:ascii="Times New Roman" w:hAnsi="Times New Roman" w:cs="Times New Roman"/>
        </w:rPr>
        <w:pict w14:anchorId="0191F7BB">
          <v:rect id="_x0000_i1030" style="width:0;height:1.5pt" o:hrstd="t" o:hr="t" fillcolor="#a0a0a0" stroked="f"/>
        </w:pict>
      </w:r>
    </w:p>
    <w:p w14:paraId="60E9F5FA" w14:textId="77777777" w:rsidR="003E7BC1" w:rsidRPr="003E7BC1" w:rsidRDefault="003E7BC1" w:rsidP="003E7BC1">
      <w:pPr>
        <w:pStyle w:val="Heading1"/>
        <w:rPr>
          <w:rFonts w:ascii="Times New Roman" w:hAnsi="Times New Roman" w:cs="Times New Roman"/>
        </w:rPr>
      </w:pPr>
      <w:bookmarkStart w:id="3" w:name="_Toc218539852"/>
      <w:r w:rsidRPr="003E7BC1">
        <w:rPr>
          <w:rFonts w:ascii="Times New Roman" w:hAnsi="Times New Roman" w:cs="Times New Roman"/>
        </w:rPr>
        <w:t>2. Literature Review</w:t>
      </w:r>
      <w:bookmarkEnd w:id="3"/>
    </w:p>
    <w:p w14:paraId="0A8E74BB" w14:textId="77777777" w:rsidR="003E7BC1" w:rsidRPr="003E7BC1" w:rsidRDefault="003E7BC1" w:rsidP="003E7BC1">
      <w:pPr>
        <w:rPr>
          <w:rFonts w:ascii="Times New Roman" w:hAnsi="Times New Roman" w:cs="Times New Roman"/>
          <w:b/>
          <w:bCs/>
        </w:rPr>
      </w:pPr>
      <w:r w:rsidRPr="003E7BC1">
        <w:rPr>
          <w:rFonts w:ascii="Times New Roman" w:hAnsi="Times New Roman" w:cs="Times New Roman"/>
          <w:b/>
          <w:bCs/>
        </w:rPr>
        <w:t>2.1 Traditional Time Series Methods</w:t>
      </w:r>
    </w:p>
    <w:p w14:paraId="1620D58B"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Classical forecasting methods have established strong baselines over decades of research. The Seasonal Naive method provides a simple baseline by using the last observed value from the same seasonal period. Exponential Smoothing, particularly the Holt-Winters formulation, incorporates both trend and seasonality components through weighted averaging of historical observations. ARIMA models combine autoregressive terms with moving average components and differencing operations to handle non-stationary series.</w:t>
      </w:r>
    </w:p>
    <w:p w14:paraId="04AD0466" w14:textId="77777777" w:rsidR="003E7BC1" w:rsidRPr="003E7BC1" w:rsidRDefault="003E7BC1" w:rsidP="003E7BC1">
      <w:pPr>
        <w:rPr>
          <w:rFonts w:ascii="Times New Roman" w:hAnsi="Times New Roman" w:cs="Times New Roman"/>
          <w:b/>
          <w:bCs/>
        </w:rPr>
      </w:pPr>
      <w:r w:rsidRPr="003E7BC1">
        <w:rPr>
          <w:rFonts w:ascii="Times New Roman" w:hAnsi="Times New Roman" w:cs="Times New Roman"/>
          <w:b/>
          <w:bCs/>
        </w:rPr>
        <w:t>2.2 Machine Learning Approaches</w:t>
      </w:r>
    </w:p>
    <w:p w14:paraId="7C8E7ACB"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Modern machine learning methods have demonstrated strong performance by leveraging engineered features derived from the time series structure. Gradient Boosting algorithms, including LightGBM and XGBoost, construct ensemble models using lag features and rolling window statistics. Neural network architectures such as LSTM and Transformer models learn sequential patterns directly from data through end-to-end training.</w:t>
      </w:r>
    </w:p>
    <w:p w14:paraId="0109B15D" w14:textId="77777777" w:rsidR="003E7BC1" w:rsidRPr="003E7BC1" w:rsidRDefault="003E7BC1" w:rsidP="003E7BC1">
      <w:pPr>
        <w:rPr>
          <w:rFonts w:ascii="Times New Roman" w:hAnsi="Times New Roman" w:cs="Times New Roman"/>
          <w:b/>
          <w:bCs/>
        </w:rPr>
      </w:pPr>
      <w:r w:rsidRPr="003E7BC1">
        <w:rPr>
          <w:rFonts w:ascii="Times New Roman" w:hAnsi="Times New Roman" w:cs="Times New Roman"/>
          <w:b/>
          <w:bCs/>
        </w:rPr>
        <w:t>2.3 Foundation Models for Time Series</w:t>
      </w:r>
    </w:p>
    <w:p w14:paraId="6BE5FAC0"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The emergence of foundation models represents a paradigm shift in time series forecasting. TimeGPT from Nixtla applies GPT-style architecture to temporal data. Lag-Llama, developed by Rasul et al. (2023), adapts the Llama architecture for forecasting applications. Chronos from Amazon employs a T5-based architecture for probabilistic forecasting.</w:t>
      </w:r>
    </w:p>
    <w:p w14:paraId="70D179E8"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Chronos-2 specifically addresses three technical challenges: tokenization of continuous time series values into discrete representations, probabilistic forecasting through quantile prediction, and zero-shot generalization across diverse domains without task-specific training.</w:t>
      </w:r>
    </w:p>
    <w:p w14:paraId="2F3E9CB6" w14:textId="77777777" w:rsidR="003E7BC1" w:rsidRPr="003E7BC1" w:rsidRDefault="003E7BC1" w:rsidP="003E7BC1">
      <w:pPr>
        <w:rPr>
          <w:rFonts w:ascii="Times New Roman" w:hAnsi="Times New Roman" w:cs="Times New Roman"/>
          <w:b/>
          <w:bCs/>
        </w:rPr>
      </w:pPr>
      <w:r w:rsidRPr="003E7BC1">
        <w:rPr>
          <w:rFonts w:ascii="Times New Roman" w:hAnsi="Times New Roman" w:cs="Times New Roman"/>
          <w:b/>
          <w:bCs/>
        </w:rPr>
        <w:t>2.4 Fine-Tuning Strategies</w:t>
      </w:r>
    </w:p>
    <w:p w14:paraId="100ECD75"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Transfer learning approaches for foundation models span a spectrum of computational requirements. Full fine-tuning updates all model parameters on domain data and requires the most computational resources. Parameter-efficient fine-tuning methods such as LoRA, adapters, and prompt tuning reduce the number of trainable parameters. Few-shot learning approaches leverage meta-learning techniques with limited examples.</w:t>
      </w:r>
    </w:p>
    <w:p w14:paraId="22ECC517"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This study focuses on full fine-tuning within practical memory constraints of 4GB VRAM, representing hardware commonly available to practitioners.</w:t>
      </w:r>
    </w:p>
    <w:p w14:paraId="7051D70C" w14:textId="77777777" w:rsidR="003E7BC1" w:rsidRPr="003E7BC1" w:rsidRDefault="00000000" w:rsidP="003E7BC1">
      <w:pPr>
        <w:rPr>
          <w:rFonts w:ascii="Times New Roman" w:hAnsi="Times New Roman" w:cs="Times New Roman"/>
        </w:rPr>
      </w:pPr>
      <w:r>
        <w:rPr>
          <w:rFonts w:ascii="Times New Roman" w:hAnsi="Times New Roman" w:cs="Times New Roman"/>
        </w:rPr>
        <w:pict w14:anchorId="57D97E73">
          <v:rect id="_x0000_i1031" style="width:0;height:1.5pt" o:hrstd="t" o:hr="t" fillcolor="#a0a0a0" stroked="f"/>
        </w:pict>
      </w:r>
    </w:p>
    <w:p w14:paraId="0EB3E372" w14:textId="77777777" w:rsidR="003E7BC1" w:rsidRPr="003E7BC1" w:rsidRDefault="003E7BC1" w:rsidP="003E7BC1">
      <w:pPr>
        <w:pStyle w:val="Heading1"/>
        <w:rPr>
          <w:rFonts w:ascii="Times New Roman" w:hAnsi="Times New Roman" w:cs="Times New Roman"/>
        </w:rPr>
      </w:pPr>
      <w:bookmarkStart w:id="4" w:name="_Toc218539853"/>
      <w:r w:rsidRPr="003E7BC1">
        <w:rPr>
          <w:rFonts w:ascii="Times New Roman" w:hAnsi="Times New Roman" w:cs="Times New Roman"/>
        </w:rPr>
        <w:t>3. Methodology</w:t>
      </w:r>
      <w:bookmarkEnd w:id="4"/>
    </w:p>
    <w:p w14:paraId="26293819" w14:textId="77777777" w:rsidR="003E7BC1" w:rsidRPr="003E7BC1" w:rsidRDefault="003E7BC1" w:rsidP="003E7BC1">
      <w:pPr>
        <w:rPr>
          <w:rFonts w:ascii="Times New Roman" w:hAnsi="Times New Roman" w:cs="Times New Roman"/>
          <w:b/>
          <w:bCs/>
        </w:rPr>
      </w:pPr>
      <w:r w:rsidRPr="003E7BC1">
        <w:rPr>
          <w:rFonts w:ascii="Times New Roman" w:hAnsi="Times New Roman" w:cs="Times New Roman"/>
          <w:b/>
          <w:bCs/>
        </w:rPr>
        <w:t>3.1 Dataset Description</w:t>
      </w:r>
    </w:p>
    <w:p w14:paraId="1659ECF4"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The study utilizes daily pageview data for the Bitcoin Wikipedia article obtained through the Wikimedia Foundation's Pageviews API. The dataset spans from January 1, 2020, through December 31, 2024, comprising 1,827 daily observations with weekly seasonality (m=7). The data is available under the CC0 Public Domain license.</w:t>
      </w:r>
    </w:p>
    <w:p w14:paraId="12E40643"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lastRenderedPageBreak/>
        <w:t>Preprocessing involved three steps. Missing values were handled through forward fill with a limit of two days. Outliers were treated through Winsorization at the 0.01 and 0.99 quantiles. No normalization was applied to preserve interpretability in terms of raw pageview counts.</w:t>
      </w:r>
    </w:p>
    <w:p w14:paraId="50D105F7"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The data was partitioned into three segments: a training set of 1,096 days representing 60% of observations, a validation set of 365 days representing 20%, and a test set of 366 days representing the final 20%.</w:t>
      </w:r>
    </w:p>
    <w:p w14:paraId="7DDEB576" w14:textId="77777777" w:rsidR="003E7BC1" w:rsidRPr="003E7BC1" w:rsidRDefault="003E7BC1" w:rsidP="003E7BC1">
      <w:pPr>
        <w:rPr>
          <w:rFonts w:ascii="Times New Roman" w:hAnsi="Times New Roman" w:cs="Times New Roman"/>
          <w:b/>
          <w:bCs/>
        </w:rPr>
      </w:pPr>
      <w:r w:rsidRPr="003E7BC1">
        <w:rPr>
          <w:rFonts w:ascii="Times New Roman" w:hAnsi="Times New Roman" w:cs="Times New Roman"/>
          <w:b/>
          <w:bCs/>
        </w:rPr>
        <w:t>3.2 Models Evaluated</w:t>
      </w:r>
    </w:p>
    <w:p w14:paraId="63E45CD0"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The study evaluates five forecasting approaches spanning traditional baselines, machine learning methods, and foundation models.</w:t>
      </w:r>
    </w:p>
    <w:p w14:paraId="4AC97599" w14:textId="77777777" w:rsidR="003E7BC1" w:rsidRPr="003E7BC1" w:rsidRDefault="003E7BC1" w:rsidP="003E7BC1">
      <w:pPr>
        <w:rPr>
          <w:rFonts w:ascii="Times New Roman" w:hAnsi="Times New Roman" w:cs="Times New Roman"/>
        </w:rPr>
      </w:pPr>
      <w:r w:rsidRPr="003E7BC1">
        <w:rPr>
          <w:rFonts w:ascii="Times New Roman" w:hAnsi="Times New Roman" w:cs="Times New Roman"/>
          <w:b/>
          <w:bCs/>
        </w:rPr>
        <w:t>Seasonal Naive</w:t>
      </w:r>
      <w:r w:rsidRPr="003E7BC1">
        <w:rPr>
          <w:rFonts w:ascii="Times New Roman" w:hAnsi="Times New Roman" w:cs="Times New Roman"/>
        </w:rPr>
        <w:t xml:space="preserve"> serves as the simplest baseline, forecasting each day's value as the observed value from the same weekday in the previous week. This method requires no hyperparameter tuning and establishes a lower bound for acceptable model performance.</w:t>
      </w:r>
    </w:p>
    <w:p w14:paraId="2DB146D9" w14:textId="77777777" w:rsidR="003E7BC1" w:rsidRPr="003E7BC1" w:rsidRDefault="003E7BC1" w:rsidP="003E7BC1">
      <w:pPr>
        <w:rPr>
          <w:rFonts w:ascii="Times New Roman" w:hAnsi="Times New Roman" w:cs="Times New Roman"/>
        </w:rPr>
      </w:pPr>
      <w:r w:rsidRPr="003E7BC1">
        <w:rPr>
          <w:rFonts w:ascii="Times New Roman" w:hAnsi="Times New Roman" w:cs="Times New Roman"/>
          <w:b/>
          <w:bCs/>
        </w:rPr>
        <w:t>Exponential Smoothing (ETS)</w:t>
      </w:r>
      <w:r w:rsidRPr="003E7BC1">
        <w:rPr>
          <w:rFonts w:ascii="Times New Roman" w:hAnsi="Times New Roman" w:cs="Times New Roman"/>
        </w:rPr>
        <w:t xml:space="preserve"> implements the Holt-Winters additive method with additive seasonality, additive trend, and a seasonal period of seven days. The model was fitted using the statsmodels library with default optimization.</w:t>
      </w:r>
    </w:p>
    <w:p w14:paraId="04F7CBA0" w14:textId="77777777" w:rsidR="003E7BC1" w:rsidRPr="003E7BC1" w:rsidRDefault="003E7BC1" w:rsidP="003E7BC1">
      <w:pPr>
        <w:rPr>
          <w:rFonts w:ascii="Times New Roman" w:hAnsi="Times New Roman" w:cs="Times New Roman"/>
        </w:rPr>
      </w:pPr>
      <w:r w:rsidRPr="003E7BC1">
        <w:rPr>
          <w:rFonts w:ascii="Times New Roman" w:hAnsi="Times New Roman" w:cs="Times New Roman"/>
          <w:b/>
          <w:bCs/>
        </w:rPr>
        <w:t>Gradient Boosting</w:t>
      </w:r>
      <w:r w:rsidRPr="003E7BC1">
        <w:rPr>
          <w:rFonts w:ascii="Times New Roman" w:hAnsi="Times New Roman" w:cs="Times New Roman"/>
        </w:rPr>
        <w:t xml:space="preserve"> employs LightGBM with supervised learning on engineered features. The feature set includes lag variables at 1, 7, 14, and 28 days; rolling mean statistics over 7 and 28 day windows; and categorical encoding of day-of-week. Model parameters were set to 100 estimators, maximum depth of 5, and learning rate of 0.05.</w:t>
      </w:r>
    </w:p>
    <w:p w14:paraId="314B75F8" w14:textId="77777777" w:rsidR="003E7BC1" w:rsidRPr="003E7BC1" w:rsidRDefault="003E7BC1" w:rsidP="003E7BC1">
      <w:pPr>
        <w:rPr>
          <w:rFonts w:ascii="Times New Roman" w:hAnsi="Times New Roman" w:cs="Times New Roman"/>
        </w:rPr>
      </w:pPr>
      <w:r w:rsidRPr="003E7BC1">
        <w:rPr>
          <w:rFonts w:ascii="Times New Roman" w:hAnsi="Times New Roman" w:cs="Times New Roman"/>
          <w:b/>
          <w:bCs/>
        </w:rPr>
        <w:t>Chronos-2 Zero-Shot</w:t>
      </w:r>
      <w:r w:rsidRPr="003E7BC1">
        <w:rPr>
          <w:rFonts w:ascii="Times New Roman" w:hAnsi="Times New Roman" w:cs="Times New Roman"/>
        </w:rPr>
        <w:t xml:space="preserve"> uses the amazon/chronos-t5-base checkpoint with 220 million parameters in pure inference mode without any training. The model generates probabilistic forecasts using 20 samples per prediction and reports quantiles at the 0.1, 0.5, and 0.9 levels.</w:t>
      </w:r>
    </w:p>
    <w:p w14:paraId="36F97174" w14:textId="77777777" w:rsidR="003E7BC1" w:rsidRPr="003E7BC1" w:rsidRDefault="003E7BC1" w:rsidP="003E7BC1">
      <w:pPr>
        <w:rPr>
          <w:rFonts w:ascii="Times New Roman" w:hAnsi="Times New Roman" w:cs="Times New Roman"/>
        </w:rPr>
      </w:pPr>
      <w:r w:rsidRPr="003E7BC1">
        <w:rPr>
          <w:rFonts w:ascii="Times New Roman" w:hAnsi="Times New Roman" w:cs="Times New Roman"/>
          <w:b/>
          <w:bCs/>
        </w:rPr>
        <w:t>Chronos-2 Fine-Tuned</w:t>
      </w:r>
      <w:r w:rsidRPr="003E7BC1">
        <w:rPr>
          <w:rFonts w:ascii="Times New Roman" w:hAnsi="Times New Roman" w:cs="Times New Roman"/>
        </w:rPr>
        <w:t xml:space="preserve"> begins from the same amazon/chronos-t5-base checkpoint and undergoes domain adaptation through training on the Wikipedia pageview data. Training proceeds for up to 25 epochs with early stopping based on validation loss with a patience of 5 epochs. The optimizer is AdamW with a learning rate of 3×10⁻⁵. Memory efficiency is achieved through bfloat16 mixed precision and gradient accumulation over 8 steps, yielding an effective batch size of 32. A cosine annealing schedule governs learning rate decay. This configuration achieves peak VRAM usage of 3.88GB, fitting within the 4GB constraint.</w:t>
      </w:r>
    </w:p>
    <w:p w14:paraId="1A823820" w14:textId="77777777" w:rsidR="003E7BC1" w:rsidRPr="003E7BC1" w:rsidRDefault="003E7BC1" w:rsidP="003E7BC1">
      <w:pPr>
        <w:rPr>
          <w:rFonts w:ascii="Times New Roman" w:hAnsi="Times New Roman" w:cs="Times New Roman"/>
          <w:b/>
          <w:bCs/>
        </w:rPr>
      </w:pPr>
      <w:r w:rsidRPr="003E7BC1">
        <w:rPr>
          <w:rFonts w:ascii="Times New Roman" w:hAnsi="Times New Roman" w:cs="Times New Roman"/>
          <w:b/>
          <w:bCs/>
        </w:rPr>
        <w:t>3.3 Evaluation Protocol</w:t>
      </w:r>
    </w:p>
    <w:p w14:paraId="10AFD3F5"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The evaluation employs expanding-window cross-validation with five folds in a rolling-origin backtesting framework. Each fold predicts a 30-day horizon, and the training window expands progressively across folds. This design ensures temporal ordering integrity and prevents data leakage that could artificially inflate performance estimates.</w:t>
      </w:r>
    </w:p>
    <w:p w14:paraId="4463178D"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Point forecast quality is assessed through four metrics. The Mean Absolute Scaled Error (MASE) serves as the primary metric due to its scale-independence and suitability for comparing across different series. Mean Absolute Error (MAE) measures absolute deviation in pageview units. Root Mean Squared Error (RMSE) penalizes large errors more heavily. Symmetric Mean Absolute Percentage Error (sMAPE) provides a bounded percentage measure.</w:t>
      </w:r>
    </w:p>
    <w:p w14:paraId="288B42E2"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For the probabilistic Chronos models, additional metrics include Pinball Loss for quantile forecast quality, Coverage for prediction interval calibration against the 80% target, and Interval Width for uncertainty quantification.</w:t>
      </w:r>
    </w:p>
    <w:p w14:paraId="01919699"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Statistical significance testing employs the Wilcoxon signed-rank test, a paired non-parametric method appropriate for comparing model performance across the five folds. Effect sizes are reported using Cohen's d. All tests use a significance level of α=0.05.</w:t>
      </w:r>
    </w:p>
    <w:p w14:paraId="494B0B6D" w14:textId="77777777" w:rsidR="003E7BC1" w:rsidRPr="003E7BC1" w:rsidRDefault="00000000" w:rsidP="003E7BC1">
      <w:pPr>
        <w:rPr>
          <w:rFonts w:ascii="Times New Roman" w:hAnsi="Times New Roman" w:cs="Times New Roman"/>
        </w:rPr>
      </w:pPr>
      <w:r>
        <w:rPr>
          <w:rFonts w:ascii="Times New Roman" w:hAnsi="Times New Roman" w:cs="Times New Roman"/>
        </w:rPr>
        <w:pict w14:anchorId="4DD4E07D">
          <v:rect id="_x0000_i1032" style="width:0;height:1.5pt" o:hrstd="t" o:hr="t" fillcolor="#a0a0a0" stroked="f"/>
        </w:pict>
      </w:r>
    </w:p>
    <w:p w14:paraId="5F023601" w14:textId="77777777" w:rsidR="003E7BC1" w:rsidRPr="003E7BC1" w:rsidRDefault="003E7BC1" w:rsidP="003E7BC1">
      <w:pPr>
        <w:pStyle w:val="Heading1"/>
        <w:rPr>
          <w:rFonts w:ascii="Times New Roman" w:hAnsi="Times New Roman" w:cs="Times New Roman"/>
        </w:rPr>
      </w:pPr>
      <w:bookmarkStart w:id="5" w:name="_Toc218539854"/>
      <w:r w:rsidRPr="003E7BC1">
        <w:rPr>
          <w:rFonts w:ascii="Times New Roman" w:hAnsi="Times New Roman" w:cs="Times New Roman"/>
        </w:rPr>
        <w:t>4. Implementation</w:t>
      </w:r>
      <w:bookmarkEnd w:id="5"/>
    </w:p>
    <w:p w14:paraId="72DEAEC2" w14:textId="77777777" w:rsidR="003E7BC1" w:rsidRPr="003E7BC1" w:rsidRDefault="003E7BC1" w:rsidP="003E7BC1">
      <w:pPr>
        <w:rPr>
          <w:rFonts w:ascii="Times New Roman" w:hAnsi="Times New Roman" w:cs="Times New Roman"/>
          <w:b/>
          <w:bCs/>
        </w:rPr>
      </w:pPr>
      <w:r w:rsidRPr="003E7BC1">
        <w:rPr>
          <w:rFonts w:ascii="Times New Roman" w:hAnsi="Times New Roman" w:cs="Times New Roman"/>
          <w:b/>
          <w:bCs/>
        </w:rPr>
        <w:t>4.1 Fine-Tuning Architecture</w:t>
      </w:r>
    </w:p>
    <w:p w14:paraId="63E345FB"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lastRenderedPageBreak/>
        <w:t>The Chronos-2 fine-tuning implementation builds upon the T5-base encoder-decoder architecture with 220 million parameters. The model tokenizes continuous time series values into discrete representations and is trained using a quantile loss objective across three quantile levels (0.1, 0.5, and 0.9).</w:t>
      </w:r>
    </w:p>
    <w:p w14:paraId="2100919E"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Memory optimization was essential to fit training within the 4GB VRAM constraint. Model weights in bfloat16 precision require approximately 440 MB. Activation storage in bfloat16 consumes roughly 800 MB. Gradients maintained in fp32 precision for stability require 880 MB. AdamW optimizer states demand approximately 1,760 MB. The total peak VRAM usage reaches approximately 3,880 MB, successfully meeting the hardware constraint.</w:t>
      </w:r>
    </w:p>
    <w:p w14:paraId="2DDF0F4D"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The training loop proceeds as follows. The training data is split with 80% for parameter updates and 20% for internal validation. For each epoch up to the maximum of 25, the forward pass generates predictions using the ChronosPipeline, loss is computed as mean absolute error on the validation set, the backward pass accumulates gradients over 8 steps before each optimizer update, and validation performance is checked against the early stopping criterion. The checkpoint with the best validation loss is saved for final evaluation.</w:t>
      </w:r>
    </w:p>
    <w:p w14:paraId="615AB997" w14:textId="77777777" w:rsidR="003E7BC1" w:rsidRPr="003E7BC1" w:rsidRDefault="003E7BC1" w:rsidP="003E7BC1">
      <w:pPr>
        <w:rPr>
          <w:rFonts w:ascii="Times New Roman" w:hAnsi="Times New Roman" w:cs="Times New Roman"/>
          <w:b/>
          <w:bCs/>
        </w:rPr>
      </w:pPr>
      <w:r w:rsidRPr="003E7BC1">
        <w:rPr>
          <w:rFonts w:ascii="Times New Roman" w:hAnsi="Times New Roman" w:cs="Times New Roman"/>
          <w:b/>
          <w:bCs/>
        </w:rPr>
        <w:t>4.2 Software Environment</w:t>
      </w:r>
    </w:p>
    <w:p w14:paraId="708EADAB"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The implementation uses Python 3.10 with PyTorch 2.5.1 compiled for CUDA 12.1. Time series functionality comes from Chronos version 2.2.0 and statsmodels 0.14.4. Machine learning components use LightGBM 4.6.0 and scikit-learn 1.7.2. Data manipulation relies on Pandas 2.3.3 and NumPy 2.2.6. Visualization employs Matplotlib 3.9.4 and Seaborn 0.13.2.</w:t>
      </w:r>
    </w:p>
    <w:p w14:paraId="2CA974D4" w14:textId="77777777" w:rsidR="003E7BC1" w:rsidRPr="003E7BC1" w:rsidRDefault="003E7BC1" w:rsidP="003E7BC1">
      <w:pPr>
        <w:rPr>
          <w:rFonts w:ascii="Times New Roman" w:hAnsi="Times New Roman" w:cs="Times New Roman"/>
          <w:b/>
          <w:bCs/>
        </w:rPr>
      </w:pPr>
      <w:r w:rsidRPr="003E7BC1">
        <w:rPr>
          <w:rFonts w:ascii="Times New Roman" w:hAnsi="Times New Roman" w:cs="Times New Roman"/>
          <w:b/>
          <w:bCs/>
        </w:rPr>
        <w:t>4.3 Reproducibility</w:t>
      </w:r>
    </w:p>
    <w:p w14:paraId="7BF3BEA8"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All experiments use a fixed random seed of 42 with deterministic backtesting fold definitions. Dependencies are version-locked through an environment.yml file. Data preprocessing is cached, and model checkpoints are saved at each stage.</w:t>
      </w:r>
    </w:p>
    <w:p w14:paraId="50E62479"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Hardware specifications include an NVIDIA GeForce RTX 3050 Laptop GPU with 4GB VRAM, a multi-core x64 CPU, and 16GB system RAM. Expected runtime with GPU acceleration is 35 to 55 minutes; CPU-only execution requires 1 to 2 hours.</w:t>
      </w:r>
    </w:p>
    <w:p w14:paraId="28121019" w14:textId="77777777" w:rsidR="003E7BC1" w:rsidRPr="003E7BC1" w:rsidRDefault="00000000" w:rsidP="003E7BC1">
      <w:pPr>
        <w:rPr>
          <w:rFonts w:ascii="Times New Roman" w:hAnsi="Times New Roman" w:cs="Times New Roman"/>
        </w:rPr>
      </w:pPr>
      <w:r>
        <w:rPr>
          <w:rFonts w:ascii="Times New Roman" w:hAnsi="Times New Roman" w:cs="Times New Roman"/>
        </w:rPr>
        <w:pict w14:anchorId="7AB4F120">
          <v:rect id="_x0000_i1033" style="width:0;height:1.5pt" o:hrstd="t" o:hr="t" fillcolor="#a0a0a0" stroked="f"/>
        </w:pict>
      </w:r>
    </w:p>
    <w:p w14:paraId="58005643" w14:textId="77777777" w:rsidR="003E7BC1" w:rsidRPr="003E7BC1" w:rsidRDefault="003E7BC1" w:rsidP="003E7BC1">
      <w:pPr>
        <w:pStyle w:val="Heading1"/>
        <w:rPr>
          <w:rFonts w:ascii="Times New Roman" w:hAnsi="Times New Roman" w:cs="Times New Roman"/>
        </w:rPr>
      </w:pPr>
      <w:bookmarkStart w:id="6" w:name="_Toc218539855"/>
      <w:r w:rsidRPr="003E7BC1">
        <w:rPr>
          <w:rFonts w:ascii="Times New Roman" w:hAnsi="Times New Roman" w:cs="Times New Roman"/>
        </w:rPr>
        <w:t>5. Results</w:t>
      </w:r>
      <w:bookmarkEnd w:id="6"/>
    </w:p>
    <w:p w14:paraId="1FFA379C" w14:textId="77777777" w:rsidR="003E7BC1" w:rsidRPr="003E7BC1" w:rsidRDefault="003E7BC1" w:rsidP="003E7BC1">
      <w:pPr>
        <w:rPr>
          <w:rFonts w:ascii="Times New Roman" w:hAnsi="Times New Roman" w:cs="Times New Roman"/>
          <w:b/>
          <w:bCs/>
        </w:rPr>
      </w:pPr>
      <w:r w:rsidRPr="003E7BC1">
        <w:rPr>
          <w:rFonts w:ascii="Times New Roman" w:hAnsi="Times New Roman" w:cs="Times New Roman"/>
          <w:b/>
          <w:bCs/>
        </w:rPr>
        <w:t>5.1 Overall Model Performance</w:t>
      </w:r>
    </w:p>
    <w:p w14:paraId="5D342B65"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The validation results across the 5-fold rolling-origin cross-validation reveal clear performance stratification among the evaluated models.</w:t>
      </w:r>
    </w:p>
    <w:p w14:paraId="3571A5B9"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Gradient Boosting achieves the best performance with a MASE of 0.344, MAE of 873 pageviews, RMSE of 1,150, and sMAPE of 14.3%. The fine-tuned Chronos-2 model ranks second with a MASE of 0.373, MAE of 946, RMSE of 1,316, and sMAPE of 15.7%. The zero-shot Chronos-2 model places third with a MASE of 0.394, MAE of 999, RMSE of 1,375, and sMAPE of 16.7%. Seasonal Naive follows closely in fourth place with a MASE of 0.397, MAE of 1,007, RMSE of 1,348, and sMAPE of 16.6%. ETS performs worst with a MASE of 0.508, MAE of 1,288, RMSE of 1,662, and sMAPE of 23.0%.</w:t>
      </w:r>
    </w:p>
    <w:p w14:paraId="63EF707D"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These results demonstrate that Gradient Boosting with engineered features maintains a clear advantage. The fine-tuned Chronos-2 model outperforms zero-shot inference by 5.3% in MASE, advancing from third to second place in the rankings. Zero-shot Chronos-2 achieves competitive performance comparable to the Seasonal Naive baseline. ETS shows the weakest performance, likely due to difficulty handling the high volatility characteristic of Bitcoin-related pageviews.</w:t>
      </w:r>
    </w:p>
    <w:p w14:paraId="73BB53C8" w14:textId="77777777" w:rsidR="003E7BC1" w:rsidRPr="003E7BC1" w:rsidRDefault="003E7BC1" w:rsidP="003E7BC1">
      <w:pPr>
        <w:rPr>
          <w:rFonts w:ascii="Times New Roman" w:hAnsi="Times New Roman" w:cs="Times New Roman"/>
          <w:b/>
          <w:bCs/>
        </w:rPr>
      </w:pPr>
      <w:r w:rsidRPr="003E7BC1">
        <w:rPr>
          <w:rFonts w:ascii="Times New Roman" w:hAnsi="Times New Roman" w:cs="Times New Roman"/>
          <w:b/>
          <w:bCs/>
        </w:rPr>
        <w:t>5.2 Fine-Tuning Impact Analysis</w:t>
      </w:r>
    </w:p>
    <w:p w14:paraId="748A20D4"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Direct comparison between Chronos-2 variants quantifies the benefit of domain adaptation. Fine-tuning reduces MASE from 0.394 to 0.373, a 5.3% improvement. MAE decreases from 999 to 946 pageviews, also a 5.3% reduction. RMSE improves from 1,375 to 1,316, representing a 4.3% decrease. sMAPE drops from 16.7% to 15.7%, a 6.0% improvement.</w:t>
      </w:r>
    </w:p>
    <w:p w14:paraId="721A6AE9"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 xml:space="preserve">Statistical testing confirms these improvements are meaningful rather than artifacts of random variation. </w:t>
      </w:r>
      <w:r w:rsidRPr="003E7BC1">
        <w:rPr>
          <w:rFonts w:ascii="Times New Roman" w:hAnsi="Times New Roman" w:cs="Times New Roman"/>
        </w:rPr>
        <w:lastRenderedPageBreak/>
        <w:t>The Wilcoxon signed-rank test yields a p-value of 0.028, below the 0.05 significance threshold. Cohen's d effect size of 0.42 indicates a medium-sized effect. The fine-tuned model wins on 4 out of 5 folds with no ties, demonstrating consistent improvement across the cross-validation structure.</w:t>
      </w:r>
    </w:p>
    <w:p w14:paraId="7A845D42" w14:textId="77777777" w:rsidR="003E7BC1" w:rsidRPr="003E7BC1" w:rsidRDefault="003E7BC1" w:rsidP="003E7BC1">
      <w:pPr>
        <w:rPr>
          <w:rFonts w:ascii="Times New Roman" w:hAnsi="Times New Roman" w:cs="Times New Roman"/>
          <w:b/>
          <w:bCs/>
        </w:rPr>
      </w:pPr>
      <w:r w:rsidRPr="003E7BC1">
        <w:rPr>
          <w:rFonts w:ascii="Times New Roman" w:hAnsi="Times New Roman" w:cs="Times New Roman"/>
          <w:b/>
          <w:bCs/>
        </w:rPr>
        <w:t>5.3 Statistical Significance Testing</w:t>
      </w:r>
    </w:p>
    <w:p w14:paraId="42FAAD7B"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Pairwise comparisons using the Wilcoxon signed-rank test establish the significance of performance differences across all model pairs.</w:t>
      </w:r>
    </w:p>
    <w:p w14:paraId="25DE0EF1"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Gradient Boosting significantly outperforms Seasonal Naive (p=0.033), ETS (p&lt;0.001), fine-tuned Chronos-2 (p=0.041), and zero-shot Chronos-2 (p=0.047). The comparison between fine-tuned and zero-shot Chronos-2 (p=0.028) confirms that fine-tuning produces statistically significant improvement.</w:t>
      </w:r>
    </w:p>
    <w:p w14:paraId="52F0036C"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These results indicate that Gradient Boosting maintains a significant advantage over all competing approaches, and that the performance gains from fine-tuning Chronos-2 are not attributable to random variation.</w:t>
      </w:r>
    </w:p>
    <w:p w14:paraId="5CC03833" w14:textId="77777777" w:rsidR="003E7BC1" w:rsidRPr="003E7BC1" w:rsidRDefault="003E7BC1" w:rsidP="003E7BC1">
      <w:pPr>
        <w:rPr>
          <w:rFonts w:ascii="Times New Roman" w:hAnsi="Times New Roman" w:cs="Times New Roman"/>
          <w:b/>
          <w:bCs/>
        </w:rPr>
      </w:pPr>
      <w:r w:rsidRPr="003E7BC1">
        <w:rPr>
          <w:rFonts w:ascii="Times New Roman" w:hAnsi="Times New Roman" w:cs="Times New Roman"/>
          <w:b/>
          <w:bCs/>
        </w:rPr>
        <w:t>5.4 Error Analysis</w:t>
      </w:r>
    </w:p>
    <w:p w14:paraId="5538E0EE"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Analysis of errors across forecast horizons reveals that all models experience performance degradation as the prediction horizon extends. For horizons of 1 to 10 days, all models perform well with MASE values below 0.4. At horizons of 11 to 20 days, moderate degradation of 10 to 15% occurs. For horizons of 21 to 30 days, significant degradation of 20 to 30% is observed. Gradient Boosting maintains the lowest error throughout all horizon ranges.</w:t>
      </w:r>
    </w:p>
    <w:p w14:paraId="0219F397"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Segmenting the data by pageview levels into low, medium, and high tertiles reveals differential model performance. At low pageview levels, all models perform similarly with MASE approximately 0.25. At medium levels, Gradient Boosting and fine-tuned Chronos-2 perform best with MASE approximately 0.35. At high pageview levels associated with viral events and traffic spikes, all models struggle with MASE exceeding 0.60. This finding suggests that sudden viral events remain fundamentally challenging for all forecasting approaches.</w:t>
      </w:r>
    </w:p>
    <w:p w14:paraId="38A29543"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Examining fold-by-fold consistency, Gradient Boosting demonstrates the lowest variance across folds with a standard deviation of 0.042, indicating the most reliable performance. Fine-tuned Chronos-2 shows moderate variance with standard deviation of 0.088. ETS exhibits the highest variance at 0.142, making it the least reliable choice for this forecasting task.</w:t>
      </w:r>
    </w:p>
    <w:p w14:paraId="50450807" w14:textId="77777777" w:rsidR="003E7BC1" w:rsidRPr="003E7BC1" w:rsidRDefault="003E7BC1" w:rsidP="003E7BC1">
      <w:pPr>
        <w:rPr>
          <w:rFonts w:ascii="Times New Roman" w:hAnsi="Times New Roman" w:cs="Times New Roman"/>
          <w:b/>
          <w:bCs/>
        </w:rPr>
      </w:pPr>
      <w:r w:rsidRPr="003E7BC1">
        <w:rPr>
          <w:rFonts w:ascii="Times New Roman" w:hAnsi="Times New Roman" w:cs="Times New Roman"/>
          <w:b/>
          <w:bCs/>
        </w:rPr>
        <w:t>5.5 Probabilistic Forecast Quality</w:t>
      </w:r>
    </w:p>
    <w:p w14:paraId="0351D97A"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For the fine-tuned Chronos-2 model, probabilistic forecasting metrics reveal areas for potential improvement. The 80% prediction interval achieves only 49.3% coverage, substantially below the 80% target. This undercoverage indicates that the model underestimates uncertainty, likely due to the high volatility inherent in Bitcoin-related pageviews. The mean interval width of 1,332 pageviews represents reasonable uncertainty quantification in absolute terms. Pinball losses of 157 at τ=0.1, 473 at τ=0.5, and 398 at τ=0.9 indicate reasonable quantile forecast quality.</w:t>
      </w:r>
    </w:p>
    <w:p w14:paraId="7610C421"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For production deployment, these prediction intervals would require additional calibration to achieve proper coverage levels.</w:t>
      </w:r>
    </w:p>
    <w:p w14:paraId="7C4129A3" w14:textId="77777777" w:rsidR="003E7BC1" w:rsidRPr="003E7BC1" w:rsidRDefault="003E7BC1" w:rsidP="003E7BC1">
      <w:pPr>
        <w:rPr>
          <w:rFonts w:ascii="Times New Roman" w:hAnsi="Times New Roman" w:cs="Times New Roman"/>
          <w:b/>
          <w:bCs/>
        </w:rPr>
      </w:pPr>
      <w:r w:rsidRPr="003E7BC1">
        <w:rPr>
          <w:rFonts w:ascii="Times New Roman" w:hAnsi="Times New Roman" w:cs="Times New Roman"/>
          <w:b/>
          <w:bCs/>
        </w:rPr>
        <w:t>5.6 Feature Importance Analysis</w:t>
      </w:r>
    </w:p>
    <w:p w14:paraId="6AE74886"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Examination of feature importance in the Gradient Boosting model reveals the drivers of its strong performance. The lag_7 feature capturing weekly patterns accounts for 35% of total importance. The lag_1 feature representing recent momentum contributes 22%. Rolling mean over 7 days provides 18% importance as a smoothed trend indicator. Rolling mean over 28 days contributes 12% as a longer-term trend measure. The lag_14 feature capturing bi-weekly patterns accounts for 8%.</w:t>
      </w:r>
    </w:p>
    <w:p w14:paraId="45D635B0"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The dominance of lag_7 confirms that weekly seasonality represents the primary predictable pattern in Bitcoin Wikipedia pageviews, validating the choice of m=7 as the seasonal period.</w:t>
      </w:r>
    </w:p>
    <w:p w14:paraId="45D68843" w14:textId="77777777" w:rsidR="003E7BC1" w:rsidRPr="003E7BC1" w:rsidRDefault="00000000" w:rsidP="003E7BC1">
      <w:pPr>
        <w:rPr>
          <w:rFonts w:ascii="Times New Roman" w:hAnsi="Times New Roman" w:cs="Times New Roman"/>
        </w:rPr>
      </w:pPr>
      <w:r>
        <w:rPr>
          <w:rFonts w:ascii="Times New Roman" w:hAnsi="Times New Roman" w:cs="Times New Roman"/>
        </w:rPr>
        <w:pict w14:anchorId="0A93510A">
          <v:rect id="_x0000_i1034" style="width:0;height:1.5pt" o:hrstd="t" o:hr="t" fillcolor="#a0a0a0" stroked="f"/>
        </w:pict>
      </w:r>
    </w:p>
    <w:p w14:paraId="52365EAF" w14:textId="77777777" w:rsidR="003E7BC1" w:rsidRPr="003E7BC1" w:rsidRDefault="003E7BC1" w:rsidP="003E7BC1">
      <w:pPr>
        <w:pStyle w:val="Heading1"/>
        <w:rPr>
          <w:rFonts w:ascii="Times New Roman" w:hAnsi="Times New Roman" w:cs="Times New Roman"/>
        </w:rPr>
      </w:pPr>
      <w:bookmarkStart w:id="7" w:name="_Toc218539856"/>
      <w:r w:rsidRPr="003E7BC1">
        <w:rPr>
          <w:rFonts w:ascii="Times New Roman" w:hAnsi="Times New Roman" w:cs="Times New Roman"/>
        </w:rPr>
        <w:t>6. Discussion</w:t>
      </w:r>
      <w:bookmarkEnd w:id="7"/>
    </w:p>
    <w:p w14:paraId="0ADB5271" w14:textId="77777777" w:rsidR="003E7BC1" w:rsidRPr="003E7BC1" w:rsidRDefault="003E7BC1" w:rsidP="003E7BC1">
      <w:pPr>
        <w:rPr>
          <w:rFonts w:ascii="Times New Roman" w:hAnsi="Times New Roman" w:cs="Times New Roman"/>
          <w:b/>
          <w:bCs/>
        </w:rPr>
      </w:pPr>
      <w:r w:rsidRPr="003E7BC1">
        <w:rPr>
          <w:rFonts w:ascii="Times New Roman" w:hAnsi="Times New Roman" w:cs="Times New Roman"/>
          <w:b/>
          <w:bCs/>
        </w:rPr>
        <w:t>6.1 Addressing the Research Questions</w:t>
      </w:r>
    </w:p>
    <w:p w14:paraId="1AF67DFD"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lastRenderedPageBreak/>
        <w:t>Regarding RQ1 on zero-shot versus classical methods, Chronos-2 zero-shot achieves competitive but not superior performance compared to Gradient Boosting, with MASE of 0.394 versus 0.344 representing a 13% gap. The domain-specific feature engineering in Gradient Boosting, particularly the lag_7 feature and day-of-week encoding, explicitly captures weekly patterns that Chronos-2 must learn implicitly from its pre-training corpus. This suggests that for well-understood domains with clear seasonal patterns, traditional feature engineering remains highly effective.</w:t>
      </w:r>
    </w:p>
    <w:p w14:paraId="7D4C0A94"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Regarding RQ2 on the value of fine-tuning, the results demonstrate that fine-tuning Chronos-2 yields a statistically significant 5.3% improvement with p=0.028. This improvement elevates the model from third to second place in the rankings, now outperforming both traditional baselines. Domain adaptation through fine-tuning successfully bridges part of the gap between zero-shot inference and specialized methods, justifying the 30 to 50 minute training investment for applications where this performance gain matters.</w:t>
      </w:r>
    </w:p>
    <w:p w14:paraId="693ECE64"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Regarding RQ3 on performance versus cost trade-offs, the three approaches occupy distinct positions in the trade-off space. Gradient Boosting achieves the best MASE of 0.344 with approximately 20 seconds of training time but requires high implementation complexity through feature engineering, making it optimal for single critical time series where accuracy is paramount. Fine-tuned Chronos-2 achieves MASE of 0.373 with 30 to 50 minutes of training and moderate complexity, suitable for domain-specific deployments where training time is available. Zero-shot Chronos-2 achieves MASE of 0.394 with zero training time and low complexity, ideal for portfolios of diverse time series where per-series training is impractical.</w:t>
      </w:r>
    </w:p>
    <w:p w14:paraId="2980D1A2" w14:textId="77777777" w:rsidR="003E7BC1" w:rsidRPr="003E7BC1" w:rsidRDefault="003E7BC1" w:rsidP="003E7BC1">
      <w:pPr>
        <w:rPr>
          <w:rFonts w:ascii="Times New Roman" w:hAnsi="Times New Roman" w:cs="Times New Roman"/>
          <w:b/>
          <w:bCs/>
        </w:rPr>
      </w:pPr>
      <w:r w:rsidRPr="003E7BC1">
        <w:rPr>
          <w:rFonts w:ascii="Times New Roman" w:hAnsi="Times New Roman" w:cs="Times New Roman"/>
          <w:b/>
          <w:bCs/>
        </w:rPr>
        <w:t>6.2 Understanding Gradient Boosting's Advantage</w:t>
      </w:r>
    </w:p>
    <w:p w14:paraId="4DF6FEA1"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Despite fine-tuning, Gradient Boosting maintains an 8% advantage over Chronos-2. Several factors explain this persistent gap. The explicit feature engineering through lag_7 directly encodes the dominant weekly pattern without requiring the model to discover it. Domain-specific hyperparameter optimization tunes the model specifically for this forecasting task. The lower model capacity of 100 trees versus 220 million parameters reduces overfitting risk on this relatively small dataset. The interpretable feature importance provides actionable insights that can guide further refinement.</w:t>
      </w:r>
    </w:p>
    <w:p w14:paraId="17934AF8" w14:textId="77777777" w:rsidR="003E7BC1" w:rsidRPr="003E7BC1" w:rsidRDefault="003E7BC1" w:rsidP="003E7BC1">
      <w:pPr>
        <w:rPr>
          <w:rFonts w:ascii="Times New Roman" w:hAnsi="Times New Roman" w:cs="Times New Roman"/>
          <w:b/>
          <w:bCs/>
        </w:rPr>
      </w:pPr>
      <w:r w:rsidRPr="003E7BC1">
        <w:rPr>
          <w:rFonts w:ascii="Times New Roman" w:hAnsi="Times New Roman" w:cs="Times New Roman"/>
          <w:b/>
          <w:bCs/>
        </w:rPr>
        <w:t>6.3 Fine-Tuning Effectiveness</w:t>
      </w:r>
    </w:p>
    <w:p w14:paraId="08AFD5D4"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The 5.3% improvement from fine-tuning demonstrates several important findings. Domain adaptation successfully transfers the model's general time series knowledge to the specific characteristics of Bitcoin pageviews. The weekly seasonality is better captured after exposure to domain-specific training data. Calibration improves with better uncertainty quantification. The consistent gains across four of five folds indicate robust improvement rather than overfitting to particular data segments.</w:t>
      </w:r>
    </w:p>
    <w:p w14:paraId="5CAACF4D" w14:textId="77777777" w:rsidR="003E7BC1" w:rsidRPr="003E7BC1" w:rsidRDefault="003E7BC1" w:rsidP="003E7BC1">
      <w:pPr>
        <w:rPr>
          <w:rFonts w:ascii="Times New Roman" w:hAnsi="Times New Roman" w:cs="Times New Roman"/>
          <w:b/>
          <w:bCs/>
        </w:rPr>
      </w:pPr>
      <w:r w:rsidRPr="003E7BC1">
        <w:rPr>
          <w:rFonts w:ascii="Times New Roman" w:hAnsi="Times New Roman" w:cs="Times New Roman"/>
          <w:b/>
          <w:bCs/>
        </w:rPr>
        <w:t>6.4 Practical Recommendations</w:t>
      </w:r>
    </w:p>
    <w:p w14:paraId="1FDF9A09"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For production deployment, the choice among approaches should align with specific requirements. Critical forecasting tasks demanding maximum accuracy should employ Gradient Boosting despite its higher implementation complexity. Portfolios containing many diverse time series benefit from Chronos-2 zero-shot inference to avoid per-series training overhead. Domain-specific deployments with available training time should consider fine-tuned Chronos-2 for balanced performance. Hybrid approaches ensembling Gradient Boosting with fine-tuned Chronos-2 may capture complementary strengths.</w:t>
      </w:r>
    </w:p>
    <w:p w14:paraId="602515AC"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The cost-benefit analysis favors fine-tuning when several conditions hold: sufficient training data of 500 or more observations exists, 30 to 50 minutes of training time is acceptable, and the series exhibits learnable patterns such as seasonality and trends. Fine-tuning should be skipped for very short series under 100 observations or when instant deployment is required.</w:t>
      </w:r>
    </w:p>
    <w:p w14:paraId="09BD4F7D" w14:textId="77777777" w:rsidR="003E7BC1" w:rsidRPr="003E7BC1" w:rsidRDefault="003E7BC1" w:rsidP="003E7BC1">
      <w:pPr>
        <w:rPr>
          <w:rFonts w:ascii="Times New Roman" w:hAnsi="Times New Roman" w:cs="Times New Roman"/>
          <w:b/>
          <w:bCs/>
        </w:rPr>
      </w:pPr>
      <w:r w:rsidRPr="003E7BC1">
        <w:rPr>
          <w:rFonts w:ascii="Times New Roman" w:hAnsi="Times New Roman" w:cs="Times New Roman"/>
          <w:b/>
          <w:bCs/>
        </w:rPr>
        <w:t>6.5 Limitations</w:t>
      </w:r>
    </w:p>
    <w:p w14:paraId="3E9F2662"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This study has several limitations that suggest caution in generalizing the findings. The evaluation covers only a single domain of Wikipedia pageviews, and results may differ for other application areas. The analysis is restricted to univariate forecasting without exogenous variables, though this was an intentional design choice. The fine-tuning implementation uses a simplified framework approach rather than direct gradient updates to the T5 architecture. The prediction interval undercoverage of 49% versus the 80% target indicates calibration issues requiring attention. All models perform poorly on high-pageview events associated with viral spikes, suggesting fundamental limits to predictability during such periods.</w:t>
      </w:r>
    </w:p>
    <w:p w14:paraId="7A904B60" w14:textId="77777777" w:rsidR="003E7BC1" w:rsidRPr="003E7BC1" w:rsidRDefault="003E7BC1" w:rsidP="003E7BC1">
      <w:pPr>
        <w:rPr>
          <w:rFonts w:ascii="Times New Roman" w:hAnsi="Times New Roman" w:cs="Times New Roman"/>
          <w:b/>
          <w:bCs/>
        </w:rPr>
      </w:pPr>
      <w:r w:rsidRPr="003E7BC1">
        <w:rPr>
          <w:rFonts w:ascii="Times New Roman" w:hAnsi="Times New Roman" w:cs="Times New Roman"/>
          <w:b/>
          <w:bCs/>
        </w:rPr>
        <w:lastRenderedPageBreak/>
        <w:t>6.6 Future Research Directions</w:t>
      </w:r>
    </w:p>
    <w:p w14:paraId="0CA8908C"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Several extensions would strengthen and generalize these findings. Implementation of true fine-tuning with direct T5 gradient updates would enable fuller utilization of the foundation model architecture. Parameter-efficient fine-tuning methods such as LoRA and adapters could reduce computational requirements. Multi-domain evaluation across energy, retail, and finance time series would test generalization. Ensemble methods combining Gradient Boosting and Chronos-2 predictions could capture complementary strengths. Online learning frameworks would enable continuous model updates as new data arrives. Hierarchical forecasting approaches could jointly model multiple related Wikipedia pages. Incorporation of exogenous variables such as social media signals and trending topics could improve spike prediction.</w:t>
      </w:r>
    </w:p>
    <w:p w14:paraId="39BE0946" w14:textId="77777777" w:rsidR="003E7BC1" w:rsidRPr="003E7BC1" w:rsidRDefault="00000000" w:rsidP="003E7BC1">
      <w:pPr>
        <w:rPr>
          <w:rFonts w:ascii="Times New Roman" w:hAnsi="Times New Roman" w:cs="Times New Roman"/>
        </w:rPr>
      </w:pPr>
      <w:r>
        <w:rPr>
          <w:rFonts w:ascii="Times New Roman" w:hAnsi="Times New Roman" w:cs="Times New Roman"/>
        </w:rPr>
        <w:pict w14:anchorId="50989C36">
          <v:rect id="_x0000_i1035" style="width:0;height:1.5pt" o:hrstd="t" o:hr="t" fillcolor="#a0a0a0" stroked="f"/>
        </w:pict>
      </w:r>
    </w:p>
    <w:p w14:paraId="4A76A808" w14:textId="77777777" w:rsidR="003E7BC1" w:rsidRPr="003E7BC1" w:rsidRDefault="003E7BC1" w:rsidP="003E7BC1">
      <w:pPr>
        <w:pStyle w:val="Heading1"/>
        <w:rPr>
          <w:rFonts w:ascii="Times New Roman" w:hAnsi="Times New Roman" w:cs="Times New Roman"/>
        </w:rPr>
      </w:pPr>
      <w:bookmarkStart w:id="8" w:name="_Toc218539857"/>
      <w:r w:rsidRPr="003E7BC1">
        <w:rPr>
          <w:rFonts w:ascii="Times New Roman" w:hAnsi="Times New Roman" w:cs="Times New Roman"/>
        </w:rPr>
        <w:t>7. Conclusion</w:t>
      </w:r>
      <w:bookmarkEnd w:id="8"/>
    </w:p>
    <w:p w14:paraId="4519206F"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This study presents a comprehensive comparison of foundation models against classical approaches for time series forecasting, with particular focus on quantifying the value of fine-tuning. The research makes four principal contributions.</w:t>
      </w:r>
    </w:p>
    <w:p w14:paraId="6FFE20E2"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First, we provide empirical evidence that fine-tuning Chronos-2 yields a statistically significant 5.3% improvement over zero-shot inference, confirmed through Wilcoxon signed-rank testing with p=0.028 and a medium effect size.</w:t>
      </w:r>
    </w:p>
    <w:p w14:paraId="034060C9"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Second, we demonstrate practical insights showing that fine-tuned Chronos-2 ranks second among five evaluated models, establishing a favorable performance-cost trade-off for domain-specific deployment scenarios.</w:t>
      </w:r>
    </w:p>
    <w:p w14:paraId="57CDBB09"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Third, we ensure methodological rigor through 5-fold rolling-origin backtesting with statistical significance testing, providing robust foundations for the conclusions.</w:t>
      </w:r>
    </w:p>
    <w:p w14:paraId="0A8D3512"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Fourth, we contribute an open-source reproducible framework enabling practitioners to compare foundation models against classical baselines in their own applications.</w:t>
      </w:r>
    </w:p>
    <w:p w14:paraId="6639B420"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While Gradient Boosting with engineered features remains the best approach for this specific forecasting task with MASE of 0.344, fine-tuned Chronos-2 offers a compelling alternative that balances competitive performance at MASE of 0.373 with broader generalization capabilities. For practitioners managing portfolios of diverse time series across multiple domains, the ability to fine-tune a single foundation model may prove more cost-effective than maintaining separate domain-specific feature engineering pipelines.</w:t>
      </w:r>
    </w:p>
    <w:p w14:paraId="4EC01F7E"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The final recommendation is that fine-tuning foundation models like Chronos-2 is justified when the domain has sufficient training data of 500 or more observations and exhibits learnable patterns. This approach offers a practical middle ground between the convenience of zero-shot inference and the performance of specialized models with hand-crafted features.</w:t>
      </w:r>
    </w:p>
    <w:p w14:paraId="3B8505E2" w14:textId="77777777" w:rsidR="003E7BC1" w:rsidRPr="003E7BC1" w:rsidRDefault="00000000" w:rsidP="003E7BC1">
      <w:pPr>
        <w:rPr>
          <w:rFonts w:ascii="Times New Roman" w:hAnsi="Times New Roman" w:cs="Times New Roman"/>
        </w:rPr>
      </w:pPr>
      <w:r>
        <w:rPr>
          <w:rFonts w:ascii="Times New Roman" w:hAnsi="Times New Roman" w:cs="Times New Roman"/>
        </w:rPr>
        <w:pict w14:anchorId="09ADAA93">
          <v:rect id="_x0000_i1036" style="width:0;height:1.5pt" o:hrstd="t" o:hr="t" fillcolor="#a0a0a0" stroked="f"/>
        </w:pict>
      </w:r>
    </w:p>
    <w:p w14:paraId="793F7229" w14:textId="77777777" w:rsidR="003E7BC1" w:rsidRPr="003E7BC1" w:rsidRDefault="003E7BC1" w:rsidP="003E7BC1">
      <w:pPr>
        <w:rPr>
          <w:rFonts w:ascii="Times New Roman" w:hAnsi="Times New Roman" w:cs="Times New Roman"/>
          <w:b/>
          <w:bCs/>
        </w:rPr>
      </w:pPr>
      <w:r w:rsidRPr="003E7BC1">
        <w:rPr>
          <w:rFonts w:ascii="Times New Roman" w:hAnsi="Times New Roman" w:cs="Times New Roman"/>
          <w:b/>
          <w:bCs/>
        </w:rPr>
        <w:t>References</w:t>
      </w:r>
    </w:p>
    <w:p w14:paraId="120B7E8A"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 xml:space="preserve">Ansari, A. F., Stella, L., Turkmen, C., Zhang, X., Mercado, P., Shen, H., Shchur, O., Rangapuram, S. S., Arango, S. P., Kapoor, S., Zschiegner, J., Maddix, D. C., Mahoney, M. W., Torber, K., Wilson, A. G., Bohlke-Schneider, M., &amp; Wang, Y. (2024). Chronos: Learning the language of time series. </w:t>
      </w:r>
      <w:r w:rsidRPr="003E7BC1">
        <w:rPr>
          <w:rFonts w:ascii="Times New Roman" w:hAnsi="Times New Roman" w:cs="Times New Roman"/>
          <w:i/>
          <w:iCs/>
        </w:rPr>
        <w:t>arXiv preprint arXiv:2403.07815</w:t>
      </w:r>
      <w:r w:rsidRPr="003E7BC1">
        <w:rPr>
          <w:rFonts w:ascii="Times New Roman" w:hAnsi="Times New Roman" w:cs="Times New Roman"/>
        </w:rPr>
        <w:t>.</w:t>
      </w:r>
    </w:p>
    <w:p w14:paraId="5E02407C"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 xml:space="preserve">Hyndman, R. J., &amp; Athanasopoulos, G. (2021). </w:t>
      </w:r>
      <w:r w:rsidRPr="003E7BC1">
        <w:rPr>
          <w:rFonts w:ascii="Times New Roman" w:hAnsi="Times New Roman" w:cs="Times New Roman"/>
          <w:i/>
          <w:iCs/>
        </w:rPr>
        <w:t>Forecasting: Principles and practice</w:t>
      </w:r>
      <w:r w:rsidRPr="003E7BC1">
        <w:rPr>
          <w:rFonts w:ascii="Times New Roman" w:hAnsi="Times New Roman" w:cs="Times New Roman"/>
        </w:rPr>
        <w:t xml:space="preserve"> (3rd ed.). OTexts.</w:t>
      </w:r>
    </w:p>
    <w:p w14:paraId="1770B269"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 xml:space="preserve">Ke, G., Meng, Q., Finley, T., Wang, T., Chen, W., Ma, W., Ye, Q., &amp; Liu, T. Y. (2017). LightGBM: A highly efficient gradient boosting decision tree. </w:t>
      </w:r>
      <w:r w:rsidRPr="003E7BC1">
        <w:rPr>
          <w:rFonts w:ascii="Times New Roman" w:hAnsi="Times New Roman" w:cs="Times New Roman"/>
          <w:i/>
          <w:iCs/>
        </w:rPr>
        <w:t>Advances in Neural Information Processing Systems</w:t>
      </w:r>
      <w:r w:rsidRPr="003E7BC1">
        <w:rPr>
          <w:rFonts w:ascii="Times New Roman" w:hAnsi="Times New Roman" w:cs="Times New Roman"/>
        </w:rPr>
        <w:t>, 30.</w:t>
      </w:r>
    </w:p>
    <w:p w14:paraId="5979260F"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 xml:space="preserve">Rasul, K., Ashok, A., Williams, A. R., Koop, A., Berghaus, R., Stronzek, D., Gabirondo, A., Sezione, M., Susber, A., Siber, J., Cerioli, S., Piccinotti, F., Rajpura, J. D., &amp; Stella, L. (2023). Lag-Llama: Towards foundation models for time series forecasting. </w:t>
      </w:r>
      <w:r w:rsidRPr="003E7BC1">
        <w:rPr>
          <w:rFonts w:ascii="Times New Roman" w:hAnsi="Times New Roman" w:cs="Times New Roman"/>
          <w:i/>
          <w:iCs/>
        </w:rPr>
        <w:t>arXiv preprint arXiv:2310.08278</w:t>
      </w:r>
      <w:r w:rsidRPr="003E7BC1">
        <w:rPr>
          <w:rFonts w:ascii="Times New Roman" w:hAnsi="Times New Roman" w:cs="Times New Roman"/>
        </w:rPr>
        <w:t>.</w:t>
      </w:r>
    </w:p>
    <w:p w14:paraId="17B5E4F8"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 xml:space="preserve">Wikimedia Foundation. (2024). Pageviews API documentation. Retrieved from </w:t>
      </w:r>
      <w:r w:rsidRPr="003E7BC1">
        <w:rPr>
          <w:rFonts w:ascii="Times New Roman" w:hAnsi="Times New Roman" w:cs="Times New Roman"/>
        </w:rPr>
        <w:lastRenderedPageBreak/>
        <w:t>https://wikimedia.org/api/rest_v1/</w:t>
      </w:r>
    </w:p>
    <w:p w14:paraId="381DB791" w14:textId="77777777" w:rsidR="003E7BC1" w:rsidRPr="003E7BC1" w:rsidRDefault="00000000" w:rsidP="003E7BC1">
      <w:pPr>
        <w:rPr>
          <w:rFonts w:ascii="Times New Roman" w:hAnsi="Times New Roman" w:cs="Times New Roman"/>
        </w:rPr>
      </w:pPr>
      <w:r>
        <w:rPr>
          <w:rFonts w:ascii="Times New Roman" w:hAnsi="Times New Roman" w:cs="Times New Roman"/>
        </w:rPr>
        <w:pict w14:anchorId="66756C8B">
          <v:rect id="_x0000_i1037" style="width:0;height:1.5pt" o:hrstd="t" o:hr="t" fillcolor="#a0a0a0" stroked="f"/>
        </w:pict>
      </w:r>
    </w:p>
    <w:p w14:paraId="6717F55D" w14:textId="77777777" w:rsidR="003E7BC1" w:rsidRPr="003E7BC1" w:rsidRDefault="003E7BC1" w:rsidP="003E7BC1">
      <w:pPr>
        <w:pStyle w:val="Heading1"/>
        <w:rPr>
          <w:rFonts w:ascii="Times New Roman" w:hAnsi="Times New Roman" w:cs="Times New Roman"/>
        </w:rPr>
      </w:pPr>
      <w:bookmarkStart w:id="9" w:name="_Toc218539858"/>
      <w:r w:rsidRPr="003E7BC1">
        <w:rPr>
          <w:rFonts w:ascii="Times New Roman" w:hAnsi="Times New Roman" w:cs="Times New Roman"/>
        </w:rPr>
        <w:t>Appendix A: Complete Validation Metrics</w:t>
      </w:r>
      <w:bookmarkEnd w:id="9"/>
    </w:p>
    <w:p w14:paraId="1D2CD9C3"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The following table presents mean and standard deviation values across the five cross-validation folds for all evaluated models.</w:t>
      </w:r>
    </w:p>
    <w:p w14:paraId="5CAAD3AC"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Gradient Boosting achieved MASE of 0.344 ± 0.042, MAE of 873 ± 106, RMSE of 1,150 ± 128, and sMAPE of 14.3% ± 1.7%. Fine-tuned Chronos-2 achieved MASE of 0.373 ± 0.088, MAE of 946 ± 223, RMSE of 1,316 ± 447, and sMAPE of 15.7% ± 2.5%. Zero-shot Chronos-2 achieved MASE of 0.394 ± 0.085, MAE of 999 ± 215, RMSE of 1,375 ± 441, and sMAPE of 16.7% ± 2.4%. Seasonal Naive achieved MASE of 0.397 ± 0.089, MAE of 1,007 ± 225, RMSE of 1,348 ± 455, and sMAPE of 16.6% ± 2.6%. ETS achieved MASE of 0.508 ± 0.142, MAE of 1,288 ± 361, RMSE of 1,662 ± 550, and sMAPE of 23.0% ± 4.8%.</w:t>
      </w:r>
    </w:p>
    <w:p w14:paraId="2087526A" w14:textId="77777777" w:rsidR="003E7BC1" w:rsidRPr="003E7BC1" w:rsidRDefault="00000000" w:rsidP="003E7BC1">
      <w:pPr>
        <w:rPr>
          <w:rFonts w:ascii="Times New Roman" w:hAnsi="Times New Roman" w:cs="Times New Roman"/>
        </w:rPr>
      </w:pPr>
      <w:r>
        <w:rPr>
          <w:rFonts w:ascii="Times New Roman" w:hAnsi="Times New Roman" w:cs="Times New Roman"/>
        </w:rPr>
        <w:pict w14:anchorId="41D1F19A">
          <v:rect id="_x0000_i1038" style="width:0;height:1.5pt" o:hrstd="t" o:hr="t" fillcolor="#a0a0a0" stroked="f"/>
        </w:pict>
      </w:r>
    </w:p>
    <w:p w14:paraId="027179B0" w14:textId="77777777" w:rsidR="003E7BC1" w:rsidRPr="003E7BC1" w:rsidRDefault="003E7BC1" w:rsidP="003E7BC1">
      <w:pPr>
        <w:pStyle w:val="Heading1"/>
        <w:rPr>
          <w:rFonts w:ascii="Times New Roman" w:hAnsi="Times New Roman" w:cs="Times New Roman"/>
        </w:rPr>
      </w:pPr>
      <w:bookmarkStart w:id="10" w:name="_Toc218539859"/>
      <w:r w:rsidRPr="003E7BC1">
        <w:rPr>
          <w:rFonts w:ascii="Times New Roman" w:hAnsi="Times New Roman" w:cs="Times New Roman"/>
        </w:rPr>
        <w:t>Appendix B: Fine-Tuning Configuration</w:t>
      </w:r>
      <w:bookmarkEnd w:id="10"/>
    </w:p>
    <w:p w14:paraId="56560BDC"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The fine-tuning configuration specifies the amazon/chronos-t5-base model running on CUDA. The learning rate is set to 3×10⁻⁵ with training for up to 25 epochs. The batch size is 4 with gradient accumulation over 8 steps, yielding an effective batch size of 32. Quantile levels are 0.1, 0.5, and 0.9. Early stopping uses patience of 5 epochs with a minimum delta of 0.001. Mixed precision training uses bfloat16 with gradient checkpointing enabled. Inference generates 20 samples with temperature of 1.0, top-k of 50, and top-p of 1.0.</w:t>
      </w:r>
    </w:p>
    <w:p w14:paraId="3E11D63C" w14:textId="77777777" w:rsidR="003E7BC1" w:rsidRPr="003E7BC1" w:rsidRDefault="00000000" w:rsidP="003E7BC1">
      <w:pPr>
        <w:rPr>
          <w:rFonts w:ascii="Times New Roman" w:hAnsi="Times New Roman" w:cs="Times New Roman"/>
        </w:rPr>
      </w:pPr>
      <w:r>
        <w:rPr>
          <w:rFonts w:ascii="Times New Roman" w:hAnsi="Times New Roman" w:cs="Times New Roman"/>
        </w:rPr>
        <w:pict w14:anchorId="2E2E8A5F">
          <v:rect id="_x0000_i1039" style="width:0;height:1.5pt" o:hrstd="t" o:hr="t" fillcolor="#a0a0a0" stroked="f"/>
        </w:pict>
      </w:r>
    </w:p>
    <w:p w14:paraId="4D548813" w14:textId="77777777" w:rsidR="003E7BC1" w:rsidRPr="003E7BC1" w:rsidRDefault="003E7BC1" w:rsidP="003E7BC1">
      <w:pPr>
        <w:pStyle w:val="Heading1"/>
        <w:rPr>
          <w:rFonts w:ascii="Times New Roman" w:hAnsi="Times New Roman" w:cs="Times New Roman"/>
        </w:rPr>
      </w:pPr>
      <w:bookmarkStart w:id="11" w:name="_Toc218539860"/>
      <w:r w:rsidRPr="003E7BC1">
        <w:rPr>
          <w:rFonts w:ascii="Times New Roman" w:hAnsi="Times New Roman" w:cs="Times New Roman"/>
        </w:rPr>
        <w:t>Appendix C: Reproduction Instructions</w:t>
      </w:r>
      <w:bookmarkEnd w:id="11"/>
    </w:p>
    <w:p w14:paraId="3EF5174C"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To reproduce these experiments, begin by cloning the repository from https://github.com/Vipproplayerone1/ts-chronos-gpu.git and navigating to the final directory. Create the conda environment using the provided environment.yml file and activate the ts-chronos-gpu environment. Install PyTorch with CUDA 12.1 support from the pytorch and nvidia channels. Install remaining dependencies from requirements.txt.</w:t>
      </w:r>
    </w:p>
    <w:p w14:paraId="5B8B82A5"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Execute the complete pipeline including fine-tuning by running the run_pipeline.py script with the default configuration file. Generate visualizations by running visualize_model_comparison.py. Results will be written to artifacts/metrics/chronos_finetuned_metrics.json and artifacts/figures/detailed_comparison/.</w:t>
      </w:r>
    </w:p>
    <w:p w14:paraId="121FCB16" w14:textId="77777777" w:rsidR="003E7BC1" w:rsidRPr="003E7BC1" w:rsidRDefault="003E7BC1" w:rsidP="003E7BC1">
      <w:pPr>
        <w:rPr>
          <w:rFonts w:ascii="Times New Roman" w:hAnsi="Times New Roman" w:cs="Times New Roman"/>
        </w:rPr>
      </w:pPr>
      <w:r w:rsidRPr="003E7BC1">
        <w:rPr>
          <w:rFonts w:ascii="Times New Roman" w:hAnsi="Times New Roman" w:cs="Times New Roman"/>
        </w:rPr>
        <w:t>Expected runtime with GPU acceleration on an RTX 3050 is 35 to 55 minutes. CPU-only execution requires 1 to 2 hours.</w:t>
      </w:r>
    </w:p>
    <w:p w14:paraId="68BEC7FB" w14:textId="77777777" w:rsidR="003E7BC1" w:rsidRPr="003E7BC1" w:rsidRDefault="00000000" w:rsidP="003E7BC1">
      <w:pPr>
        <w:rPr>
          <w:rFonts w:ascii="Times New Roman" w:hAnsi="Times New Roman" w:cs="Times New Roman"/>
        </w:rPr>
      </w:pPr>
      <w:r>
        <w:rPr>
          <w:rFonts w:ascii="Times New Roman" w:hAnsi="Times New Roman" w:cs="Times New Roman"/>
        </w:rPr>
        <w:pict w14:anchorId="4A7F27CB">
          <v:rect id="_x0000_i1040" style="width:0;height:1.5pt" o:hrstd="t" o:hr="t" fillcolor="#a0a0a0" stroked="f"/>
        </w:pict>
      </w:r>
    </w:p>
    <w:p w14:paraId="7A0AE2D7" w14:textId="77777777" w:rsidR="003E7BC1" w:rsidRPr="003E7BC1" w:rsidRDefault="003E7BC1" w:rsidP="003E7BC1">
      <w:pPr>
        <w:rPr>
          <w:rFonts w:ascii="Times New Roman" w:hAnsi="Times New Roman" w:cs="Times New Roman"/>
        </w:rPr>
      </w:pPr>
      <w:r w:rsidRPr="003E7BC1">
        <w:rPr>
          <w:rFonts w:ascii="Times New Roman" w:hAnsi="Times New Roman" w:cs="Times New Roman"/>
          <w:i/>
          <w:iCs/>
        </w:rPr>
        <w:t>This report documents a comprehensive study comparing zero-shot and fine-tuned Chronos-2 foundation models against classical forecasting approaches. All code, data, and results are available as open-source materials for reproducibility.</w:t>
      </w:r>
    </w:p>
    <w:p w14:paraId="65AEBDB9" w14:textId="6D481F0E" w:rsidR="00847A77" w:rsidRPr="003E7BC1" w:rsidRDefault="00847A77" w:rsidP="003E7BC1">
      <w:pPr>
        <w:rPr>
          <w:rFonts w:ascii="Times New Roman" w:hAnsi="Times New Roman" w:cs="Times New Roman"/>
        </w:rPr>
      </w:pPr>
    </w:p>
    <w:sectPr w:rsidR="00847A77" w:rsidRPr="003E7BC1">
      <w:headerReference w:type="default" r:id="rId12"/>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CA0D3" w14:textId="77777777" w:rsidR="00797FF5" w:rsidRDefault="00797FF5" w:rsidP="00847A77">
      <w:r>
        <w:separator/>
      </w:r>
    </w:p>
  </w:endnote>
  <w:endnote w:type="continuationSeparator" w:id="0">
    <w:p w14:paraId="1405A808" w14:textId="77777777" w:rsidR="00797FF5" w:rsidRDefault="00797FF5" w:rsidP="00847A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D7A43286-9BC9-4F6B-96D3-8DDE9E529999}"/>
  </w:font>
  <w:font w:name="Calibri">
    <w:panose1 w:val="020F0502020204030204"/>
    <w:charset w:val="00"/>
    <w:family w:val="swiss"/>
    <w:pitch w:val="variable"/>
    <w:sig w:usb0="E4002EFF" w:usb1="C200247B" w:usb2="00000009" w:usb3="00000000" w:csb0="000001FF" w:csb1="00000000"/>
    <w:embedRegular r:id="rId2" w:fontKey="{6D6C7757-420A-421F-8A21-3CBAF8070B8F}"/>
  </w:font>
  <w:font w:name="Cambria">
    <w:panose1 w:val="02040503050406030204"/>
    <w:charset w:val="00"/>
    <w:family w:val="roman"/>
    <w:pitch w:val="variable"/>
    <w:sig w:usb0="E00006FF" w:usb1="420024FF" w:usb2="02000000" w:usb3="00000000" w:csb0="0000019F" w:csb1="00000000"/>
    <w:embedRegular r:id="rId3" w:fontKey="{35971F8C-7AB4-4950-9D0B-A3ED803606F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C471E" w14:textId="77777777" w:rsidR="00847A77" w:rsidRDefault="00847A77">
    <w:pPr>
      <w:pBdr>
        <w:top w:val="nil"/>
        <w:left w:val="nil"/>
        <w:bottom w:val="nil"/>
        <w:right w:val="nil"/>
        <w:between w:val="nil"/>
      </w:pBdr>
      <w:tabs>
        <w:tab w:val="center" w:pos="4680"/>
        <w:tab w:val="right" w:pos="9360"/>
      </w:tabs>
      <w:jc w:val="right"/>
      <w:rPr>
        <w:color w:val="000000"/>
      </w:rPr>
    </w:pPr>
    <w:r>
      <w:rPr>
        <w:color w:val="000000"/>
      </w:rPr>
      <w:fldChar w:fldCharType="begin"/>
    </w:r>
    <w:r>
      <w:rPr>
        <w:rFonts w:ascii="Times New Roman" w:eastAsia="Times New Roman" w:hAnsi="Times New Roman" w:cs="Times New Roman"/>
        <w:color w:val="000000"/>
        <w:sz w:val="24"/>
        <w:szCs w:val="24"/>
      </w:rPr>
      <w:instrText>PAGE</w:instrText>
    </w:r>
    <w:r>
      <w:rPr>
        <w:color w:val="000000"/>
      </w:rPr>
      <w:fldChar w:fldCharType="separate"/>
    </w:r>
    <w:r>
      <w:rPr>
        <w:noProof/>
        <w:color w:val="000000"/>
      </w:rPr>
      <w:t>2</w:t>
    </w:r>
    <w:r>
      <w:rPr>
        <w:color w:val="000000"/>
      </w:rPr>
      <w:fldChar w:fldCharType="end"/>
    </w:r>
  </w:p>
  <w:p w14:paraId="3FE0F2CF" w14:textId="77777777" w:rsidR="00847A77" w:rsidRDefault="00847A77">
    <w:pPr>
      <w:pBdr>
        <w:top w:val="nil"/>
        <w:left w:val="nil"/>
        <w:bottom w:val="nil"/>
        <w:right w:val="nil"/>
        <w:between w:val="nil"/>
      </w:pBdr>
      <w:tabs>
        <w:tab w:val="center" w:pos="4703"/>
        <w:tab w:val="right" w:pos="940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30AAA" w14:textId="77777777" w:rsidR="00847A77" w:rsidRDefault="00847A77">
    <w:pPr>
      <w:pBdr>
        <w:top w:val="nil"/>
        <w:left w:val="nil"/>
        <w:bottom w:val="nil"/>
        <w:right w:val="nil"/>
        <w:between w:val="nil"/>
      </w:pBdr>
      <w:tabs>
        <w:tab w:val="center" w:pos="4680"/>
        <w:tab w:val="right" w:pos="9360"/>
      </w:tabs>
      <w:jc w:val="center"/>
      <w:rPr>
        <w:color w:val="000000"/>
      </w:rPr>
    </w:pPr>
    <w:r>
      <w:rPr>
        <w:rFonts w:ascii="Times New Roman" w:eastAsia="Times New Roman" w:hAnsi="Times New Roman" w:cs="Times New Roman"/>
        <w:b/>
        <w:color w:val="000000"/>
        <w:sz w:val="20"/>
        <w:szCs w:val="20"/>
      </w:rPr>
      <w:t>Da Nang, 2019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37B88" w14:textId="77777777" w:rsidR="00797FF5" w:rsidRDefault="00797FF5" w:rsidP="00847A77">
      <w:r>
        <w:separator/>
      </w:r>
    </w:p>
  </w:footnote>
  <w:footnote w:type="continuationSeparator" w:id="0">
    <w:p w14:paraId="7E1F086F" w14:textId="77777777" w:rsidR="00797FF5" w:rsidRDefault="00797FF5" w:rsidP="00847A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FED7A" w14:textId="77777777" w:rsidR="00847A77" w:rsidRDefault="00847A77">
    <w:pPr>
      <w:rPr>
        <w:color w:val="000000"/>
      </w:rPr>
    </w:pPr>
    <w:r>
      <w:rPr>
        <w:noProof/>
      </w:rPr>
      <w:drawing>
        <wp:anchor distT="0" distB="0" distL="114300" distR="114300" simplePos="0" relativeHeight="251661312" behindDoc="0" locked="0" layoutInCell="1" hidden="0" allowOverlap="1" wp14:anchorId="6B110E5D" wp14:editId="0860E420">
          <wp:simplePos x="0" y="0"/>
          <wp:positionH relativeFrom="column">
            <wp:posOffset>-235583</wp:posOffset>
          </wp:positionH>
          <wp:positionV relativeFrom="paragraph">
            <wp:posOffset>0</wp:posOffset>
          </wp:positionV>
          <wp:extent cx="6141720" cy="430530"/>
          <wp:effectExtent l="0" t="0" r="0" b="0"/>
          <wp:wrapSquare wrapText="bothSides" distT="0" distB="0" distL="114300" distR="114300"/>
          <wp:docPr id="5865887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141720" cy="430530"/>
                  </a:xfrm>
                  <a:prstGeom prst="rect">
                    <a:avLst/>
                  </a:prstGeom>
                  <a:ln/>
                </pic:spPr>
              </pic:pic>
            </a:graphicData>
          </a:graphic>
        </wp:anchor>
      </w:drawing>
    </w:r>
  </w:p>
  <w:p w14:paraId="1E463E62" w14:textId="77777777" w:rsidR="00847A77" w:rsidRDefault="00847A77">
    <w:pPr>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38555" w14:textId="288F9DAC" w:rsidR="00847A77" w:rsidRDefault="00847A77">
    <w:pPr>
      <w:pStyle w:val="Header"/>
    </w:pPr>
    <w:r>
      <w:rPr>
        <w:noProof/>
      </w:rPr>
      <w:drawing>
        <wp:anchor distT="0" distB="0" distL="114300" distR="114300" simplePos="0" relativeHeight="251659264" behindDoc="0" locked="0" layoutInCell="1" hidden="0" allowOverlap="1" wp14:anchorId="381CA61F" wp14:editId="3E1DCB74">
          <wp:simplePos x="0" y="0"/>
          <wp:positionH relativeFrom="column">
            <wp:posOffset>0</wp:posOffset>
          </wp:positionH>
          <wp:positionV relativeFrom="paragraph">
            <wp:posOffset>160655</wp:posOffset>
          </wp:positionV>
          <wp:extent cx="6141720" cy="430530"/>
          <wp:effectExtent l="0" t="0" r="0" b="0"/>
          <wp:wrapSquare wrapText="bothSides" distT="0" distB="0" distL="114300" distR="11430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141720" cy="43053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0" style="width:0;height:1.5pt" o:hralign="center" o:bullet="t" o:hrstd="t" o:hr="t" fillcolor="#a0a0a0" stroked="f"/>
    </w:pict>
  </w:numPicBullet>
  <w:abstractNum w:abstractNumId="0" w15:restartNumberingAfterBreak="0">
    <w:nsid w:val="03F461C6"/>
    <w:multiLevelType w:val="multilevel"/>
    <w:tmpl w:val="67D60FC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7201942"/>
    <w:multiLevelType w:val="multilevel"/>
    <w:tmpl w:val="452E87A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8B11C5A"/>
    <w:multiLevelType w:val="multilevel"/>
    <w:tmpl w:val="C590DFC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B86553D"/>
    <w:multiLevelType w:val="multilevel"/>
    <w:tmpl w:val="B6AECE2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BB25F5A"/>
    <w:multiLevelType w:val="multilevel"/>
    <w:tmpl w:val="96C0D5B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DB056D6"/>
    <w:multiLevelType w:val="multilevel"/>
    <w:tmpl w:val="24621EF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3F25EDF"/>
    <w:multiLevelType w:val="multilevel"/>
    <w:tmpl w:val="9310569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7927D53"/>
    <w:multiLevelType w:val="multilevel"/>
    <w:tmpl w:val="7A9AFE6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AE0091E"/>
    <w:multiLevelType w:val="multilevel"/>
    <w:tmpl w:val="F7EEEE8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E19313A"/>
    <w:multiLevelType w:val="multilevel"/>
    <w:tmpl w:val="6146242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2AB198C"/>
    <w:multiLevelType w:val="multilevel"/>
    <w:tmpl w:val="67FCB5E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3D10512"/>
    <w:multiLevelType w:val="multilevel"/>
    <w:tmpl w:val="712C26D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39B87646"/>
    <w:multiLevelType w:val="multilevel"/>
    <w:tmpl w:val="43603D2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3B904917"/>
    <w:multiLevelType w:val="multilevel"/>
    <w:tmpl w:val="7A1E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DE760F"/>
    <w:multiLevelType w:val="multilevel"/>
    <w:tmpl w:val="BFE8C5D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49657DA2"/>
    <w:multiLevelType w:val="multilevel"/>
    <w:tmpl w:val="192CFA4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51655D16"/>
    <w:multiLevelType w:val="multilevel"/>
    <w:tmpl w:val="A266CBB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55CA5D14"/>
    <w:multiLevelType w:val="multilevel"/>
    <w:tmpl w:val="052CC28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58865CD6"/>
    <w:multiLevelType w:val="multilevel"/>
    <w:tmpl w:val="6A32577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5A4F569A"/>
    <w:multiLevelType w:val="multilevel"/>
    <w:tmpl w:val="18FCF9A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612D3C44"/>
    <w:multiLevelType w:val="multilevel"/>
    <w:tmpl w:val="83D2B22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673B7FF7"/>
    <w:multiLevelType w:val="multilevel"/>
    <w:tmpl w:val="F12CD0F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67B30758"/>
    <w:multiLevelType w:val="multilevel"/>
    <w:tmpl w:val="CCAA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AE6C0D"/>
    <w:multiLevelType w:val="multilevel"/>
    <w:tmpl w:val="1906510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7FDF74D0"/>
    <w:multiLevelType w:val="multilevel"/>
    <w:tmpl w:val="2DA6B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508846">
    <w:abstractNumId w:val="8"/>
  </w:num>
  <w:num w:numId="2" w16cid:durableId="815293435">
    <w:abstractNumId w:val="12"/>
  </w:num>
  <w:num w:numId="3" w16cid:durableId="25639841">
    <w:abstractNumId w:val="7"/>
  </w:num>
  <w:num w:numId="4" w16cid:durableId="1984382904">
    <w:abstractNumId w:val="15"/>
  </w:num>
  <w:num w:numId="5" w16cid:durableId="191117283">
    <w:abstractNumId w:val="2"/>
  </w:num>
  <w:num w:numId="6" w16cid:durableId="1930307967">
    <w:abstractNumId w:val="17"/>
  </w:num>
  <w:num w:numId="7" w16cid:durableId="13117796">
    <w:abstractNumId w:val="18"/>
  </w:num>
  <w:num w:numId="8" w16cid:durableId="1070733835">
    <w:abstractNumId w:val="3"/>
  </w:num>
  <w:num w:numId="9" w16cid:durableId="1736783605">
    <w:abstractNumId w:val="0"/>
  </w:num>
  <w:num w:numId="10" w16cid:durableId="2065136761">
    <w:abstractNumId w:val="21"/>
  </w:num>
  <w:num w:numId="11" w16cid:durableId="1204173258">
    <w:abstractNumId w:val="14"/>
  </w:num>
  <w:num w:numId="12" w16cid:durableId="917906120">
    <w:abstractNumId w:val="11"/>
  </w:num>
  <w:num w:numId="13" w16cid:durableId="1141270764">
    <w:abstractNumId w:val="1"/>
  </w:num>
  <w:num w:numId="14" w16cid:durableId="939339617">
    <w:abstractNumId w:val="23"/>
  </w:num>
  <w:num w:numId="15" w16cid:durableId="1687754324">
    <w:abstractNumId w:val="20"/>
  </w:num>
  <w:num w:numId="16" w16cid:durableId="1797135575">
    <w:abstractNumId w:val="6"/>
  </w:num>
  <w:num w:numId="17" w16cid:durableId="1243641706">
    <w:abstractNumId w:val="16"/>
  </w:num>
  <w:num w:numId="18" w16cid:durableId="53436527">
    <w:abstractNumId w:val="4"/>
  </w:num>
  <w:num w:numId="19" w16cid:durableId="1041319934">
    <w:abstractNumId w:val="19"/>
  </w:num>
  <w:num w:numId="20" w16cid:durableId="346295034">
    <w:abstractNumId w:val="9"/>
  </w:num>
  <w:num w:numId="21" w16cid:durableId="1291520946">
    <w:abstractNumId w:val="10"/>
  </w:num>
  <w:num w:numId="22" w16cid:durableId="879705475">
    <w:abstractNumId w:val="5"/>
  </w:num>
  <w:num w:numId="23" w16cid:durableId="883564965">
    <w:abstractNumId w:val="13"/>
  </w:num>
  <w:num w:numId="24" w16cid:durableId="1138182794">
    <w:abstractNumId w:val="22"/>
  </w:num>
  <w:num w:numId="25" w16cid:durableId="28655275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E59"/>
    <w:rsid w:val="000801F6"/>
    <w:rsid w:val="00094834"/>
    <w:rsid w:val="00194E01"/>
    <w:rsid w:val="00270108"/>
    <w:rsid w:val="003A031A"/>
    <w:rsid w:val="003E15D5"/>
    <w:rsid w:val="003E7BC1"/>
    <w:rsid w:val="00531D0C"/>
    <w:rsid w:val="00534EB7"/>
    <w:rsid w:val="00580717"/>
    <w:rsid w:val="0058465B"/>
    <w:rsid w:val="005A37FA"/>
    <w:rsid w:val="005B3E7C"/>
    <w:rsid w:val="006574ED"/>
    <w:rsid w:val="006E54C2"/>
    <w:rsid w:val="00790356"/>
    <w:rsid w:val="00797FF5"/>
    <w:rsid w:val="007A1056"/>
    <w:rsid w:val="00811465"/>
    <w:rsid w:val="00813B0B"/>
    <w:rsid w:val="00822E20"/>
    <w:rsid w:val="00847A77"/>
    <w:rsid w:val="00951548"/>
    <w:rsid w:val="00B03F66"/>
    <w:rsid w:val="00B2567E"/>
    <w:rsid w:val="00C30BC6"/>
    <w:rsid w:val="00C43E59"/>
    <w:rsid w:val="00E30E12"/>
    <w:rsid w:val="00F20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73C84"/>
  <w15:docId w15:val="{092907D9-CD07-4EA0-82C6-9D203E059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847A77"/>
    <w:pPr>
      <w:tabs>
        <w:tab w:val="center" w:pos="4680"/>
        <w:tab w:val="right" w:pos="9360"/>
      </w:tabs>
    </w:pPr>
  </w:style>
  <w:style w:type="character" w:customStyle="1" w:styleId="HeaderChar">
    <w:name w:val="Header Char"/>
    <w:basedOn w:val="DefaultParagraphFont"/>
    <w:link w:val="Header"/>
    <w:uiPriority w:val="99"/>
    <w:rsid w:val="00847A77"/>
  </w:style>
  <w:style w:type="paragraph" w:styleId="Footer">
    <w:name w:val="footer"/>
    <w:basedOn w:val="Normal"/>
    <w:link w:val="FooterChar"/>
    <w:uiPriority w:val="99"/>
    <w:unhideWhenUsed/>
    <w:rsid w:val="00847A77"/>
    <w:pPr>
      <w:tabs>
        <w:tab w:val="center" w:pos="4680"/>
        <w:tab w:val="right" w:pos="9360"/>
      </w:tabs>
    </w:pPr>
  </w:style>
  <w:style w:type="character" w:customStyle="1" w:styleId="FooterChar">
    <w:name w:val="Footer Char"/>
    <w:basedOn w:val="DefaultParagraphFont"/>
    <w:link w:val="Footer"/>
    <w:uiPriority w:val="99"/>
    <w:rsid w:val="00847A77"/>
  </w:style>
  <w:style w:type="paragraph" w:styleId="TOCHeading">
    <w:name w:val="TOC Heading"/>
    <w:basedOn w:val="Heading1"/>
    <w:next w:val="Normal"/>
    <w:uiPriority w:val="39"/>
    <w:unhideWhenUsed/>
    <w:qFormat/>
    <w:rsid w:val="003A031A"/>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3A031A"/>
    <w:pPr>
      <w:spacing w:after="100"/>
    </w:pPr>
  </w:style>
  <w:style w:type="paragraph" w:styleId="TOC2">
    <w:name w:val="toc 2"/>
    <w:basedOn w:val="Normal"/>
    <w:next w:val="Normal"/>
    <w:autoRedefine/>
    <w:uiPriority w:val="39"/>
    <w:unhideWhenUsed/>
    <w:rsid w:val="003A031A"/>
    <w:pPr>
      <w:spacing w:after="100"/>
      <w:ind w:left="220"/>
    </w:pPr>
  </w:style>
  <w:style w:type="paragraph" w:styleId="TOC3">
    <w:name w:val="toc 3"/>
    <w:basedOn w:val="Normal"/>
    <w:next w:val="Normal"/>
    <w:autoRedefine/>
    <w:uiPriority w:val="39"/>
    <w:unhideWhenUsed/>
    <w:rsid w:val="003A031A"/>
    <w:pPr>
      <w:spacing w:after="100"/>
      <w:ind w:left="440"/>
    </w:pPr>
  </w:style>
  <w:style w:type="character" w:styleId="Hyperlink">
    <w:name w:val="Hyperlink"/>
    <w:basedOn w:val="DefaultParagraphFont"/>
    <w:uiPriority w:val="99"/>
    <w:unhideWhenUsed/>
    <w:rsid w:val="003A031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301787">
      <w:bodyDiv w:val="1"/>
      <w:marLeft w:val="0"/>
      <w:marRight w:val="0"/>
      <w:marTop w:val="0"/>
      <w:marBottom w:val="0"/>
      <w:divBdr>
        <w:top w:val="none" w:sz="0" w:space="0" w:color="auto"/>
        <w:left w:val="none" w:sz="0" w:space="0" w:color="auto"/>
        <w:bottom w:val="none" w:sz="0" w:space="0" w:color="auto"/>
        <w:right w:val="none" w:sz="0" w:space="0" w:color="auto"/>
      </w:divBdr>
    </w:div>
    <w:div w:id="151289737">
      <w:bodyDiv w:val="1"/>
      <w:marLeft w:val="0"/>
      <w:marRight w:val="0"/>
      <w:marTop w:val="0"/>
      <w:marBottom w:val="0"/>
      <w:divBdr>
        <w:top w:val="none" w:sz="0" w:space="0" w:color="auto"/>
        <w:left w:val="none" w:sz="0" w:space="0" w:color="auto"/>
        <w:bottom w:val="none" w:sz="0" w:space="0" w:color="auto"/>
        <w:right w:val="none" w:sz="0" w:space="0" w:color="auto"/>
      </w:divBdr>
    </w:div>
    <w:div w:id="156580361">
      <w:bodyDiv w:val="1"/>
      <w:marLeft w:val="0"/>
      <w:marRight w:val="0"/>
      <w:marTop w:val="0"/>
      <w:marBottom w:val="0"/>
      <w:divBdr>
        <w:top w:val="none" w:sz="0" w:space="0" w:color="auto"/>
        <w:left w:val="none" w:sz="0" w:space="0" w:color="auto"/>
        <w:bottom w:val="none" w:sz="0" w:space="0" w:color="auto"/>
        <w:right w:val="none" w:sz="0" w:space="0" w:color="auto"/>
      </w:divBdr>
    </w:div>
    <w:div w:id="186263514">
      <w:bodyDiv w:val="1"/>
      <w:marLeft w:val="0"/>
      <w:marRight w:val="0"/>
      <w:marTop w:val="0"/>
      <w:marBottom w:val="0"/>
      <w:divBdr>
        <w:top w:val="none" w:sz="0" w:space="0" w:color="auto"/>
        <w:left w:val="none" w:sz="0" w:space="0" w:color="auto"/>
        <w:bottom w:val="none" w:sz="0" w:space="0" w:color="auto"/>
        <w:right w:val="none" w:sz="0" w:space="0" w:color="auto"/>
      </w:divBdr>
    </w:div>
    <w:div w:id="299313047">
      <w:bodyDiv w:val="1"/>
      <w:marLeft w:val="0"/>
      <w:marRight w:val="0"/>
      <w:marTop w:val="0"/>
      <w:marBottom w:val="0"/>
      <w:divBdr>
        <w:top w:val="none" w:sz="0" w:space="0" w:color="auto"/>
        <w:left w:val="none" w:sz="0" w:space="0" w:color="auto"/>
        <w:bottom w:val="none" w:sz="0" w:space="0" w:color="auto"/>
        <w:right w:val="none" w:sz="0" w:space="0" w:color="auto"/>
      </w:divBdr>
    </w:div>
    <w:div w:id="391925939">
      <w:bodyDiv w:val="1"/>
      <w:marLeft w:val="0"/>
      <w:marRight w:val="0"/>
      <w:marTop w:val="0"/>
      <w:marBottom w:val="0"/>
      <w:divBdr>
        <w:top w:val="none" w:sz="0" w:space="0" w:color="auto"/>
        <w:left w:val="none" w:sz="0" w:space="0" w:color="auto"/>
        <w:bottom w:val="none" w:sz="0" w:space="0" w:color="auto"/>
        <w:right w:val="none" w:sz="0" w:space="0" w:color="auto"/>
      </w:divBdr>
    </w:div>
    <w:div w:id="447622798">
      <w:bodyDiv w:val="1"/>
      <w:marLeft w:val="0"/>
      <w:marRight w:val="0"/>
      <w:marTop w:val="0"/>
      <w:marBottom w:val="0"/>
      <w:divBdr>
        <w:top w:val="none" w:sz="0" w:space="0" w:color="auto"/>
        <w:left w:val="none" w:sz="0" w:space="0" w:color="auto"/>
        <w:bottom w:val="none" w:sz="0" w:space="0" w:color="auto"/>
        <w:right w:val="none" w:sz="0" w:space="0" w:color="auto"/>
      </w:divBdr>
    </w:div>
    <w:div w:id="693919693">
      <w:bodyDiv w:val="1"/>
      <w:marLeft w:val="0"/>
      <w:marRight w:val="0"/>
      <w:marTop w:val="0"/>
      <w:marBottom w:val="0"/>
      <w:divBdr>
        <w:top w:val="none" w:sz="0" w:space="0" w:color="auto"/>
        <w:left w:val="none" w:sz="0" w:space="0" w:color="auto"/>
        <w:bottom w:val="none" w:sz="0" w:space="0" w:color="auto"/>
        <w:right w:val="none" w:sz="0" w:space="0" w:color="auto"/>
      </w:divBdr>
    </w:div>
    <w:div w:id="727070196">
      <w:bodyDiv w:val="1"/>
      <w:marLeft w:val="0"/>
      <w:marRight w:val="0"/>
      <w:marTop w:val="0"/>
      <w:marBottom w:val="0"/>
      <w:divBdr>
        <w:top w:val="none" w:sz="0" w:space="0" w:color="auto"/>
        <w:left w:val="none" w:sz="0" w:space="0" w:color="auto"/>
        <w:bottom w:val="none" w:sz="0" w:space="0" w:color="auto"/>
        <w:right w:val="none" w:sz="0" w:space="0" w:color="auto"/>
      </w:divBdr>
    </w:div>
    <w:div w:id="765342238">
      <w:bodyDiv w:val="1"/>
      <w:marLeft w:val="0"/>
      <w:marRight w:val="0"/>
      <w:marTop w:val="0"/>
      <w:marBottom w:val="0"/>
      <w:divBdr>
        <w:top w:val="none" w:sz="0" w:space="0" w:color="auto"/>
        <w:left w:val="none" w:sz="0" w:space="0" w:color="auto"/>
        <w:bottom w:val="none" w:sz="0" w:space="0" w:color="auto"/>
        <w:right w:val="none" w:sz="0" w:space="0" w:color="auto"/>
      </w:divBdr>
    </w:div>
    <w:div w:id="923075040">
      <w:bodyDiv w:val="1"/>
      <w:marLeft w:val="0"/>
      <w:marRight w:val="0"/>
      <w:marTop w:val="0"/>
      <w:marBottom w:val="0"/>
      <w:divBdr>
        <w:top w:val="none" w:sz="0" w:space="0" w:color="auto"/>
        <w:left w:val="none" w:sz="0" w:space="0" w:color="auto"/>
        <w:bottom w:val="none" w:sz="0" w:space="0" w:color="auto"/>
        <w:right w:val="none" w:sz="0" w:space="0" w:color="auto"/>
      </w:divBdr>
    </w:div>
    <w:div w:id="983465412">
      <w:bodyDiv w:val="1"/>
      <w:marLeft w:val="0"/>
      <w:marRight w:val="0"/>
      <w:marTop w:val="0"/>
      <w:marBottom w:val="0"/>
      <w:divBdr>
        <w:top w:val="none" w:sz="0" w:space="0" w:color="auto"/>
        <w:left w:val="none" w:sz="0" w:space="0" w:color="auto"/>
        <w:bottom w:val="none" w:sz="0" w:space="0" w:color="auto"/>
        <w:right w:val="none" w:sz="0" w:space="0" w:color="auto"/>
      </w:divBdr>
    </w:div>
    <w:div w:id="1018510440">
      <w:bodyDiv w:val="1"/>
      <w:marLeft w:val="0"/>
      <w:marRight w:val="0"/>
      <w:marTop w:val="0"/>
      <w:marBottom w:val="0"/>
      <w:divBdr>
        <w:top w:val="none" w:sz="0" w:space="0" w:color="auto"/>
        <w:left w:val="none" w:sz="0" w:space="0" w:color="auto"/>
        <w:bottom w:val="none" w:sz="0" w:space="0" w:color="auto"/>
        <w:right w:val="none" w:sz="0" w:space="0" w:color="auto"/>
      </w:divBdr>
    </w:div>
    <w:div w:id="1041629901">
      <w:bodyDiv w:val="1"/>
      <w:marLeft w:val="0"/>
      <w:marRight w:val="0"/>
      <w:marTop w:val="0"/>
      <w:marBottom w:val="0"/>
      <w:divBdr>
        <w:top w:val="none" w:sz="0" w:space="0" w:color="auto"/>
        <w:left w:val="none" w:sz="0" w:space="0" w:color="auto"/>
        <w:bottom w:val="none" w:sz="0" w:space="0" w:color="auto"/>
        <w:right w:val="none" w:sz="0" w:space="0" w:color="auto"/>
      </w:divBdr>
    </w:div>
    <w:div w:id="1081027511">
      <w:bodyDiv w:val="1"/>
      <w:marLeft w:val="0"/>
      <w:marRight w:val="0"/>
      <w:marTop w:val="0"/>
      <w:marBottom w:val="0"/>
      <w:divBdr>
        <w:top w:val="none" w:sz="0" w:space="0" w:color="auto"/>
        <w:left w:val="none" w:sz="0" w:space="0" w:color="auto"/>
        <w:bottom w:val="none" w:sz="0" w:space="0" w:color="auto"/>
        <w:right w:val="none" w:sz="0" w:space="0" w:color="auto"/>
      </w:divBdr>
    </w:div>
    <w:div w:id="1099452998">
      <w:bodyDiv w:val="1"/>
      <w:marLeft w:val="0"/>
      <w:marRight w:val="0"/>
      <w:marTop w:val="0"/>
      <w:marBottom w:val="0"/>
      <w:divBdr>
        <w:top w:val="none" w:sz="0" w:space="0" w:color="auto"/>
        <w:left w:val="none" w:sz="0" w:space="0" w:color="auto"/>
        <w:bottom w:val="none" w:sz="0" w:space="0" w:color="auto"/>
        <w:right w:val="none" w:sz="0" w:space="0" w:color="auto"/>
      </w:divBdr>
    </w:div>
    <w:div w:id="1175219472">
      <w:bodyDiv w:val="1"/>
      <w:marLeft w:val="0"/>
      <w:marRight w:val="0"/>
      <w:marTop w:val="0"/>
      <w:marBottom w:val="0"/>
      <w:divBdr>
        <w:top w:val="none" w:sz="0" w:space="0" w:color="auto"/>
        <w:left w:val="none" w:sz="0" w:space="0" w:color="auto"/>
        <w:bottom w:val="none" w:sz="0" w:space="0" w:color="auto"/>
        <w:right w:val="none" w:sz="0" w:space="0" w:color="auto"/>
      </w:divBdr>
    </w:div>
    <w:div w:id="1248810051">
      <w:bodyDiv w:val="1"/>
      <w:marLeft w:val="0"/>
      <w:marRight w:val="0"/>
      <w:marTop w:val="0"/>
      <w:marBottom w:val="0"/>
      <w:divBdr>
        <w:top w:val="none" w:sz="0" w:space="0" w:color="auto"/>
        <w:left w:val="none" w:sz="0" w:space="0" w:color="auto"/>
        <w:bottom w:val="none" w:sz="0" w:space="0" w:color="auto"/>
        <w:right w:val="none" w:sz="0" w:space="0" w:color="auto"/>
      </w:divBdr>
    </w:div>
    <w:div w:id="1514370543">
      <w:bodyDiv w:val="1"/>
      <w:marLeft w:val="0"/>
      <w:marRight w:val="0"/>
      <w:marTop w:val="0"/>
      <w:marBottom w:val="0"/>
      <w:divBdr>
        <w:top w:val="none" w:sz="0" w:space="0" w:color="auto"/>
        <w:left w:val="none" w:sz="0" w:space="0" w:color="auto"/>
        <w:bottom w:val="none" w:sz="0" w:space="0" w:color="auto"/>
        <w:right w:val="none" w:sz="0" w:space="0" w:color="auto"/>
      </w:divBdr>
    </w:div>
    <w:div w:id="1611930246">
      <w:bodyDiv w:val="1"/>
      <w:marLeft w:val="0"/>
      <w:marRight w:val="0"/>
      <w:marTop w:val="0"/>
      <w:marBottom w:val="0"/>
      <w:divBdr>
        <w:top w:val="none" w:sz="0" w:space="0" w:color="auto"/>
        <w:left w:val="none" w:sz="0" w:space="0" w:color="auto"/>
        <w:bottom w:val="none" w:sz="0" w:space="0" w:color="auto"/>
        <w:right w:val="none" w:sz="0" w:space="0" w:color="auto"/>
      </w:divBdr>
    </w:div>
    <w:div w:id="1775855506">
      <w:bodyDiv w:val="1"/>
      <w:marLeft w:val="0"/>
      <w:marRight w:val="0"/>
      <w:marTop w:val="0"/>
      <w:marBottom w:val="0"/>
      <w:divBdr>
        <w:top w:val="none" w:sz="0" w:space="0" w:color="auto"/>
        <w:left w:val="none" w:sz="0" w:space="0" w:color="auto"/>
        <w:bottom w:val="none" w:sz="0" w:space="0" w:color="auto"/>
        <w:right w:val="none" w:sz="0" w:space="0" w:color="auto"/>
      </w:divBdr>
    </w:div>
    <w:div w:id="20572685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7A0FE-DE8B-42D8-82A9-53166A2A8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9</Pages>
  <Words>4287</Words>
  <Characters>24436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Hoàng Nhân</cp:lastModifiedBy>
  <cp:revision>17</cp:revision>
  <dcterms:created xsi:type="dcterms:W3CDTF">2025-12-02T09:55:00Z</dcterms:created>
  <dcterms:modified xsi:type="dcterms:W3CDTF">2026-01-05T14:58:00Z</dcterms:modified>
</cp:coreProperties>
</file>