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Brief: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Improving Shipping Reliability Through Route-Level Visibility</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For: Regional Commerce and Distribution Stakeholders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Vipsa Patel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Shipping Route Efficiency Analysis—Nassau Candy Distributor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w:t>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brief summarizes a new route-level shipping analytics system built for Nassau Candy Distributor, a national specialty confections and fine foods distributor operating five factories. The system provides, for the first time, a systematic view of which factory-to-customer shipping routes are performing well, which are not, and why—replacing anecdotal impressions with evidence drawn directly from 10,194 historical orders.</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Was Built</w:t>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audit of the shipment data uncovered a systematic date-recording error that had made shipping timing records unusable at face value. This was diagnosed and corrected, and the correction was validated against known shipping-method logic before being relied upon. On top of the corrected data, the project delivered:</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single Route Efficiency Score (0-100) that blends shipping speed, consistency, and reliability into one number, allowing any two routes, factories, or regions to be compared fairly and consistently.</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interactive dashboard, styled to Nassau Candy’s brand, that lets staff explore performance by factory, region, state, and shipping method—including a live map of shipping flows and an automatically generated, plain-language summary of the most important patterns in whatever slice of data is being viewed.</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Safeguards against misleading conclusions: routes or locations with very little shipment history are excluded from headline comparisons, so a single lucky (or unlucky) shipment cannot distort the picture.</w:t>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Key Findings  </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full shipment history surfaced three findings with direct operational relevance:</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Shipping method matters far more than customer location. There is a 30.9-percentage-point gap in delay rate between the slowest and fastest shipping methods, compared with roughly a 1-percentage-point gap between the four customer regions Nassau Candy ships to. This suggests that the fastest path to improvement is to review how the slower shipping tier is handled operationally, rather than redesigning the factory or regional network.</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Mexico stands out as a specific, addressable bottleneck. Among higher-volume destinations, New Mexico has the highest observed delay rate, at 56.8%—a clear, narrow target for investigation rather than a broad geographic concern.</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Faster shipping is not currently reserved for higher-value orders. Average order value and profit margin are essentially flat across all shipping methods, which rules out a simpler (but harder to act on) explanation for the pattern above—namely, that lower-value orders are deliberately shipped more slowly.</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Recommendations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 a review of the slowest shipping tier (Standard Class)—its carrier agreements, internal handling process, or fulfillment priority—since it is the single largest identified driver of delay across the network.</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a focused operational review of the New Mexico route before considering any broader network or facility change.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monitoring the Sugar Shack factory as its shipment volume grows; its delay rate is currently elevated relative to peer factories, though on a smaller shipment base that warrants continued observations rather than immediate action.</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 the dashboard as a living tool rather than a one-time study because every figure in it recomputes from current shipment data; it should be revisited on a regular cadence as new orders accumulate.</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w:t>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replaces guesswork with a transparent, evidence-based view of shipping performance. It deliberately does not forecast the future or automatically recommend network changes: every figure behind it can be traced back to real, historical orders and checked by hand, which makes it suitable for direct use by non-technical stakeholders. It gives Nassau Candy’s logistics team three concrete, low-risk starting points—a Standard Class process review, a New Mexico investigation, and continued factory monitoring—for improving shipping reliability going forward.</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