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Executive Brief:</w:t>
        <w:br w:type="textWrapping"/>
      </w:r>
      <w:r w:rsidDel="00000000" w:rsidR="00000000" w:rsidRPr="00000000">
        <w:rPr>
          <w:rFonts w:ascii="Times New Roman" w:cs="Times New Roman" w:eastAsia="Times New Roman" w:hAnsi="Times New Roman"/>
          <w:b w:val="1"/>
          <w:bCs w:val="1"/>
          <w:sz w:val="28"/>
          <w:szCs w:val="28"/>
          <w:rtl w:val="0"/>
        </w:rPr>
        <w:t xml:space="preserve">Strengthening Small-Business Resilience in Auckland’s Hospitality Sector Through Data-Driven Channel Strategy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For: </w:t>
      </w:r>
      <w:r w:rsidDel="00000000" w:rsidR="00000000" w:rsidRPr="00000000">
        <w:rPr>
          <w:rFonts w:ascii="Times New Roman" w:cs="Times New Roman" w:eastAsia="Times New Roman" w:hAnsi="Times New Roman"/>
          <w:sz w:val="24"/>
          <w:szCs w:val="24"/>
          <w:rtl w:val="0"/>
        </w:rPr>
        <w:t xml:space="preserve">Regional Economic Development and Small Business Stakeholders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Vipsa Patel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Restaurant Sector Profitability &amp; Delivery Platform Dependency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summarizes the outcome of a profit intelligence project developed for SkyCity Auckland’s restaurant and bar portfolio. The goal was to understand how reliance on third-party food delivery platforms is affecting the profitability of local hospitality businesses and to identify what a more balanced, sustainable channel strategy could look like. The findings have relevance beyond SkyCity itself, since the underlying dynamics—commission pressure from aggregator platforms, thin margins on delivery orders, and limited visibility into channel-level economics—are shared across much of  Auckland’s independent restaurant sector.</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Problem: Platform Dependency is Quietly Eroding Local Margins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restaurants studied, nearly 40% of revenue now flows through Uber Eats alone, with a further 21.6% through DoorDash. Combined, third-party delivery platforms account for over 61% of restaurant revenue—and these platforms charge a commission on every order; that revenue converts to profit far less efficiently than an in-store sale does. The analysis found that in-store orders yield a 37% profit margin, compared to roughly 9% for orders placed through either aggregator platform. </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story about any one restaurant mismanaging its business. It reflects a structural shift in how customers order food, and it means international delivery platforms are capturing a growing share of the value created by local hospitality businesses rather than staying within the regional economy.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the Analysis Found</w:t>
      </w:r>
    </w:p>
    <w:p w:rsidR="00000000" w:rsidDel="00000000" w:rsidP="00000000" w:rsidRDefault="00000000" w:rsidRPr="00000000" w14:paraId="00000019">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295"/>
        <w:tblGridChange w:id="0">
          <w:tblGrid>
            <w:gridCol w:w="3345"/>
            <w:gridCol w:w="529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platform revenue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of revenue via Uber Eats and DoorDash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In-store orders return roughly 4x the  margin of aggregator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Achievable profit uplift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45.4% through rebalanced channel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sensitive cost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expense (OPEX) rate—more influential on profit than commission rate</w:t>
            </w:r>
          </w:p>
        </w:tc>
      </w:tr>
    </w:tbl>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predictive model built on 1,696 restaurant records shows that a more balanced channel mix—one that grows in-store and self-managed delivery volume rather than depending so heavily on aggregator platforms—could increase net profit by over 45%, without requiring any increase in overall order volume or pricing. The analysis also found that operating cost efficiency, not delivery commission alone, is the single largest lever affecting restaurant profitability, which points to a broader opportunity for cost-management support alongside any platform-related policy work.</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 for Regional Economic Policy </w:t>
      </w:r>
    </w:p>
    <w:p w:rsidR="00000000" w:rsidDel="00000000" w:rsidP="00000000" w:rsidRDefault="00000000" w:rsidRPr="00000000" w14:paraId="0000002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economic retention: Every percentage point of revenue that shifts from a 9%-margin aggregator order to a 37%-margin in-store or self-delivery order keeps more value inside the local business and, by extension, the regional economy—supporting local employment and reinvestment rather than platform commissions.</w:t>
      </w:r>
    </w:p>
    <w:p w:rsidR="00000000" w:rsidDel="00000000" w:rsidP="00000000" w:rsidRDefault="00000000" w:rsidRPr="00000000" w14:paraId="00000029">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Small business resilience: Restaurants operating with heavy aggregator dependence are more exposed to unilateral commission changes from platforms they don’t control. The analysis found that a rebalanced channel mix remains profitable even under commission increases well beyond current rates, meaning diversification also functions as a form of economic insurance for small operators.</w:t>
      </w:r>
    </w:p>
    <w:p w:rsidR="00000000" w:rsidDel="00000000" w:rsidP="00000000" w:rsidRDefault="00000000" w:rsidRPr="00000000" w14:paraId="0000002A">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Evidence for informed policy: As commentary around delivery-platform commission caps and small-business protections continues nationally, this kind of restaurant-level economic modeling gives policymakers a concrete, data-backed picture of how much margin compression aggregator dependence is actually causing—rather than relying on anecdotes.</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Practical, Technology-Enabled Approach </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producing a one-time report, this project delivered an interactive decision-support tool that restaurant management can use on an ongoing basis to test channel strategy decisions before committing to them, adjusting channel mix, commission assumptions, or delivery cost, and seeing the projected profit impact immediately. This kind of tool lowers the barrier for small and independent operators to make evidence-based decisions that have historically required data science resources larger businesses take for granted.</w:t>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analysis demonstrates that a meaningful share of the profitability challenge facing Auckland’s hospitality sector is structural and measurable, not incidental. Restaurants that rebalance away from over-reliance on aggregator delivery platforms toward in-store and self-managed channels stand to gain substantially in profitability while becoming more resilient to future commission changes. As the regional conversation around the delivery platform regulation and small business support continues, this kind of restaurant-level economic evidence offers a concrete foundation for policy that is grounded in what is actually happening to local margins—not just what platforms report about their own growth.</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