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32464" w14:textId="4AED2249" w:rsidR="00FB3C69" w:rsidRDefault="002516AB" w:rsidP="002516AB">
      <w:pPr>
        <w:pStyle w:val="Title"/>
        <w:jc w:val="center"/>
        <w:rPr>
          <w:lang w:val="en-US"/>
        </w:rPr>
      </w:pPr>
      <w:r>
        <w:rPr>
          <w:lang w:val="en-US"/>
        </w:rPr>
        <w:t xml:space="preserve">RCM Analytics Project </w:t>
      </w:r>
    </w:p>
    <w:p w14:paraId="4168F38C" w14:textId="77777777" w:rsidR="002516AB" w:rsidRDefault="002516AB" w:rsidP="002516AB">
      <w:pPr>
        <w:rPr>
          <w:lang w:val="en-US"/>
        </w:rPr>
      </w:pPr>
    </w:p>
    <w:p w14:paraId="20558C97" w14:textId="0363C193" w:rsidR="002516AB" w:rsidRPr="002516AB" w:rsidRDefault="002516AB" w:rsidP="002516AB">
      <w:pPr>
        <w:pStyle w:val="Subtitle"/>
        <w:rPr>
          <w:sz w:val="28"/>
          <w:szCs w:val="28"/>
        </w:rPr>
      </w:pPr>
      <w:r w:rsidRPr="002516AB">
        <w:rPr>
          <w:sz w:val="28"/>
          <w:szCs w:val="28"/>
        </w:rPr>
        <w:t>Data Collection</w:t>
      </w:r>
    </w:p>
    <w:p w14:paraId="6A93F74A" w14:textId="1A17BA9F" w:rsidR="002516AB" w:rsidRDefault="002516AB" w:rsidP="002516AB">
      <w:r>
        <w:t xml:space="preserve">Data Was collected from Kaggle </w:t>
      </w:r>
      <w:hyperlink r:id="rId5" w:history="1">
        <w:r w:rsidRPr="002516AB">
          <w:rPr>
            <w:rStyle w:val="Hyperlink"/>
          </w:rPr>
          <w:t>RCM data</w:t>
        </w:r>
      </w:hyperlink>
      <w:r>
        <w:t>.</w:t>
      </w:r>
    </w:p>
    <w:p w14:paraId="2A0A6E53" w14:textId="77777777" w:rsidR="002516AB" w:rsidRDefault="002516AB" w:rsidP="002516AB"/>
    <w:p w14:paraId="6DE69C9B" w14:textId="77777777" w:rsidR="002516AB" w:rsidRPr="002516AB" w:rsidRDefault="002516AB" w:rsidP="002516AB">
      <w:pPr>
        <w:rPr>
          <w:rFonts w:eastAsiaTheme="minorEastAsia"/>
          <w:color w:val="5A5A5A" w:themeColor="text1" w:themeTint="A5"/>
          <w:spacing w:val="15"/>
          <w:sz w:val="28"/>
          <w:szCs w:val="28"/>
        </w:rPr>
      </w:pPr>
      <w:r w:rsidRPr="002516AB">
        <w:rPr>
          <w:rFonts w:eastAsiaTheme="minorEastAsia"/>
          <w:color w:val="5A5A5A" w:themeColor="text1" w:themeTint="A5"/>
          <w:spacing w:val="15"/>
          <w:sz w:val="28"/>
          <w:szCs w:val="28"/>
        </w:rPr>
        <w:t>About Dataset</w:t>
      </w:r>
    </w:p>
    <w:p w14:paraId="4B16C79E" w14:textId="189CDABC" w:rsidR="002516AB" w:rsidRDefault="002516AB" w:rsidP="002516AB">
      <w:r w:rsidRPr="002516AB">
        <w:t xml:space="preserve">This dataset contains randomly generated healthcare claims data intended for training machine learning models that predict the outcome of medical claims. Although the data mimics the structure and variety of typical medical claims, it is entirely synthetic and </w:t>
      </w:r>
      <w:r>
        <w:t>contains no</w:t>
      </w:r>
      <w:r w:rsidRPr="002516AB">
        <w:t xml:space="preserve"> actual patient information.</w:t>
      </w:r>
    </w:p>
    <w:p w14:paraId="10AC8812" w14:textId="45F388CD" w:rsidR="00430430" w:rsidRDefault="00430430" w:rsidP="002516AB"/>
    <w:p w14:paraId="20A6E734" w14:textId="477AAA24" w:rsidR="00430430" w:rsidRDefault="00430430" w:rsidP="002516AB">
      <w:pPr>
        <w:rPr>
          <w:rFonts w:eastAsiaTheme="minorEastAsia"/>
          <w:color w:val="5A5A5A" w:themeColor="text1" w:themeTint="A5"/>
          <w:spacing w:val="15"/>
          <w:sz w:val="28"/>
          <w:szCs w:val="28"/>
        </w:rPr>
      </w:pPr>
      <w:r w:rsidRPr="00430430">
        <w:rPr>
          <w:rFonts w:eastAsiaTheme="minorEastAsia"/>
          <w:color w:val="5A5A5A" w:themeColor="text1" w:themeTint="A5"/>
          <w:spacing w:val="15"/>
          <w:sz w:val="28"/>
          <w:szCs w:val="28"/>
        </w:rPr>
        <w:t>Data Analysis using SQL</w:t>
      </w:r>
    </w:p>
    <w:p w14:paraId="5AB5FBBC" w14:textId="311E8983" w:rsidR="00430430" w:rsidRDefault="00430430" w:rsidP="00430430">
      <w:pPr>
        <w:pStyle w:val="ListParagraph"/>
        <w:numPr>
          <w:ilvl w:val="0"/>
          <w:numId w:val="1"/>
        </w:numPr>
        <w:spacing w:line="240" w:lineRule="auto"/>
      </w:pPr>
      <w:r w:rsidRPr="00430430">
        <w:t xml:space="preserve">Developed and optimized SQL queries to </w:t>
      </w:r>
      <w:proofErr w:type="spellStart"/>
      <w:r w:rsidRPr="00430430">
        <w:t>analyze</w:t>
      </w:r>
      <w:proofErr w:type="spellEnd"/>
      <w:r w:rsidRPr="00430430">
        <w:t xml:space="preserve"> healthcare claims data, including creating tables, checking data quality, and performing data aggregations for reporting purposes.</w:t>
      </w:r>
    </w:p>
    <w:p w14:paraId="0104AD5F" w14:textId="77777777" w:rsidR="00430430" w:rsidRPr="00430430" w:rsidRDefault="00430430" w:rsidP="00430430">
      <w:pPr>
        <w:pStyle w:val="ListParagraph"/>
        <w:spacing w:line="240" w:lineRule="auto"/>
      </w:pPr>
    </w:p>
    <w:p w14:paraId="1D8D1007" w14:textId="7AA5CB18" w:rsidR="00430430" w:rsidRDefault="00430430" w:rsidP="00430430">
      <w:pPr>
        <w:pStyle w:val="ListParagraph"/>
        <w:numPr>
          <w:ilvl w:val="0"/>
          <w:numId w:val="1"/>
        </w:numPr>
        <w:spacing w:line="240" w:lineRule="auto"/>
      </w:pPr>
      <w:r w:rsidRPr="00430430">
        <w:t>Created AR Aging Buckets and calculated Days in AR to track outstanding claims, facilitating better insights into claims aging and payment timelines.</w:t>
      </w:r>
    </w:p>
    <w:p w14:paraId="2CB3C0B3" w14:textId="77777777" w:rsidR="00430430" w:rsidRDefault="00430430" w:rsidP="00430430">
      <w:pPr>
        <w:pStyle w:val="ListParagraph"/>
        <w:spacing w:line="240" w:lineRule="auto"/>
      </w:pPr>
    </w:p>
    <w:p w14:paraId="0B5A9285" w14:textId="77777777" w:rsidR="00430430" w:rsidRPr="00430430" w:rsidRDefault="00430430" w:rsidP="00430430">
      <w:pPr>
        <w:pStyle w:val="ListParagraph"/>
        <w:spacing w:line="240" w:lineRule="auto"/>
      </w:pPr>
    </w:p>
    <w:p w14:paraId="14E472E4" w14:textId="28C570C0" w:rsidR="00430430" w:rsidRDefault="00430430" w:rsidP="00430430">
      <w:pPr>
        <w:pStyle w:val="ListParagraph"/>
        <w:numPr>
          <w:ilvl w:val="0"/>
          <w:numId w:val="1"/>
        </w:numPr>
        <w:spacing w:line="240" w:lineRule="auto"/>
      </w:pPr>
      <w:r w:rsidRPr="00430430">
        <w:t>Conducted in-depth analysis of claim denials, identifying primary denial reasons and calculating denial rates, which improved understanding of revenue cycle inefficiencies.</w:t>
      </w:r>
    </w:p>
    <w:p w14:paraId="0B585F82" w14:textId="77777777" w:rsidR="00430430" w:rsidRPr="00430430" w:rsidRDefault="00430430" w:rsidP="00430430">
      <w:pPr>
        <w:pStyle w:val="ListParagraph"/>
        <w:spacing w:line="240" w:lineRule="auto"/>
      </w:pPr>
    </w:p>
    <w:p w14:paraId="50F1144F" w14:textId="5E0D2403" w:rsidR="00430430" w:rsidRDefault="00430430" w:rsidP="00430430">
      <w:pPr>
        <w:pStyle w:val="ListParagraph"/>
        <w:numPr>
          <w:ilvl w:val="0"/>
          <w:numId w:val="1"/>
        </w:numPr>
        <w:spacing w:line="240" w:lineRule="auto"/>
      </w:pPr>
      <w:r w:rsidRPr="00430430">
        <w:t xml:space="preserve">Generated financial insights by </w:t>
      </w:r>
      <w:proofErr w:type="spellStart"/>
      <w:r w:rsidRPr="00430430">
        <w:t>analyzing</w:t>
      </w:r>
      <w:proofErr w:type="spellEnd"/>
      <w:r w:rsidRPr="00430430">
        <w:t xml:space="preserve"> billed, allowed, and paid amounts across different insurance types and claim statuses, helping highlight trends and performance variations.</w:t>
      </w:r>
    </w:p>
    <w:p w14:paraId="43774078" w14:textId="77777777" w:rsidR="00430430" w:rsidRPr="00430430" w:rsidRDefault="00430430" w:rsidP="00430430">
      <w:pPr>
        <w:pStyle w:val="ListParagraph"/>
        <w:spacing w:line="240" w:lineRule="auto"/>
      </w:pPr>
    </w:p>
    <w:p w14:paraId="27949C4D" w14:textId="4577A8A1" w:rsidR="00430430" w:rsidRDefault="00430430" w:rsidP="00430430">
      <w:pPr>
        <w:pStyle w:val="ListParagraph"/>
        <w:numPr>
          <w:ilvl w:val="0"/>
          <w:numId w:val="1"/>
        </w:numPr>
        <w:spacing w:line="240" w:lineRule="auto"/>
      </w:pPr>
      <w:r w:rsidRPr="00430430">
        <w:t>Tracked monthly billed vs. paid trends and developed summary statistics (e.g., average Days in AR by insurance type) to support financial planning and improve collections strategies.</w:t>
      </w:r>
    </w:p>
    <w:p w14:paraId="5A8ABE5B" w14:textId="77777777" w:rsidR="00430430" w:rsidRDefault="00430430" w:rsidP="00430430">
      <w:pPr>
        <w:pStyle w:val="ListParagraph"/>
      </w:pPr>
    </w:p>
    <w:p w14:paraId="767DFE1E" w14:textId="308D000E" w:rsidR="00430430" w:rsidRDefault="00430430" w:rsidP="00430430">
      <w:pPr>
        <w:spacing w:line="240" w:lineRule="auto"/>
      </w:pPr>
      <w:r>
        <w:t xml:space="preserve">For detailed Analysis please check the </w:t>
      </w:r>
      <w:hyperlink r:id="rId6" w:history="1">
        <w:r>
          <w:rPr>
            <w:rStyle w:val="Hyperlink"/>
          </w:rPr>
          <w:t>GitHub</w:t>
        </w:r>
      </w:hyperlink>
      <w:r>
        <w:t xml:space="preserve"> Page. </w:t>
      </w:r>
    </w:p>
    <w:p w14:paraId="7659EF1F" w14:textId="77777777" w:rsidR="00925674" w:rsidRDefault="00925674" w:rsidP="00430430">
      <w:pPr>
        <w:spacing w:line="240" w:lineRule="auto"/>
      </w:pPr>
    </w:p>
    <w:p w14:paraId="4FB6A0E5" w14:textId="62D939EB" w:rsidR="00430430" w:rsidRDefault="00430430" w:rsidP="002516AB">
      <w:p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 xml:space="preserve">Dashboard building using </w:t>
      </w:r>
      <w:proofErr w:type="spellStart"/>
      <w:r>
        <w:rPr>
          <w:rFonts w:eastAsiaTheme="minorEastAsia"/>
          <w:color w:val="5A5A5A" w:themeColor="text1" w:themeTint="A5"/>
          <w:spacing w:val="15"/>
          <w:sz w:val="28"/>
          <w:szCs w:val="28"/>
        </w:rPr>
        <w:t>PowerBI</w:t>
      </w:r>
      <w:proofErr w:type="spellEnd"/>
    </w:p>
    <w:p w14:paraId="2296C190" w14:textId="77777777" w:rsidR="00430430" w:rsidRDefault="00430430" w:rsidP="002516AB">
      <w:pPr>
        <w:rPr>
          <w:rFonts w:eastAsiaTheme="minorEastAsia"/>
          <w:color w:val="5A5A5A" w:themeColor="text1" w:themeTint="A5"/>
          <w:spacing w:val="15"/>
          <w:sz w:val="28"/>
          <w:szCs w:val="28"/>
        </w:rPr>
      </w:pPr>
    </w:p>
    <w:p w14:paraId="53397FF3" w14:textId="66B827D5" w:rsidR="00925674" w:rsidRDefault="00925674" w:rsidP="00925674">
      <w:pPr>
        <w:pStyle w:val="ListParagraph"/>
        <w:numPr>
          <w:ilvl w:val="0"/>
          <w:numId w:val="2"/>
        </w:numPr>
        <w:spacing w:line="240" w:lineRule="auto"/>
      </w:pPr>
      <w:r w:rsidRPr="00925674">
        <w:t xml:space="preserve">Built an interactive </w:t>
      </w:r>
      <w:proofErr w:type="spellStart"/>
      <w:r w:rsidRPr="00925674">
        <w:t>PowerBI</w:t>
      </w:r>
      <w:proofErr w:type="spellEnd"/>
      <w:r w:rsidRPr="00925674">
        <w:t xml:space="preserve"> dashboard to track key metrics such as Total Claims, Total AR, Denial Rate, and Average Days in AR, improving transparency in revenue cycle performance.</w:t>
      </w:r>
    </w:p>
    <w:p w14:paraId="0D043591" w14:textId="77777777" w:rsidR="00925674" w:rsidRPr="00925674" w:rsidRDefault="00925674" w:rsidP="00925674">
      <w:pPr>
        <w:pStyle w:val="ListParagraph"/>
        <w:spacing w:line="240" w:lineRule="auto"/>
      </w:pPr>
    </w:p>
    <w:p w14:paraId="5FEE6E3C" w14:textId="4E8B97D1" w:rsidR="00925674" w:rsidRDefault="00925674" w:rsidP="00925674">
      <w:pPr>
        <w:pStyle w:val="ListParagraph"/>
        <w:numPr>
          <w:ilvl w:val="0"/>
          <w:numId w:val="2"/>
        </w:numPr>
        <w:spacing w:line="240" w:lineRule="auto"/>
      </w:pPr>
      <w:r w:rsidRPr="00925674">
        <w:t>Designed dynamic AR Aging Buckets and Denial Rate calculations using DAX formulas, enabling detailed insights into claims aging and denial patterns.</w:t>
      </w:r>
    </w:p>
    <w:p w14:paraId="5E19ECAE" w14:textId="77777777" w:rsidR="00925674" w:rsidRDefault="00925674" w:rsidP="00925674">
      <w:pPr>
        <w:pStyle w:val="ListParagraph"/>
      </w:pPr>
    </w:p>
    <w:p w14:paraId="720C54B1" w14:textId="77777777" w:rsidR="00925674" w:rsidRPr="00925674" w:rsidRDefault="00925674" w:rsidP="00925674">
      <w:pPr>
        <w:pStyle w:val="ListParagraph"/>
        <w:spacing w:line="240" w:lineRule="auto"/>
      </w:pPr>
    </w:p>
    <w:p w14:paraId="5907CF48" w14:textId="7D020E3F" w:rsidR="00925674" w:rsidRDefault="00925674" w:rsidP="00925674">
      <w:pPr>
        <w:pStyle w:val="ListParagraph"/>
        <w:numPr>
          <w:ilvl w:val="0"/>
          <w:numId w:val="2"/>
        </w:numPr>
        <w:spacing w:line="240" w:lineRule="auto"/>
      </w:pPr>
      <w:r w:rsidRPr="00925674">
        <w:lastRenderedPageBreak/>
        <w:t>Visualized denial trends and top denial reasons with line charts and pie charts, providing stakeholders with a clear view of denial rates over time and major denial reasons, enhancing decision-making capabilities.</w:t>
      </w:r>
    </w:p>
    <w:p w14:paraId="6AB529FF" w14:textId="77777777" w:rsidR="00925674" w:rsidRPr="00925674" w:rsidRDefault="00925674" w:rsidP="00925674">
      <w:pPr>
        <w:pStyle w:val="ListParagraph"/>
        <w:spacing w:line="240" w:lineRule="auto"/>
      </w:pPr>
    </w:p>
    <w:p w14:paraId="1BA7F50B" w14:textId="719656FA" w:rsidR="00925674" w:rsidRDefault="00925674" w:rsidP="00925674">
      <w:pPr>
        <w:pStyle w:val="ListParagraph"/>
        <w:numPr>
          <w:ilvl w:val="0"/>
          <w:numId w:val="2"/>
        </w:numPr>
        <w:spacing w:line="240" w:lineRule="auto"/>
      </w:pPr>
      <w:r w:rsidRPr="00925674">
        <w:t>Implemented advanced visualizations like a stacked column chart to display Total AR across aging buckets, allowing quick identification of high-value aged claims.</w:t>
      </w:r>
    </w:p>
    <w:p w14:paraId="70FF2018" w14:textId="77777777" w:rsidR="00925674" w:rsidRDefault="00925674" w:rsidP="00925674">
      <w:pPr>
        <w:pStyle w:val="ListParagraph"/>
      </w:pPr>
    </w:p>
    <w:p w14:paraId="4F9A641A" w14:textId="77777777" w:rsidR="00925674" w:rsidRPr="00925674" w:rsidRDefault="00925674" w:rsidP="00925674">
      <w:pPr>
        <w:pStyle w:val="ListParagraph"/>
        <w:spacing w:line="240" w:lineRule="auto"/>
      </w:pPr>
    </w:p>
    <w:p w14:paraId="312F94EB" w14:textId="500AE549" w:rsidR="00430430" w:rsidRDefault="00925674" w:rsidP="00925674">
      <w:pPr>
        <w:pStyle w:val="ListParagraph"/>
        <w:numPr>
          <w:ilvl w:val="0"/>
          <w:numId w:val="2"/>
        </w:numPr>
        <w:spacing w:line="240" w:lineRule="auto"/>
      </w:pPr>
      <w:r w:rsidRPr="00925674">
        <w:t>Enabled data filtering with slicers for date and insurance type, improving dashboard usability for detailed analysis and empowering end-users to tailor insights based on specific parameters.</w:t>
      </w:r>
    </w:p>
    <w:p w14:paraId="2784D170" w14:textId="77777777" w:rsidR="00925674" w:rsidRDefault="00925674" w:rsidP="00925674">
      <w:pPr>
        <w:spacing w:line="240" w:lineRule="auto"/>
      </w:pPr>
    </w:p>
    <w:p w14:paraId="2449E2C6" w14:textId="32C440BD" w:rsidR="00925674" w:rsidRDefault="00925674" w:rsidP="00925674">
      <w:pPr>
        <w:spacing w:line="240" w:lineRule="auto"/>
      </w:pPr>
      <w:r>
        <w:t>The dashboard looks something like this</w:t>
      </w:r>
      <w:r>
        <w:br/>
      </w:r>
      <w:r>
        <w:br/>
      </w:r>
      <w:r w:rsidRPr="00925674">
        <w:drawing>
          <wp:inline distT="0" distB="0" distL="0" distR="0" wp14:anchorId="2DF4683B" wp14:editId="088D81D7">
            <wp:extent cx="5731510" cy="3218180"/>
            <wp:effectExtent l="0" t="0" r="2540" b="1270"/>
            <wp:docPr id="131120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03086" name=""/>
                    <pic:cNvPicPr/>
                  </pic:nvPicPr>
                  <pic:blipFill>
                    <a:blip r:embed="rId7"/>
                    <a:stretch>
                      <a:fillRect/>
                    </a:stretch>
                  </pic:blipFill>
                  <pic:spPr>
                    <a:xfrm>
                      <a:off x="0" y="0"/>
                      <a:ext cx="5731510" cy="3218180"/>
                    </a:xfrm>
                    <a:prstGeom prst="rect">
                      <a:avLst/>
                    </a:prstGeom>
                  </pic:spPr>
                </pic:pic>
              </a:graphicData>
            </a:graphic>
          </wp:inline>
        </w:drawing>
      </w:r>
    </w:p>
    <w:p w14:paraId="3B2E5504" w14:textId="77777777" w:rsidR="00925674" w:rsidRDefault="00925674" w:rsidP="00925674">
      <w:pPr>
        <w:spacing w:line="240" w:lineRule="auto"/>
      </w:pPr>
    </w:p>
    <w:p w14:paraId="318B533F" w14:textId="5C504BA0" w:rsidR="00925674" w:rsidRPr="00925674" w:rsidRDefault="00925674" w:rsidP="00925674">
      <w:pPr>
        <w:spacing w:line="240" w:lineRule="auto"/>
      </w:pPr>
      <w:r>
        <w:t xml:space="preserve">Click on </w:t>
      </w:r>
      <w:hyperlink r:id="rId8" w:history="1">
        <w:proofErr w:type="spellStart"/>
        <w:r w:rsidRPr="00925674">
          <w:rPr>
            <w:rStyle w:val="Hyperlink"/>
          </w:rPr>
          <w:t>PowerBI</w:t>
        </w:r>
        <w:proofErr w:type="spellEnd"/>
      </w:hyperlink>
      <w:r>
        <w:t xml:space="preserve"> to download and view the dashboard.</w:t>
      </w:r>
    </w:p>
    <w:sectPr w:rsidR="00925674" w:rsidRPr="00925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A735C"/>
    <w:multiLevelType w:val="hybridMultilevel"/>
    <w:tmpl w:val="62D4F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74E96"/>
    <w:multiLevelType w:val="hybridMultilevel"/>
    <w:tmpl w:val="59347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121255">
    <w:abstractNumId w:val="1"/>
  </w:num>
  <w:num w:numId="2" w16cid:durableId="185853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AB"/>
    <w:rsid w:val="000829E7"/>
    <w:rsid w:val="002516AB"/>
    <w:rsid w:val="00430430"/>
    <w:rsid w:val="00925674"/>
    <w:rsid w:val="00FB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64834"/>
  <w15:chartTrackingRefBased/>
  <w15:docId w15:val="{C9B88DCE-45F7-4BB1-901D-BBB42ED0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16AB"/>
    <w:rPr>
      <w:rFonts w:eastAsiaTheme="minorEastAsia"/>
      <w:color w:val="5A5A5A" w:themeColor="text1" w:themeTint="A5"/>
      <w:spacing w:val="15"/>
    </w:rPr>
  </w:style>
  <w:style w:type="character" w:styleId="Hyperlink">
    <w:name w:val="Hyperlink"/>
    <w:basedOn w:val="DefaultParagraphFont"/>
    <w:uiPriority w:val="99"/>
    <w:unhideWhenUsed/>
    <w:rsid w:val="002516AB"/>
    <w:rPr>
      <w:color w:val="0563C1" w:themeColor="hyperlink"/>
      <w:u w:val="single"/>
    </w:rPr>
  </w:style>
  <w:style w:type="character" w:styleId="UnresolvedMention">
    <w:name w:val="Unresolved Mention"/>
    <w:basedOn w:val="DefaultParagraphFont"/>
    <w:uiPriority w:val="99"/>
    <w:semiHidden/>
    <w:unhideWhenUsed/>
    <w:rsid w:val="002516AB"/>
    <w:rPr>
      <w:color w:val="605E5C"/>
      <w:shd w:val="clear" w:color="auto" w:fill="E1DFDD"/>
    </w:rPr>
  </w:style>
  <w:style w:type="paragraph" w:styleId="ListParagraph">
    <w:name w:val="List Paragraph"/>
    <w:basedOn w:val="Normal"/>
    <w:uiPriority w:val="34"/>
    <w:qFormat/>
    <w:rsid w:val="0043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15107">
      <w:bodyDiv w:val="1"/>
      <w:marLeft w:val="0"/>
      <w:marRight w:val="0"/>
      <w:marTop w:val="0"/>
      <w:marBottom w:val="0"/>
      <w:divBdr>
        <w:top w:val="none" w:sz="0" w:space="0" w:color="auto"/>
        <w:left w:val="none" w:sz="0" w:space="0" w:color="auto"/>
        <w:bottom w:val="none" w:sz="0" w:space="0" w:color="auto"/>
        <w:right w:val="none" w:sz="0" w:space="0" w:color="auto"/>
      </w:divBdr>
    </w:div>
    <w:div w:id="618948982">
      <w:bodyDiv w:val="1"/>
      <w:marLeft w:val="0"/>
      <w:marRight w:val="0"/>
      <w:marTop w:val="0"/>
      <w:marBottom w:val="0"/>
      <w:divBdr>
        <w:top w:val="none" w:sz="0" w:space="0" w:color="auto"/>
        <w:left w:val="none" w:sz="0" w:space="0" w:color="auto"/>
        <w:bottom w:val="none" w:sz="0" w:space="0" w:color="auto"/>
        <w:right w:val="none" w:sz="0" w:space="0" w:color="auto"/>
      </w:divBdr>
      <w:divsChild>
        <w:div w:id="2028754459">
          <w:marLeft w:val="0"/>
          <w:marRight w:val="0"/>
          <w:marTop w:val="0"/>
          <w:marBottom w:val="0"/>
          <w:divBdr>
            <w:top w:val="none" w:sz="0" w:space="0" w:color="auto"/>
            <w:left w:val="none" w:sz="0" w:space="0" w:color="auto"/>
            <w:bottom w:val="none" w:sz="0" w:space="0" w:color="auto"/>
            <w:right w:val="none" w:sz="0" w:space="0" w:color="auto"/>
          </w:divBdr>
          <w:divsChild>
            <w:div w:id="1816607801">
              <w:marLeft w:val="0"/>
              <w:marRight w:val="180"/>
              <w:marTop w:val="0"/>
              <w:marBottom w:val="0"/>
              <w:divBdr>
                <w:top w:val="none" w:sz="0" w:space="0" w:color="auto"/>
                <w:left w:val="none" w:sz="0" w:space="0" w:color="auto"/>
                <w:bottom w:val="none" w:sz="0" w:space="0" w:color="auto"/>
                <w:right w:val="none" w:sz="0" w:space="0" w:color="auto"/>
              </w:divBdr>
              <w:divsChild>
                <w:div w:id="16870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375">
          <w:marLeft w:val="0"/>
          <w:marRight w:val="0"/>
          <w:marTop w:val="0"/>
          <w:marBottom w:val="0"/>
          <w:divBdr>
            <w:top w:val="none" w:sz="0" w:space="0" w:color="auto"/>
            <w:left w:val="none" w:sz="0" w:space="0" w:color="auto"/>
            <w:bottom w:val="none" w:sz="0" w:space="0" w:color="auto"/>
            <w:right w:val="none" w:sz="0" w:space="0" w:color="auto"/>
          </w:divBdr>
          <w:divsChild>
            <w:div w:id="1065418880">
              <w:marLeft w:val="0"/>
              <w:marRight w:val="0"/>
              <w:marTop w:val="0"/>
              <w:marBottom w:val="0"/>
              <w:divBdr>
                <w:top w:val="none" w:sz="0" w:space="0" w:color="auto"/>
                <w:left w:val="none" w:sz="0" w:space="0" w:color="auto"/>
                <w:bottom w:val="none" w:sz="0" w:space="0" w:color="auto"/>
                <w:right w:val="none" w:sz="0" w:space="0" w:color="auto"/>
              </w:divBdr>
              <w:divsChild>
                <w:div w:id="101340541">
                  <w:marLeft w:val="0"/>
                  <w:marRight w:val="0"/>
                  <w:marTop w:val="0"/>
                  <w:marBottom w:val="0"/>
                  <w:divBdr>
                    <w:top w:val="none" w:sz="0" w:space="0" w:color="auto"/>
                    <w:left w:val="none" w:sz="0" w:space="0" w:color="auto"/>
                    <w:bottom w:val="none" w:sz="0" w:space="0" w:color="auto"/>
                    <w:right w:val="none" w:sz="0" w:space="0" w:color="auto"/>
                  </w:divBdr>
                  <w:divsChild>
                    <w:div w:id="1704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3919">
      <w:bodyDiv w:val="1"/>
      <w:marLeft w:val="0"/>
      <w:marRight w:val="0"/>
      <w:marTop w:val="0"/>
      <w:marBottom w:val="0"/>
      <w:divBdr>
        <w:top w:val="none" w:sz="0" w:space="0" w:color="auto"/>
        <w:left w:val="none" w:sz="0" w:space="0" w:color="auto"/>
        <w:bottom w:val="none" w:sz="0" w:space="0" w:color="auto"/>
        <w:right w:val="none" w:sz="0" w:space="0" w:color="auto"/>
      </w:divBdr>
    </w:div>
    <w:div w:id="1166940759">
      <w:bodyDiv w:val="1"/>
      <w:marLeft w:val="0"/>
      <w:marRight w:val="0"/>
      <w:marTop w:val="0"/>
      <w:marBottom w:val="0"/>
      <w:divBdr>
        <w:top w:val="none" w:sz="0" w:space="0" w:color="auto"/>
        <w:left w:val="none" w:sz="0" w:space="0" w:color="auto"/>
        <w:bottom w:val="none" w:sz="0" w:space="0" w:color="auto"/>
        <w:right w:val="none" w:sz="0" w:space="0" w:color="auto"/>
      </w:divBdr>
    </w:div>
    <w:div w:id="1406295117">
      <w:bodyDiv w:val="1"/>
      <w:marLeft w:val="0"/>
      <w:marRight w:val="0"/>
      <w:marTop w:val="0"/>
      <w:marBottom w:val="0"/>
      <w:divBdr>
        <w:top w:val="none" w:sz="0" w:space="0" w:color="auto"/>
        <w:left w:val="none" w:sz="0" w:space="0" w:color="auto"/>
        <w:bottom w:val="none" w:sz="0" w:space="0" w:color="auto"/>
        <w:right w:val="none" w:sz="0" w:space="0" w:color="auto"/>
      </w:divBdr>
      <w:divsChild>
        <w:div w:id="1254391271">
          <w:marLeft w:val="0"/>
          <w:marRight w:val="0"/>
          <w:marTop w:val="0"/>
          <w:marBottom w:val="0"/>
          <w:divBdr>
            <w:top w:val="none" w:sz="0" w:space="0" w:color="auto"/>
            <w:left w:val="none" w:sz="0" w:space="0" w:color="auto"/>
            <w:bottom w:val="none" w:sz="0" w:space="0" w:color="auto"/>
            <w:right w:val="none" w:sz="0" w:space="0" w:color="auto"/>
          </w:divBdr>
          <w:divsChild>
            <w:div w:id="1845701767">
              <w:marLeft w:val="0"/>
              <w:marRight w:val="180"/>
              <w:marTop w:val="0"/>
              <w:marBottom w:val="0"/>
              <w:divBdr>
                <w:top w:val="none" w:sz="0" w:space="0" w:color="auto"/>
                <w:left w:val="none" w:sz="0" w:space="0" w:color="auto"/>
                <w:bottom w:val="none" w:sz="0" w:space="0" w:color="auto"/>
                <w:right w:val="none" w:sz="0" w:space="0" w:color="auto"/>
              </w:divBdr>
              <w:divsChild>
                <w:div w:id="1146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836">
          <w:marLeft w:val="0"/>
          <w:marRight w:val="0"/>
          <w:marTop w:val="0"/>
          <w:marBottom w:val="0"/>
          <w:divBdr>
            <w:top w:val="none" w:sz="0" w:space="0" w:color="auto"/>
            <w:left w:val="none" w:sz="0" w:space="0" w:color="auto"/>
            <w:bottom w:val="none" w:sz="0" w:space="0" w:color="auto"/>
            <w:right w:val="none" w:sz="0" w:space="0" w:color="auto"/>
          </w:divBdr>
          <w:divsChild>
            <w:div w:id="583808673">
              <w:marLeft w:val="0"/>
              <w:marRight w:val="0"/>
              <w:marTop w:val="0"/>
              <w:marBottom w:val="0"/>
              <w:divBdr>
                <w:top w:val="none" w:sz="0" w:space="0" w:color="auto"/>
                <w:left w:val="none" w:sz="0" w:space="0" w:color="auto"/>
                <w:bottom w:val="none" w:sz="0" w:space="0" w:color="auto"/>
                <w:right w:val="none" w:sz="0" w:space="0" w:color="auto"/>
              </w:divBdr>
              <w:divsChild>
                <w:div w:id="475952604">
                  <w:marLeft w:val="0"/>
                  <w:marRight w:val="0"/>
                  <w:marTop w:val="0"/>
                  <w:marBottom w:val="0"/>
                  <w:divBdr>
                    <w:top w:val="none" w:sz="0" w:space="0" w:color="auto"/>
                    <w:left w:val="none" w:sz="0" w:space="0" w:color="auto"/>
                    <w:bottom w:val="none" w:sz="0" w:space="0" w:color="auto"/>
                    <w:right w:val="none" w:sz="0" w:space="0" w:color="auto"/>
                  </w:divBdr>
                  <w:divsChild>
                    <w:div w:id="9342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988">
      <w:bodyDiv w:val="1"/>
      <w:marLeft w:val="0"/>
      <w:marRight w:val="0"/>
      <w:marTop w:val="0"/>
      <w:marBottom w:val="0"/>
      <w:divBdr>
        <w:top w:val="none" w:sz="0" w:space="0" w:color="auto"/>
        <w:left w:val="none" w:sz="0" w:space="0" w:color="auto"/>
        <w:bottom w:val="none" w:sz="0" w:space="0" w:color="auto"/>
        <w:right w:val="none" w:sz="0" w:space="0" w:color="auto"/>
      </w:divBdr>
    </w:div>
    <w:div w:id="20638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pulJadhav26/PowerBI-Projects/blob/main/RCM%20Analytics.pbi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pulJadhav26/PowerBI-Projects/blob/main/EDA%20queries.sql" TargetMode="External"/><Relationship Id="rId5" Type="http://schemas.openxmlformats.org/officeDocument/2006/relationships/hyperlink" Target="https://www.kaggle.com/datasets/abuthahir1998/synthetic-healthcare-claim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381</Words>
  <Characters>2290</Characters>
  <Application>Microsoft Office Word</Application>
  <DocSecurity>0</DocSecurity>
  <Lines>63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jadhav</dc:creator>
  <cp:keywords/>
  <dc:description/>
  <cp:lastModifiedBy>vipul jadhav</cp:lastModifiedBy>
  <cp:revision>1</cp:revision>
  <dcterms:created xsi:type="dcterms:W3CDTF">2024-11-04T14:44:00Z</dcterms:created>
  <dcterms:modified xsi:type="dcterms:W3CDTF">2024-11-04T15:11:00Z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a05ba840-a0b7-4812-a346-a0d515476e63</vt:lpwstr>
  </property>
</Properties>
</file>