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5E8C"/>
          <w:sz w:val="34"/>
          <w:szCs w:val="34"/>
        </w:rPr>
        <w:t xml:space="preserve">City Operations Risk Monitor — Data Model</w:t>
      </w:r>
    </w:p>
    <w:p>
      <w:pPr>
        <w:pBdr>
          <w:bottom w:val="single" w:color="2E5E8C" w:sz="8" w:space="6"/>
        </w:pBdr>
        <w:spacing w:after="200"/>
      </w:pPr>
      <w:r>
        <w:rPr>
          <w:rFonts w:ascii="Arial" w:cs="Arial" w:eastAsia="Arial" w:hAnsi="Arial"/>
          <w:color w:val="52606D"/>
          <w:sz w:val="18"/>
          <w:szCs w:val="18"/>
        </w:rPr>
        <w:t xml:space="preserve">Star schema · 8 Indian cities · daily grain · 1 Oct 2024 – 30 Sep 2026 · Source: Open-Meteo (Historical Weather + Air Quality)</w:t>
      </w:r>
    </w:p>
    <w:p>
      <w:pPr>
        <w:spacing w:after="160"/>
        <w:jc w:val="center"/>
      </w:pPr>
      <w:r>
        <w:drawing>
          <wp:inline distT="0" distB="0" distL="0" distR="0">
            <wp:extent cx="9144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2E5E8C"/>
          <w:sz w:val="20"/>
          <w:szCs w:val="20"/>
        </w:rPr>
        <w:t xml:space="preserve">■ </w:t>
      </w:r>
      <w:r>
        <w:rPr>
          <w:sz w:val="18"/>
          <w:szCs w:val="18"/>
        </w:rPr>
        <w:t xml:space="preserve">Dimensions     </w:t>
      </w:r>
      <w:r>
        <w:rPr>
          <w:color w:val="B5651D"/>
          <w:sz w:val="20"/>
          <w:szCs w:val="20"/>
        </w:rPr>
        <w:t xml:space="preserve">■ </w:t>
      </w:r>
      <w:r>
        <w:rPr>
          <w:sz w:val="18"/>
          <w:szCs w:val="18"/>
        </w:rPr>
        <w:t xml:space="preserve">Source facts     </w:t>
      </w:r>
      <w:r>
        <w:rPr>
          <w:color w:val="7A3E9D"/>
          <w:sz w:val="20"/>
          <w:szCs w:val="20"/>
        </w:rPr>
        <w:t xml:space="preserve">■ </w:t>
      </w:r>
      <w:r>
        <w:rPr>
          <w:sz w:val="18"/>
          <w:szCs w:val="18"/>
        </w:rPr>
        <w:t xml:space="preserve">Integrated fact     </w:t>
      </w:r>
      <w:r>
        <w:rPr>
          <w:color w:val="2F7D4F"/>
          <w:sz w:val="20"/>
          <w:szCs w:val="20"/>
        </w:rPr>
        <w:t xml:space="preserve">■ </w:t>
      </w:r>
      <w:r>
        <w:rPr>
          <w:sz w:val="18"/>
          <w:szCs w:val="18"/>
        </w:rPr>
        <w:t xml:space="preserve">Aggregate mart     </w:t>
      </w:r>
      <w:r>
        <w:rPr>
          <w:color w:val="6B6B6B"/>
          <w:sz w:val="20"/>
          <w:szCs w:val="20"/>
        </w:rPr>
        <w:t xml:space="preserve">■ </w:t>
      </w:r>
      <w:r>
        <w:rPr>
          <w:sz w:val="18"/>
          <w:szCs w:val="18"/>
        </w:rPr>
        <w:t xml:space="preserve">Data-quality log</w:t>
      </w:r>
    </w:p>
    <w:p>
      <w:pPr>
        <w:spacing w:before="60"/>
        <w:jc w:val="center"/>
      </w:pPr>
      <w:r>
        <w:rPr>
          <w:i/>
          <w:iCs/>
          <w:color w:val="52606D"/>
          <w:sz w:val="17"/>
          <w:szCs w:val="17"/>
        </w:rPr>
        <w:t xml:space="preserve">Solid lines: one-to-many (dimension → fact).   Dashed lines: data flow (source facts → integrated fact → monthly mart).</w:t>
      </w:r>
    </w:p>
    <w:sectPr>
      <w:pgSz w:w="16838" w:h="11906" w:orient="landscape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4cc64257f0aa9d8037e2a680e8998ea4e54c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2026-10-05T10:39:07.029Z</dcterms:created>
  <dcterms:modified xsi:type="dcterms:W3CDTF">2026-10-05T10:39:07.031Z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