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00A8E8"/>
          <w:sz w:val="34"/>
          <w:szCs w:val="34"/>
        </w:rPr>
        <w:t xml:space="preserve">CREODE</w:t>
      </w:r>
    </w:p>
    <w:p>
      <w:pPr>
        <w:spacing w:after="40"/>
        <w:jc w:val="center"/>
      </w:pPr>
      <w:r>
        <w:rPr>
          <w:b/>
          <w:bCs/>
          <w:color w:val="1A1A2E"/>
          <w:sz w:val="30"/>
          <w:szCs w:val="30"/>
        </w:rPr>
        <w:t xml:space="preserve">Documentation</w:t>
      </w:r>
    </w:p>
    <w:p>
      <w:pPr>
        <w:spacing w:after="400"/>
        <w:jc w:val="center"/>
      </w:pPr>
      <w:r>
        <w:rPr>
          <w:i/>
          <w:iCs/>
          <w:color w:val="555555"/>
          <w:sz w:val="20"/>
          <w:szCs w:val="20"/>
        </w:rPr>
        <w:t xml:space="preserve">How Creode works: Vault, Earn, P2P, Governance, and the contracts behind them  •  Hedera Testnet (chain 296)</w:t>
      </w:r>
    </w:p>
    <w:p>
      <w:pPr>
        <w:pStyle w:val="Heading1"/>
        <w:pBdr>
          <w:bottom w:val="single" w:color="00A8E8" w:sz="8" w:space="4"/>
        </w:pBdr>
        <w:spacing w:after="160" w:before="480"/>
      </w:pPr>
      <w:r>
        <w:rPr>
          <w:b/>
          <w:bCs/>
          <w:color w:val="1A1A2E"/>
          <w:sz w:val="30"/>
          <w:szCs w:val="30"/>
        </w:rPr>
        <w:t xml:space="preserve">Overview</w:t>
      </w:r>
    </w:p>
    <w:p>
      <w:pPr>
        <w:spacing w:after="160" w:line="300"/>
      </w:pPr>
      <w:r>
        <w:rPr>
          <w:b/>
          <w:bCs/>
          <w:i w:val="false"/>
          <w:iCs w:val="false"/>
          <w:sz w:val="22"/>
          <w:szCs w:val="22"/>
        </w:rPr>
        <w:t xml:space="preserve">Creode</w:t>
      </w:r>
      <w:r>
        <w:rPr>
          <w:sz w:val="22"/>
          <w:szCs w:val="22"/>
        </w:rPr>
        <w:t xml:space="preserve"> is a DeFi protocol on Hedera bundling savings, yield, trading and governance behind one non-custodial app. Everything settles on-chain. The app never holds your keys or funds.</w:t>
      </w:r>
    </w:p>
    <w:p>
      <w:pPr>
        <w:pStyle w:val="ListParagraph"/>
        <w:numPr>
          <w:ilvl w:val="0"/>
          <w:numId w:val="2"/>
        </w:numPr>
        <w:spacing w:after="90" w:line="280"/>
      </w:pPr>
      <w:r>
        <w:rPr>
          <w:b/>
          <w:bCs/>
          <w:sz w:val="22"/>
          <w:szCs w:val="22"/>
        </w:rPr>
        <w:t xml:space="preserve">Vault: </w:t>
      </w:r>
      <w:r>
        <w:rPr>
          <w:sz w:val="22"/>
          <w:szCs w:val="22"/>
        </w:rPr>
        <w:t xml:space="preserve">time-locked savings that pay a fixed APY by asset tier.</w:t>
      </w:r>
    </w:p>
    <w:p>
      <w:pPr>
        <w:pStyle w:val="ListParagraph"/>
        <w:numPr>
          <w:ilvl w:val="0"/>
          <w:numId w:val="2"/>
        </w:numPr>
        <w:spacing w:after="90" w:line="280"/>
      </w:pPr>
      <w:r>
        <w:rPr>
          <w:b/>
          <w:bCs/>
          <w:sz w:val="22"/>
          <w:szCs w:val="22"/>
        </w:rPr>
        <w:t xml:space="preserve">Earn (Yield Hub): </w:t>
      </w:r>
      <w:r>
        <w:rPr>
          <w:sz w:val="22"/>
          <w:szCs w:val="22"/>
        </w:rPr>
        <w:t xml:space="preserve">one-token “auto-zap” into balanced dual-token yield positions, with manual or hands-off auto-compounding (native, keeperless, via Hedera HIP-1215).</w:t>
      </w:r>
    </w:p>
    <w:p>
      <w:pPr>
        <w:pStyle w:val="ListParagraph"/>
        <w:numPr>
          <w:ilvl w:val="0"/>
          <w:numId w:val="2"/>
        </w:numPr>
        <w:spacing w:after="90" w:line="280"/>
      </w:pPr>
      <w:r>
        <w:rPr>
          <w:b/>
          <w:bCs/>
          <w:sz w:val="22"/>
          <w:szCs w:val="22"/>
        </w:rPr>
        <w:t xml:space="preserve">P2P Trading: </w:t>
      </w:r>
      <w:r>
        <w:rPr>
          <w:sz w:val="22"/>
          <w:szCs w:val="22"/>
        </w:rPr>
        <w:t xml:space="preserve">an on-chain order-book spot exchange with escrowed limit orders.</w:t>
      </w:r>
    </w:p>
    <w:p>
      <w:pPr>
        <w:pStyle w:val="ListParagraph"/>
        <w:numPr>
          <w:ilvl w:val="0"/>
          <w:numId w:val="2"/>
        </w:numPr>
        <w:spacing w:after="90" w:line="280"/>
      </w:pPr>
      <w:r>
        <w:rPr>
          <w:b/>
          <w:bCs/>
          <w:sz w:val="22"/>
          <w:szCs w:val="22"/>
        </w:rPr>
        <w:t xml:space="preserve">Community Governance: </w:t>
      </w:r>
      <w:r>
        <w:rPr>
          <w:sz w:val="22"/>
          <w:szCs w:val="22"/>
        </w:rPr>
        <w:t xml:space="preserve">CODE-weighted, on-chain proposals and voting that steer the protocol.</w:t>
      </w:r>
    </w:p>
    <w:p>
      <w:pPr>
        <w:spacing w:after="160" w:line="300"/>
      </w:pPr>
      <w:r>
        <w:rPr>
          <w:sz w:val="22"/>
          <w:szCs w:val="22"/>
        </w:rPr>
        <w:t xml:space="preserve">Assets are Hedera Token Service (HTS) tokens secured at the network layer, not only by application code (see Audits &amp; Security).</w:t>
      </w:r>
    </w:p>
    <w:p>
      <w:pPr>
        <w:pBdr>
          <w:left w:val="single" w:color="EF4444" w:sz="18" w:space="8"/>
        </w:pBdr>
        <w:shd w:fill="FDECEC" w:val="clear"/>
        <w:spacing w:after="200" w:line="300"/>
        <w:ind w:left="100"/>
      </w:pPr>
      <w:r>
        <w:rPr>
          <w:i/>
          <w:iCs/>
          <w:color w:val="B91C1C"/>
          <w:sz w:val="20"/>
          <w:szCs w:val="20"/>
        </w:rPr>
        <w:t xml:space="preserve">This deployment runs on Hedera Testnet. All tokens are test tokens with no monetary value. Never send mainnet funds to these contracts.</w:t>
      </w:r>
    </w:p>
    <w:p>
      <w:pPr>
        <w:pStyle w:val="Heading1"/>
        <w:pBdr>
          <w:bottom w:val="single" w:color="00A8E8" w:sz="8" w:space="4"/>
        </w:pBdr>
        <w:spacing w:after="160" w:before="480"/>
      </w:pPr>
      <w:r>
        <w:rPr>
          <w:b/>
          <w:bCs/>
          <w:color w:val="1A1A2E"/>
          <w:sz w:val="30"/>
          <w:szCs w:val="30"/>
        </w:rPr>
        <w:t xml:space="preserve">Getting Started</w:t>
      </w:r>
    </w:p>
    <w:p>
      <w:pPr>
        <w:pStyle w:val="ListParagraph"/>
        <w:numPr>
          <w:ilvl w:val="0"/>
          <w:numId w:val="2"/>
        </w:numPr>
        <w:spacing w:after="90" w:line="280"/>
      </w:pPr>
      <w:r>
        <w:rPr>
          <w:b/>
          <w:bCs/>
          <w:sz w:val="22"/>
          <w:szCs w:val="22"/>
        </w:rPr>
        <w:t xml:space="preserve">1. </w:t>
      </w:r>
      <w:r>
        <w:rPr>
          <w:b/>
          <w:bCs/>
          <w:sz w:val="22"/>
          <w:szCs w:val="22"/>
        </w:rPr>
        <w:t xml:space="preserve">Add a wallet. </w:t>
      </w:r>
      <w:r>
        <w:rPr>
          <w:sz w:val="22"/>
          <w:szCs w:val="22"/>
        </w:rPr>
        <w:t xml:space="preserve">Use HashPack or MetaMask pointed at Hedera Testnet (chain ID 296 / 0x128, RPC https://testnet.hashio.io/api).</w:t>
      </w:r>
    </w:p>
    <w:p>
      <w:pPr>
        <w:pStyle w:val="ListParagraph"/>
        <w:numPr>
          <w:ilvl w:val="0"/>
          <w:numId w:val="2"/>
        </w:numPr>
        <w:spacing w:after="90" w:line="280"/>
      </w:pPr>
      <w:r>
        <w:rPr>
          <w:b/>
          <w:bCs/>
          <w:sz w:val="22"/>
          <w:szCs w:val="22"/>
        </w:rPr>
        <w:t xml:space="preserve">2. </w:t>
      </w:r>
      <w:r>
        <w:rPr>
          <w:b/>
          <w:bCs/>
          <w:sz w:val="22"/>
          <w:szCs w:val="22"/>
        </w:rPr>
        <w:t xml:space="preserve">Get test HBAR </w:t>
      </w:r>
      <w:r>
        <w:rPr>
          <w:sz w:val="22"/>
          <w:szCs w:val="22"/>
        </w:rPr>
        <w:t xml:space="preserve">for gas from the official Hedera faucet (portal.hedera.com/faucet).</w:t>
      </w:r>
    </w:p>
    <w:p>
      <w:pPr>
        <w:pStyle w:val="ListParagraph"/>
        <w:numPr>
          <w:ilvl w:val="0"/>
          <w:numId w:val="2"/>
        </w:numPr>
        <w:spacing w:after="90" w:line="280"/>
      </w:pPr>
      <w:r>
        <w:rPr>
          <w:b/>
          <w:bCs/>
          <w:sz w:val="22"/>
          <w:szCs w:val="22"/>
        </w:rPr>
        <w:t xml:space="preserve">3. </w:t>
      </w:r>
      <w:r>
        <w:rPr>
          <w:b/>
          <w:bCs/>
          <w:sz w:val="22"/>
          <w:szCs w:val="22"/>
        </w:rPr>
        <w:t xml:space="preserve">Connect: </w:t>
      </w:r>
      <w:r>
        <w:rPr>
          <w:sz w:val="22"/>
          <w:szCs w:val="22"/>
        </w:rPr>
        <w:t xml:space="preserve">the button (top-right) then shows your Hedera account ID (0.0.x).</w:t>
      </w:r>
    </w:p>
    <w:p>
      <w:pPr>
        <w:pStyle w:val="ListParagraph"/>
        <w:numPr>
          <w:ilvl w:val="0"/>
          <w:numId w:val="2"/>
        </w:numPr>
        <w:spacing w:after="90" w:line="280"/>
      </w:pPr>
      <w:r>
        <w:rPr>
          <w:b/>
          <w:bCs/>
          <w:sz w:val="22"/>
          <w:szCs w:val="22"/>
        </w:rPr>
        <w:t xml:space="preserve">4. </w:t>
      </w:r>
      <w:r>
        <w:rPr>
          <w:b/>
          <w:bCs/>
          <w:sz w:val="22"/>
          <w:szCs w:val="22"/>
        </w:rPr>
        <w:t xml:space="preserve">Claim test tokens: </w:t>
      </w:r>
      <w:r>
        <w:rPr>
          <w:sz w:val="22"/>
          <w:szCs w:val="22"/>
        </w:rPr>
        <w:t xml:space="preserve">open the wallet dropdown → Daily Test Faucet to receive ~$500 worth of each token (once per 24h).</w:t>
      </w:r>
    </w:p>
    <w:p>
      <w:pPr>
        <w:pStyle w:val="ListParagraph"/>
        <w:numPr>
          <w:ilvl w:val="0"/>
          <w:numId w:val="2"/>
        </w:numPr>
        <w:spacing w:after="90" w:line="280"/>
      </w:pPr>
      <w:r>
        <w:rPr>
          <w:b/>
          <w:bCs/>
          <w:sz w:val="22"/>
          <w:szCs w:val="22"/>
        </w:rPr>
        <w:t xml:space="preserve">5. </w:t>
      </w:r>
      <w:r>
        <w:rPr>
          <w:b/>
          <w:bCs/>
          <w:sz w:val="22"/>
          <w:szCs w:val="22"/>
        </w:rPr>
        <w:t xml:space="preserve">Use the protocol: </w:t>
      </w:r>
      <w:r>
        <w:rPr>
          <w:sz w:val="22"/>
          <w:szCs w:val="22"/>
        </w:rPr>
        <w:t xml:space="preserve">deposit in Vault, supply in Earn, or trade in P2P. Every action is a normal on-chain transaction you sign in your wallet.</w:t>
      </w:r>
    </w:p>
    <w:p>
      <w:pPr>
        <w:pBdr>
          <w:left w:val="single" w:color="10B981" w:sz="18" w:space="8"/>
        </w:pBdr>
        <w:shd w:fill="E8F9F1" w:val="clear"/>
        <w:spacing w:after="200" w:line="300"/>
        <w:ind w:left="100"/>
      </w:pPr>
      <w:r>
        <w:rPr>
          <w:i/>
          <w:iCs/>
          <w:color w:val="047857"/>
          <w:sz w:val="20"/>
          <w:szCs w:val="20"/>
        </w:rPr>
        <w:t xml:space="preserve">Every Vault, Earn and P2P transaction earns CODE points. See the CODE Points section.</w:t>
      </w:r>
    </w:p>
    <w:p>
      <w:pPr>
        <w:pStyle w:val="Heading1"/>
        <w:pBdr>
          <w:bottom w:val="single" w:color="00A8E8" w:sz="8" w:space="4"/>
        </w:pBdr>
        <w:spacing w:after="160" w:before="480"/>
      </w:pPr>
      <w:r>
        <w:rPr>
          <w:b/>
          <w:bCs/>
          <w:color w:val="1A1A2E"/>
          <w:sz w:val="30"/>
          <w:szCs w:val="30"/>
        </w:rPr>
        <w:t xml:space="preserve">Vault: Time-Locked Savings</w:t>
      </w:r>
    </w:p>
    <w:p>
      <w:pPr>
        <w:spacing w:after="160" w:line="300"/>
      </w:pPr>
      <w:r>
        <w:rPr>
          <w:sz w:val="22"/>
          <w:szCs w:val="22"/>
        </w:rPr>
        <w:t xml:space="preserve">Deposit native HBAR or any supported HTS token and lock it for a fixed term to earn a fixed APY. Yield accrues linearly and is paid from the protocol treasury.</w:t>
      </w:r>
    </w:p>
    <w:p>
      <w:pPr>
        <w:spacing w:after="160" w:line="300"/>
      </w:pPr>
      <w:r>
        <w:rPr>
          <w:b/>
          <w:bCs/>
          <w:i w:val="false"/>
          <w:iCs w:val="false"/>
          <w:sz w:val="22"/>
          <w:szCs w:val="22"/>
        </w:rPr>
        <w:t xml:space="preserve">Lock terms: </w:t>
      </w:r>
      <w:r>
        <w:rPr>
          <w:sz w:val="22"/>
          <w:szCs w:val="22"/>
        </w:rPr>
        <w:t xml:space="preserve">7, 30, or 60 days, or a custom duration. APY depends on the asset tier: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1600"/>
        <w:gridCol w:w="1600"/>
        <w:gridCol w:w="1600"/>
      </w:tblGrid>
      <w:tr>
        <w:trPr>
          <w:tblHeader/>
        </w:trPr>
        <w:tc>
          <w:tcPr>
            <w:tcW w:type="dxa" w:w="4200"/>
            <w:shd w:fill="EAF6FC" w:val="clear"/>
          </w:tcPr>
          <w:p>
            <w:r>
              <w:rPr>
                <w:b/>
                <w:bCs/>
                <w:color w:val="1A1A2E"/>
                <w:sz w:val="20"/>
                <w:szCs w:val="20"/>
              </w:rPr>
              <w:t xml:space="preserve">Tier</w:t>
            </w:r>
          </w:p>
        </w:tc>
        <w:tc>
          <w:tcPr>
            <w:tcW w:type="dxa" w:w="1600"/>
            <w:shd w:fill="EAF6FC" w:val="clear"/>
          </w:tcPr>
          <w:p>
            <w:r>
              <w:rPr>
                <w:b/>
                <w:bCs/>
                <w:color w:val="1A1A2E"/>
                <w:sz w:val="20"/>
                <w:szCs w:val="20"/>
              </w:rPr>
              <w:t xml:space="preserve">7d</w:t>
            </w:r>
          </w:p>
        </w:tc>
        <w:tc>
          <w:tcPr>
            <w:tcW w:type="dxa" w:w="1600"/>
            <w:shd w:fill="EAF6FC" w:val="clear"/>
          </w:tcPr>
          <w:p>
            <w:r>
              <w:rPr>
                <w:b/>
                <w:bCs/>
                <w:color w:val="1A1A2E"/>
                <w:sz w:val="20"/>
                <w:szCs w:val="20"/>
              </w:rPr>
              <w:t xml:space="preserve">30d</w:t>
            </w:r>
          </w:p>
        </w:tc>
        <w:tc>
          <w:tcPr>
            <w:tcW w:type="dxa" w:w="1600"/>
            <w:shd w:fill="EAF6FC" w:val="clear"/>
          </w:tcPr>
          <w:p>
            <w:r>
              <w:rPr>
                <w:b/>
                <w:bCs/>
                <w:color w:val="1A1A2E"/>
                <w:sz w:val="20"/>
                <w:szCs w:val="20"/>
              </w:rPr>
              <w:t xml:space="preserve">60d</w:t>
            </w:r>
          </w:p>
        </w:tc>
      </w:tr>
      <w:tr>
        <w:tc>
          <w:tcPr>
            <w:tcW w:type="dxa" w:w="4200"/>
          </w:tcPr>
          <w:p>
            <w:r>
              <w:rPr>
                <w:sz w:val="20"/>
                <w:szCs w:val="20"/>
              </w:rPr>
              <w:t xml:space="preserve">Blue-chip (HBAR, WETH, WBTC)</w:t>
            </w:r>
          </w:p>
        </w:tc>
        <w:tc>
          <w:tcPr>
            <w:tcW w:type="dxa" w:w="1600"/>
          </w:tcPr>
          <w:p>
            <w:r>
              <w:rPr>
                <w:sz w:val="20"/>
                <w:szCs w:val="20"/>
              </w:rPr>
              <w:t xml:space="preserve">5.00%</w:t>
            </w:r>
          </w:p>
        </w:tc>
        <w:tc>
          <w:tcPr>
            <w:tcW w:type="dxa" w:w="1600"/>
          </w:tcPr>
          <w:p>
            <w:r>
              <w:rPr>
                <w:sz w:val="20"/>
                <w:szCs w:val="20"/>
              </w:rPr>
              <w:t xml:space="preserve">8.00%</w:t>
            </w:r>
          </w:p>
        </w:tc>
        <w:tc>
          <w:tcPr>
            <w:tcW w:type="dxa" w:w="1600"/>
          </w:tcPr>
          <w:p>
            <w:r>
              <w:rPr>
                <w:sz w:val="20"/>
                <w:szCs w:val="20"/>
              </w:rPr>
              <w:t xml:space="preserve">13.00%</w:t>
            </w:r>
          </w:p>
        </w:tc>
      </w:tr>
      <w:tr>
        <w:tc>
          <w:tcPr>
            <w:tcW w:type="dxa" w:w="4200"/>
          </w:tcPr>
          <w:p>
            <w:r>
              <w:rPr>
                <w:sz w:val="20"/>
                <w:szCs w:val="20"/>
              </w:rPr>
              <w:t xml:space="preserve">Stablecoins (USDC, USDT)</w:t>
            </w:r>
          </w:p>
        </w:tc>
        <w:tc>
          <w:tcPr>
            <w:tcW w:type="dxa" w:w="1600"/>
          </w:tcPr>
          <w:p>
            <w:r>
              <w:rPr>
                <w:sz w:val="20"/>
                <w:szCs w:val="20"/>
              </w:rPr>
              <w:t xml:space="preserve">6.50%</w:t>
            </w:r>
          </w:p>
        </w:tc>
        <w:tc>
          <w:tcPr>
            <w:tcW w:type="dxa" w:w="1600"/>
          </w:tcPr>
          <w:p>
            <w:r>
              <w:rPr>
                <w:sz w:val="20"/>
                <w:szCs w:val="20"/>
              </w:rPr>
              <w:t xml:space="preserve">10.00%</w:t>
            </w:r>
          </w:p>
        </w:tc>
        <w:tc>
          <w:tcPr>
            <w:tcW w:type="dxa" w:w="1600"/>
          </w:tcPr>
          <w:p>
            <w:r>
              <w:rPr>
                <w:sz w:val="20"/>
                <w:szCs w:val="20"/>
              </w:rPr>
              <w:t xml:space="preserve">16.00%</w:t>
            </w:r>
          </w:p>
        </w:tc>
      </w:tr>
      <w:tr>
        <w:tc>
          <w:tcPr>
            <w:tcW w:type="dxa" w:w="4200"/>
          </w:tcPr>
          <w:p>
            <w:r>
              <w:rPr>
                <w:sz w:val="20"/>
                <w:szCs w:val="20"/>
              </w:rPr>
              <w:t xml:space="preserve">Ecosystem (SAUCE, PACK, JAM, BONZO)</w:t>
            </w:r>
          </w:p>
        </w:tc>
        <w:tc>
          <w:tcPr>
            <w:tcW w:type="dxa" w:w="1600"/>
          </w:tcPr>
          <w:p>
            <w:r>
              <w:rPr>
                <w:sz w:val="20"/>
                <w:szCs w:val="20"/>
              </w:rPr>
              <w:t xml:space="preserve">10.00%</w:t>
            </w:r>
          </w:p>
        </w:tc>
        <w:tc>
          <w:tcPr>
            <w:tcW w:type="dxa" w:w="1600"/>
          </w:tcPr>
          <w:p>
            <w:r>
              <w:rPr>
                <w:sz w:val="20"/>
                <w:szCs w:val="20"/>
              </w:rPr>
              <w:t xml:space="preserve">18.00%</w:t>
            </w:r>
          </w:p>
        </w:tc>
        <w:tc>
          <w:tcPr>
            <w:tcW w:type="dxa" w:w="1600"/>
          </w:tcPr>
          <w:p>
            <w:r>
              <w:rPr>
                <w:sz w:val="20"/>
                <w:szCs w:val="20"/>
              </w:rPr>
              <w:t xml:space="preserve">28.00%</w:t>
            </w:r>
          </w:p>
        </w:tc>
      </w:tr>
    </w:tbl>
    <w:p>
      <w:pPr>
        <w:spacing w:after="160" w:before="200"/>
      </w:pPr>
      <w:r>
        <w:rPr>
          <w:sz w:val="22"/>
          <w:szCs w:val="22"/>
        </w:rPr>
        <w:t xml:space="preserve">At or after maturity you withdraw your full principal plus accrued yield. Custom terms interpolate between the tier rates.</w:t>
      </w:r>
    </w:p>
    <w:p>
      <w:pPr>
        <w:pBdr>
          <w:left w:val="single" w:color="EF4444" w:sz="18" w:space="8"/>
        </w:pBdr>
        <w:shd w:fill="FDECEC" w:val="clear"/>
        <w:spacing w:after="200" w:line="300"/>
        <w:ind w:left="100"/>
      </w:pPr>
      <w:r>
        <w:rPr>
          <w:i/>
          <w:iCs/>
          <w:color w:val="B91C1C"/>
          <w:sz w:val="20"/>
          <w:szCs w:val="20"/>
        </w:rPr>
        <w:t xml:space="preserve">Early withdrawal incurs a time-decay penalty of up to 2% on principal (largest right after deposit, shrinking to 0 at maturity). Accrued yield is always paid out in full.</w:t>
      </w:r>
    </w:p>
    <w:p>
      <w:pPr>
        <w:pStyle w:val="Heading1"/>
        <w:pBdr>
          <w:bottom w:val="single" w:color="00A8E8" w:sz="8" w:space="4"/>
        </w:pBdr>
        <w:spacing w:after="160" w:before="480"/>
      </w:pPr>
      <w:r>
        <w:rPr>
          <w:b/>
          <w:bCs/>
          <w:color w:val="1A1A2E"/>
          <w:sz w:val="30"/>
          <w:szCs w:val="30"/>
        </w:rPr>
        <w:t xml:space="preserve">Earn: Yield Hub</w:t>
      </w:r>
    </w:p>
    <w:p>
      <w:pPr>
        <w:spacing w:after="160" w:line="300"/>
      </w:pPr>
      <w:r>
        <w:rPr>
          <w:sz w:val="22"/>
          <w:szCs w:val="22"/>
        </w:rPr>
        <w:t xml:space="preserve">The Yield Hub runs balanced dual-token liquidity positions without you having to hold both tokens. Supply a single asset and the protocol auto-zaps it:</w:t>
      </w:r>
    </w:p>
    <w:p>
      <w:pPr>
        <w:pStyle w:val="ListParagraph"/>
        <w:numPr>
          <w:ilvl w:val="0"/>
          <w:numId w:val="2"/>
        </w:numPr>
        <w:spacing w:after="90" w:line="280"/>
      </w:pPr>
      <w:r>
        <w:rPr>
          <w:b/>
          <w:bCs/>
          <w:sz w:val="22"/>
          <w:szCs w:val="22"/>
        </w:rPr>
        <w:t xml:space="preserve">1. </w:t>
      </w:r>
      <w:r>
        <w:rPr>
          <w:b/>
          <w:bCs/>
          <w:sz w:val="22"/>
          <w:szCs w:val="22"/>
        </w:rPr>
        <w:t xml:space="preserve"/>
      </w:r>
      <w:r>
        <w:rPr>
          <w:sz w:val="22"/>
          <w:szCs w:val="22"/>
        </w:rPr>
        <w:t xml:space="preserve">You deposit one token (e.g. HBAR).</w:t>
      </w:r>
    </w:p>
    <w:p>
      <w:pPr>
        <w:pStyle w:val="ListParagraph"/>
        <w:numPr>
          <w:ilvl w:val="0"/>
          <w:numId w:val="2"/>
        </w:numPr>
        <w:spacing w:after="90" w:line="280"/>
      </w:pPr>
      <w:r>
        <w:rPr>
          <w:b/>
          <w:bCs/>
          <w:sz w:val="22"/>
          <w:szCs w:val="22"/>
        </w:rPr>
        <w:t xml:space="preserve">2. </w:t>
      </w:r>
      <w:r>
        <w:rPr>
          <w:b/>
          <w:bCs/>
          <w:sz w:val="22"/>
          <w:szCs w:val="22"/>
        </w:rPr>
        <w:t xml:space="preserve"/>
      </w:r>
      <w:r>
        <w:rPr>
          <w:sz w:val="22"/>
          <w:szCs w:val="22"/>
        </w:rPr>
        <w:t xml:space="preserve">The SwapRouter (a constant-product AMM) swaps ~50% into the pair token to build a ~50/50 position.</w:t>
      </w:r>
    </w:p>
    <w:p>
      <w:pPr>
        <w:pStyle w:val="ListParagraph"/>
        <w:numPr>
          <w:ilvl w:val="0"/>
          <w:numId w:val="2"/>
        </w:numPr>
        <w:spacing w:after="90" w:line="280"/>
      </w:pPr>
      <w:r>
        <w:rPr>
          <w:b/>
          <w:bCs/>
          <w:sz w:val="22"/>
          <w:szCs w:val="22"/>
        </w:rPr>
        <w:t xml:space="preserve">3. </w:t>
      </w:r>
      <w:r>
        <w:rPr>
          <w:b/>
          <w:bCs/>
          <w:sz w:val="22"/>
          <w:szCs w:val="22"/>
        </w:rPr>
        <w:t xml:space="preserve"/>
      </w:r>
      <w:r>
        <w:rPr>
          <w:sz w:val="22"/>
          <w:szCs w:val="22"/>
        </w:rPr>
        <w:t xml:space="preserve">The balanced position is deposited into CreodeYieldVaultV3, which accrues yield.</w:t>
      </w:r>
    </w:p>
    <w:p>
      <w:pPr>
        <w:spacing w:after="160" w:line="300"/>
      </w:pPr>
      <w:r>
        <w:rPr>
          <w:sz w:val="22"/>
          <w:szCs w:val="22"/>
        </w:rPr>
        <w:t xml:space="preserve">You can Compound accrued rewards back into your position at any time, Supply More, or Withdraw the full position on demand. Live APY and TVL on each strategy are derived from real on-chain vault custody and prices.</w:t>
      </w:r>
    </w:p>
    <w:p>
      <w:pPr>
        <w:pBdr>
          <w:left w:val="single" w:color="00A8E8" w:sz="18" w:space="8"/>
        </w:pBdr>
        <w:shd w:fill="E8F5FC" w:val="clear"/>
        <w:spacing w:after="200" w:line="300"/>
        <w:ind w:left="100"/>
      </w:pPr>
      <w:r>
        <w:rPr>
          <w:i/>
          <w:iCs/>
          <w:color w:val="0369A1"/>
          <w:sz w:val="20"/>
          <w:szCs w:val="20"/>
        </w:rPr>
        <w:t xml:space="preserve">On testnet, the zap swap runs through Creode's own in-house constant-product AMM as a stand-in, so the full deposit → zap → compound → withdraw flow can be demonstrated end-to-end without depending on external liquidity. On mainnet, this step is planned to route through real external Hedera DEX liquidity (e.g. SaucerSwap) so yield is sourced from genuine market volume rather than a protocol-seeded pool.</w:t>
      </w:r>
    </w:p>
    <w:p>
      <w:pPr>
        <w:pStyle w:val="Heading2"/>
        <w:spacing w:after="100" w:before="280"/>
      </w:pPr>
      <w:r>
        <w:rPr>
          <w:b/>
          <w:bCs/>
          <w:color w:val="00A8E8"/>
          <w:sz w:val="24"/>
          <w:szCs w:val="24"/>
        </w:rPr>
        <w:t xml:space="preserve">Auto-compounding (via Hedera HIP-1215)</w:t>
      </w:r>
    </w:p>
    <w:p>
      <w:pPr>
        <w:spacing w:after="160" w:line="300"/>
      </w:pPr>
      <w:r>
        <w:rPr>
          <w:sz w:val="22"/>
          <w:szCs w:val="22"/>
        </w:rPr>
        <w:t xml:space="preserve">You can compound by hand any time with the Compound button, or flip Auto: On on any position and let the protocol do it for you fully on-chain, using Hedera HIP-1215's generalized scheduled contract calls. HIP-1215 lets a contract schedule its own future calls through the Hedera Schedule Service, meaning native on-chain “cron” with no off-chain keeper or bot.</w:t>
      </w:r>
    </w:p>
    <w:p>
      <w:pPr>
        <w:pStyle w:val="ListParagraph"/>
        <w:numPr>
          <w:ilvl w:val="0"/>
          <w:numId w:val="2"/>
        </w:numPr>
        <w:spacing w:after="90" w:line="280"/>
      </w:pPr>
      <w:r>
        <w:rPr>
          <w:b/>
          <w:bCs/>
          <w:sz w:val="22"/>
          <w:szCs w:val="22"/>
        </w:rPr>
        <w:t xml:space="preserve">You enroll </w:t>
      </w:r>
      <w:r>
        <w:rPr>
          <w:sz w:val="22"/>
          <w:szCs w:val="22"/>
        </w:rPr>
        <w:t xml:space="preserve">a position with one cheap transaction (Auto: On), with no scheduling cost to you.</w:t>
      </w:r>
    </w:p>
    <w:p>
      <w:pPr>
        <w:pStyle w:val="ListParagraph"/>
        <w:numPr>
          <w:ilvl w:val="0"/>
          <w:numId w:val="2"/>
        </w:numPr>
        <w:spacing w:after="90" w:line="280"/>
      </w:pPr>
      <w:r>
        <w:rPr>
          <w:b/>
          <w:bCs/>
          <w:sz w:val="22"/>
          <w:szCs w:val="22"/>
        </w:rPr>
        <w:t xml:space="preserve">The CreodeCompoundScheduler </w:t>
      </w:r>
      <w:r>
        <w:rPr>
          <w:sz w:val="22"/>
          <w:szCs w:val="22"/>
        </w:rPr>
        <w:t xml:space="preserve">runs a self-perpetuating tick: each scheduled tick compounds every enrolled position and schedules the next tick itself, so the loop continues with no keeper.</w:t>
      </w:r>
    </w:p>
    <w:p>
      <w:pPr>
        <w:pStyle w:val="ListParagraph"/>
        <w:numPr>
          <w:ilvl w:val="0"/>
          <w:numId w:val="2"/>
        </w:numPr>
        <w:spacing w:after="90" w:line="280"/>
      </w:pPr>
      <w:r>
        <w:rPr>
          <w:b/>
          <w:bCs/>
          <w:sz w:val="22"/>
          <w:szCs w:val="22"/>
        </w:rPr>
        <w:t xml:space="preserve">Scheduling cost </w:t>
      </w:r>
      <w:r>
        <w:rPr>
          <w:sz w:val="22"/>
          <w:szCs w:val="22"/>
        </w:rPr>
        <w:t xml:space="preserve">is paid once by the protocol and amortized across all users, instead of each user paying to schedule their own calls.</w:t>
      </w:r>
    </w:p>
    <w:p>
      <w:pPr>
        <w:pStyle w:val="ListParagraph"/>
        <w:numPr>
          <w:ilvl w:val="0"/>
          <w:numId w:val="2"/>
        </w:numPr>
        <w:spacing w:after="90" w:line="280"/>
      </w:pPr>
      <w:r>
        <w:rPr>
          <w:sz w:val="22"/>
          <w:szCs w:val="22"/>
        </w:rPr>
        <w:t xml:space="preserve">The Schedule Service requires each scheduled second to be strictly in the future, closing off infinite-loop abuse.</w:t>
      </w:r>
    </w:p>
    <w:p>
      <w:pPr>
        <w:pBdr>
          <w:left w:val="single" w:color="10B981" w:sz="18" w:space="8"/>
        </w:pBdr>
        <w:shd w:fill="E8F9F1" w:val="clear"/>
        <w:spacing w:after="200" w:line="300"/>
        <w:ind w:left="100"/>
      </w:pPr>
      <w:r>
        <w:rPr>
          <w:i/>
          <w:iCs/>
          <w:color w:val="047857"/>
          <w:sz w:val="20"/>
          <w:szCs w:val="20"/>
        </w:rPr>
        <w:t xml:space="preserve">This is live on Hedera testnet and verified end-to-end. Scheduled ticks execute and re-arm themselves autonomously on-chain. Toggle Auto: On next to any position in the Earn tab.</w:t>
      </w:r>
    </w:p>
    <w:p>
      <w:pPr>
        <w:pStyle w:val="Heading1"/>
        <w:pBdr>
          <w:bottom w:val="single" w:color="00A8E8" w:sz="8" w:space="4"/>
        </w:pBdr>
        <w:spacing w:after="160" w:before="480"/>
      </w:pPr>
      <w:r>
        <w:rPr>
          <w:b/>
          <w:bCs/>
          <w:color w:val="1A1A2E"/>
          <w:sz w:val="30"/>
          <w:szCs w:val="30"/>
        </w:rPr>
        <w:t xml:space="preserve">P2P Trading: On-Chain Order Book</w:t>
      </w:r>
    </w:p>
    <w:p>
      <w:pPr>
        <w:spacing w:after="160" w:line="300"/>
      </w:pPr>
      <w:r>
        <w:rPr>
          <w:sz w:val="22"/>
          <w:szCs w:val="22"/>
        </w:rPr>
        <w:t xml:space="preserve">P2P is a peer-to-peer spot exchange. There is no house or pool: every trade matches one user's order against another's, settled trustlessly by the CreodeP2P escrow contract.</w:t>
      </w:r>
    </w:p>
    <w:p>
      <w:pPr>
        <w:pStyle w:val="ListParagraph"/>
        <w:numPr>
          <w:ilvl w:val="0"/>
          <w:numId w:val="2"/>
        </w:numPr>
        <w:spacing w:after="90" w:line="280"/>
      </w:pPr>
      <w:r>
        <w:rPr>
          <w:b/>
          <w:bCs/>
          <w:sz w:val="22"/>
          <w:szCs w:val="22"/>
        </w:rPr>
        <w:t xml:space="preserve">Limit order: </w:t>
      </w:r>
      <w:r>
        <w:rPr>
          <w:sz w:val="22"/>
          <w:szCs w:val="22"/>
        </w:rPr>
        <w:t xml:space="preserve">you post a price; your sell side is escrowed in the contract until it's filled, cancelled, or expires.</w:t>
      </w:r>
    </w:p>
    <w:p>
      <w:pPr>
        <w:pStyle w:val="ListParagraph"/>
        <w:numPr>
          <w:ilvl w:val="0"/>
          <w:numId w:val="2"/>
        </w:numPr>
        <w:spacing w:after="90" w:line="280"/>
      </w:pPr>
      <w:r>
        <w:rPr>
          <w:b/>
          <w:bCs/>
          <w:sz w:val="22"/>
          <w:szCs w:val="22"/>
        </w:rPr>
        <w:t xml:space="preserve">Market order: </w:t>
      </w:r>
      <w:r>
        <w:rPr>
          <w:sz w:val="22"/>
          <w:szCs w:val="22"/>
        </w:rPr>
        <w:t xml:space="preserve">fills the best-priced resting order immediately. Partial fills are supported.</w:t>
      </w:r>
    </w:p>
    <w:p>
      <w:pPr>
        <w:pStyle w:val="ListParagraph"/>
        <w:numPr>
          <w:ilvl w:val="0"/>
          <w:numId w:val="2"/>
        </w:numPr>
        <w:spacing w:after="90" w:line="280"/>
      </w:pPr>
      <w:r>
        <w:rPr>
          <w:b/>
          <w:bCs/>
          <w:sz w:val="22"/>
          <w:szCs w:val="22"/>
        </w:rPr>
        <w:t xml:space="preserve">Long </w:t>
      </w:r>
      <w:r>
        <w:rPr>
          <w:sz w:val="22"/>
          <w:szCs w:val="22"/>
        </w:rPr>
        <w:t xml:space="preserve">= buy the base token with the quote; Short = sell the base token for the quote.</w:t>
      </w:r>
    </w:p>
    <w:p>
      <w:pPr>
        <w:pStyle w:val="ListParagraph"/>
        <w:numPr>
          <w:ilvl w:val="0"/>
          <w:numId w:val="2"/>
        </w:numPr>
        <w:spacing w:after="90" w:line="280"/>
      </w:pPr>
      <w:r>
        <w:rPr>
          <w:sz w:val="22"/>
          <w:szCs w:val="22"/>
        </w:rPr>
        <w:t xml:space="preserve">On each fill the taker pays the maker directly; the escrow is released to the taker minus a 0.20% protocol fee.</w:t>
      </w:r>
    </w:p>
    <w:p>
      <w:pPr>
        <w:spacing w:after="160" w:line="300"/>
      </w:pPr>
      <w:r>
        <w:rPr>
          <w:sz w:val="22"/>
          <w:szCs w:val="22"/>
        </w:rPr>
        <w:t xml:space="preserve">Because each order has a fixed price, there is no AMM-style slippage. A 0.5% floor simply guards each fill against dust rounding. Tradeable pairs: HBAR-USDC, USDT-USDC, WBTC-USDC, WETH-USDC, SAUCE-USDC, DOVU-USDC, HBAR-SAUCE.</w:t>
      </w:r>
    </w:p>
    <w:p>
      <w:pPr>
        <w:pBdr>
          <w:left w:val="single" w:color="00A8E8" w:sz="18" w:space="8"/>
        </w:pBdr>
        <w:shd w:fill="E8F5FC" w:val="clear"/>
        <w:spacing w:after="200" w:line="300"/>
        <w:ind w:left="100"/>
      </w:pPr>
      <w:r>
        <w:rPr>
          <w:i/>
          <w:iCs/>
          <w:color w:val="0369A1"/>
          <w:sz w:val="20"/>
          <w:szCs w:val="20"/>
        </w:rPr>
        <w:t xml:space="preserve">Charts use real market data: Pyth Network for majors and SaucerSwap / GeckoTerminal for Hedera small-caps. Prices are live, not simulated.</w:t>
      </w:r>
    </w:p>
    <w:p>
      <w:pPr>
        <w:pStyle w:val="Heading1"/>
        <w:pBdr>
          <w:bottom w:val="single" w:color="00A8E8" w:sz="8" w:space="4"/>
        </w:pBdr>
        <w:spacing w:after="160" w:before="480"/>
      </w:pPr>
      <w:r>
        <w:rPr>
          <w:b/>
          <w:bCs/>
          <w:color w:val="1A1A2E"/>
          <w:sz w:val="30"/>
          <w:szCs w:val="30"/>
        </w:rPr>
        <w:t xml:space="preserve">Community Governance</w:t>
      </w:r>
    </w:p>
    <w:p>
      <w:pPr>
        <w:spacing w:after="160" w:line="300"/>
      </w:pPr>
      <w:r>
        <w:rPr>
          <w:sz w:val="22"/>
          <w:szCs w:val="22"/>
        </w:rPr>
        <w:t xml:space="preserve">Creode is steered by its holders. Governance is a real on-chain system: the CreodeGovernance contract stores every proposal, every vote and the final tally; nothing lives on a private server. It decides yield emissions, new vault &amp; market assets, parameters (fees, penalties, quorum) and upgrade direction.</w:t>
      </w:r>
    </w:p>
    <w:p>
      <w:pPr>
        <w:pStyle w:val="Heading2"/>
        <w:spacing w:after="100" w:before="280"/>
      </w:pPr>
      <w:r>
        <w:rPr>
          <w:b/>
          <w:bCs/>
          <w:color w:val="1A1A2E"/>
          <w:sz w:val="24"/>
          <w:szCs w:val="24"/>
        </w:rPr>
        <w:t xml:space="preserve">Voting power = CODE</w:t>
      </w:r>
    </w:p>
    <w:p>
      <w:pPr>
        <w:spacing w:after="160" w:line="300"/>
      </w:pPr>
      <w:r>
        <w:rPr>
          <w:sz w:val="22"/>
          <w:szCs w:val="22"/>
        </w:rPr>
        <w:t xml:space="preserve">CODE is the governance token. Your voting weight is your live CODE balance, read straight from the token at the moment you propose or vote: 1 CODE = 1 vote. On mainnet CODE is earned through real protocol usage (the same activity that mints CODE points); on this testnet you can mint a one-time allocation with Claim CODE to vote in the Community tab, so anyone can try the full flow.</w:t>
      </w:r>
    </w:p>
    <w:p>
      <w:pPr>
        <w:pStyle w:val="Heading2"/>
        <w:spacing w:after="100" w:before="280"/>
      </w:pPr>
      <w:r>
        <w:rPr>
          <w:b/>
          <w:bCs/>
          <w:color w:val="1A1A2E"/>
          <w:sz w:val="24"/>
          <w:szCs w:val="24"/>
        </w:rPr>
        <w:t xml:space="preserve">Proposal lifecycle</w:t>
      </w:r>
    </w:p>
    <w:p>
      <w:pPr>
        <w:pStyle w:val="ListParagraph"/>
        <w:numPr>
          <w:ilvl w:val="0"/>
          <w:numId w:val="2"/>
        </w:numPr>
        <w:spacing w:after="90" w:line="280"/>
      </w:pPr>
      <w:r>
        <w:rPr>
          <w:b/>
          <w:bCs/>
          <w:sz w:val="22"/>
          <w:szCs w:val="22"/>
        </w:rPr>
        <w:t xml:space="preserve">1. </w:t>
      </w:r>
      <w:r>
        <w:rPr>
          <w:b/>
          <w:bCs/>
          <w:sz w:val="22"/>
          <w:szCs w:val="22"/>
        </w:rPr>
        <w:t xml:space="preserve">Propose: </w:t>
      </w:r>
      <w:r>
        <w:rPr>
          <w:sz w:val="22"/>
          <w:szCs w:val="22"/>
        </w:rPr>
        <w:t xml:space="preserve">any address holding ≥ 1,000 CODE submits a title + description on-chain, opening a 3-day voting window.</w:t>
      </w:r>
    </w:p>
    <w:p>
      <w:pPr>
        <w:pStyle w:val="ListParagraph"/>
        <w:numPr>
          <w:ilvl w:val="0"/>
          <w:numId w:val="2"/>
        </w:numPr>
        <w:spacing w:after="90" w:line="280"/>
      </w:pPr>
      <w:r>
        <w:rPr>
          <w:b/>
          <w:bCs/>
          <w:sz w:val="22"/>
          <w:szCs w:val="22"/>
        </w:rPr>
        <w:t xml:space="preserve">2. </w:t>
      </w:r>
      <w:r>
        <w:rPr>
          <w:b/>
          <w:bCs/>
          <w:sz w:val="22"/>
          <w:szCs w:val="22"/>
        </w:rPr>
        <w:t xml:space="preserve">Vote: </w:t>
      </w:r>
      <w:r>
        <w:rPr>
          <w:sz w:val="22"/>
          <w:szCs w:val="22"/>
        </w:rPr>
        <w:t xml:space="preserve">CODE holders cast a single Yes or No, weighted by their balance. One vote per address per proposal, enforced in-contract.</w:t>
      </w:r>
    </w:p>
    <w:p>
      <w:pPr>
        <w:pStyle w:val="ListParagraph"/>
        <w:numPr>
          <w:ilvl w:val="0"/>
          <w:numId w:val="2"/>
        </w:numPr>
        <w:spacing w:after="90" w:line="280"/>
      </w:pPr>
      <w:r>
        <w:rPr>
          <w:b/>
          <w:bCs/>
          <w:sz w:val="22"/>
          <w:szCs w:val="22"/>
        </w:rPr>
        <w:t xml:space="preserve">3. </w:t>
      </w:r>
      <w:r>
        <w:rPr>
          <w:b/>
          <w:bCs/>
          <w:sz w:val="22"/>
          <w:szCs w:val="22"/>
        </w:rPr>
        <w:t xml:space="preserve">Finalize: </w:t>
      </w:r>
      <w:r>
        <w:rPr>
          <w:sz w:val="22"/>
          <w:szCs w:val="22"/>
        </w:rPr>
        <w:t xml:space="preserve">after the window closes, anyone can finalize. It Passes only if total votes clear the quorum (currently 50,000 CODE) and Yes &gt; No; otherwise it is Rejected.</w:t>
      </w:r>
    </w:p>
    <w:p>
      <w:pPr>
        <w:pStyle w:val="ListParagraph"/>
        <w:numPr>
          <w:ilvl w:val="0"/>
          <w:numId w:val="2"/>
        </w:numPr>
        <w:spacing w:after="90" w:line="280"/>
      </w:pPr>
      <w:r>
        <w:rPr>
          <w:b/>
          <w:bCs/>
          <w:sz w:val="22"/>
          <w:szCs w:val="22"/>
        </w:rPr>
        <w:t xml:space="preserve">4. </w:t>
      </w:r>
      <w:r>
        <w:rPr>
          <w:b/>
          <w:bCs/>
          <w:sz w:val="22"/>
          <w:szCs w:val="22"/>
        </w:rPr>
        <w:t xml:space="preserve">Enact: </w:t>
      </w:r>
      <w:r>
        <w:rPr>
          <w:sz w:val="22"/>
          <w:szCs w:val="22"/>
        </w:rPr>
        <w:t xml:space="preserve">passed proposals are signalling decisions; the protocol's role-gated admin then enacts the approved direction on-chain.</w:t>
      </w:r>
    </w:p>
    <w:p>
      <w:pPr>
        <w:pBdr>
          <w:left w:val="single" w:color="00A8E8" w:sz="18" w:space="8"/>
        </w:pBdr>
        <w:shd w:fill="E8F5FC" w:val="clear"/>
        <w:spacing w:after="200" w:line="300"/>
        <w:ind w:left="100"/>
      </w:pPr>
      <w:r>
        <w:rPr>
          <w:i/>
          <w:iCs/>
          <w:color w:val="0369A1"/>
          <w:sz w:val="20"/>
          <w:szCs w:val="20"/>
        </w:rPr>
        <w:t xml:space="preserve">Track live proposals, cast votes and submit your own in the Community tab. Thresholds and quorum are read live from the contract, so the docs never drift from what's on-chain.</w:t>
      </w:r>
    </w:p>
    <w:p>
      <w:pPr>
        <w:pStyle w:val="Heading1"/>
        <w:pBdr>
          <w:bottom w:val="single" w:color="00A8E8" w:sz="8" w:space="4"/>
        </w:pBdr>
        <w:spacing w:after="160" w:before="480"/>
      </w:pPr>
      <w:r>
        <w:rPr>
          <w:b/>
          <w:bCs/>
          <w:color w:val="1A1A2E"/>
          <w:sz w:val="30"/>
          <w:szCs w:val="30"/>
        </w:rPr>
        <w:t xml:space="preserve">CODE Points</w:t>
      </w:r>
    </w:p>
    <w:p>
      <w:pPr>
        <w:spacing w:after="160" w:line="300"/>
      </w:pPr>
      <w:r>
        <w:rPr>
          <w:sz w:val="22"/>
          <w:szCs w:val="22"/>
        </w:rPr>
        <w:t xml:space="preserve">CODE points reward real protocol usage. Every successful transaction that moves value through Vault, Earn, or P2P earns CODE, weighted by the USD value moved:</w:t>
      </w:r>
    </w:p>
    <w:p>
      <w:pPr>
        <w:pStyle w:val="ListParagraph"/>
        <w:numPr>
          <w:ilvl w:val="0"/>
          <w:numId w:val="2"/>
        </w:numPr>
        <w:spacing w:after="90" w:line="280"/>
      </w:pPr>
      <w:r>
        <w:rPr>
          <w:sz w:val="22"/>
          <w:szCs w:val="22"/>
        </w:rPr>
        <w:t xml:space="preserve">Minimum 5 CODE per protocol action.</w:t>
      </w:r>
    </w:p>
    <w:p>
      <w:pPr>
        <w:pStyle w:val="ListParagraph"/>
        <w:numPr>
          <w:ilvl w:val="0"/>
          <w:numId w:val="2"/>
        </w:numPr>
        <w:spacing w:after="90" w:line="280"/>
      </w:pPr>
      <w:r>
        <w:rPr>
          <w:sz w:val="22"/>
          <w:szCs w:val="22"/>
        </w:rPr>
        <w:t xml:space="preserve">Roughly 1 CODE per $10 of value, so a $1,000 action earns ~100 and a $5,000 action ~500.</w:t>
      </w:r>
    </w:p>
    <w:p>
      <w:pPr>
        <w:pStyle w:val="ListParagraph"/>
        <w:numPr>
          <w:ilvl w:val="0"/>
          <w:numId w:val="2"/>
        </w:numPr>
        <w:spacing w:after="90" w:line="280"/>
      </w:pPr>
      <w:r>
        <w:rPr>
          <w:sz w:val="22"/>
          <w:szCs w:val="22"/>
        </w:rPr>
        <w:t xml:space="preserve">Faucet claims, approvals and plain transfers earn nothing.</w:t>
      </w:r>
    </w:p>
    <w:p>
      <w:pPr>
        <w:spacing w:after="160" w:line="300"/>
      </w:pPr>
      <w:r>
        <w:rPr>
          <w:sz w:val="22"/>
          <w:szCs w:val="22"/>
        </w:rPr>
        <w:t xml:space="preserve">Your running total and per-transaction rewards are shown in the Activity tab, computed from your real on-chain history.</w:t>
      </w:r>
    </w:p>
    <w:p>
      <w:pPr>
        <w:pStyle w:val="Heading1"/>
        <w:pBdr>
          <w:bottom w:val="single" w:color="00A8E8" w:sz="8" w:space="4"/>
        </w:pBdr>
        <w:spacing w:after="160" w:before="480"/>
      </w:pPr>
      <w:r>
        <w:rPr>
          <w:b/>
          <w:bCs/>
          <w:color w:val="1A1A2E"/>
          <w:sz w:val="30"/>
          <w:szCs w:val="30"/>
        </w:rPr>
        <w:t xml:space="preserve">Contracts &amp; Addresses</w:t>
      </w:r>
    </w:p>
    <w:p>
      <w:pPr>
        <w:spacing w:after="160" w:line="300"/>
      </w:pPr>
      <w:r>
        <w:rPr>
          <w:sz w:val="22"/>
          <w:szCs w:val="22"/>
        </w:rPr>
        <w:t xml:space="preserve">Network: Hedera Testnet · chain 296 (0x128) · JSON-RPC https://testnet.hashio.io/api. Tokens are HTS test tokens exposing the ERC-20 interface at their EVM address.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5200"/>
        <w:gridCol w:w="4200"/>
      </w:tblGrid>
      <w:tr>
        <w:trPr>
          <w:tblHeader/>
        </w:trPr>
        <w:tc>
          <w:tcPr>
            <w:tcW w:type="dxa" w:w="5200"/>
            <w:shd w:fill="EAF6FC" w:val="clear"/>
          </w:tcPr>
          <w:p>
            <w:r>
              <w:rPr>
                <w:b/>
                <w:bCs/>
                <w:color w:val="1A1A2E"/>
                <w:sz w:val="20"/>
                <w:szCs w:val="20"/>
              </w:rPr>
              <w:t xml:space="preserve">Contract</w:t>
            </w:r>
          </w:p>
        </w:tc>
        <w:tc>
          <w:tcPr>
            <w:tcW w:type="dxa" w:w="4200"/>
            <w:shd w:fill="EAF6FC" w:val="clear"/>
          </w:tcPr>
          <w:p>
            <w:r>
              <w:rPr>
                <w:b/>
                <w:bCs/>
                <w:color w:val="1A1A2E"/>
                <w:sz w:val="20"/>
                <w:szCs w:val="20"/>
              </w:rPr>
              <w:t xml:space="preserve">Address</w:t>
            </w:r>
          </w:p>
        </w:tc>
      </w:tr>
      <w:tr>
        <w:tc>
          <w:tcPr>
            <w:tcW w:type="dxa" w:w="5200"/>
          </w:tcPr>
          <w:p>
            <w:r>
              <w:rPr>
                <w:sz w:val="20"/>
                <w:szCs w:val="20"/>
              </w:rPr>
              <w:t xml:space="preserve">CreodeVault (time-locked savings)</w:t>
            </w:r>
          </w:p>
        </w:tc>
        <w:tc>
          <w:tcPr>
            <w:tcW w:type="dxa" w:w="4200"/>
          </w:tcPr>
          <w:p>
            <w:r>
              <w:rPr>
                <w:sz w:val="20"/>
                <w:szCs w:val="20"/>
              </w:rPr>
              <w:t xml:space="preserve">0x2fFd3ae1600465DaDa7BD69356d4352c42eCE139</w:t>
            </w:r>
          </w:p>
        </w:tc>
      </w:tr>
      <w:tr>
        <w:tc>
          <w:tcPr>
            <w:tcW w:type="dxa" w:w="5200"/>
          </w:tcPr>
          <w:p>
            <w:r>
              <w:rPr>
                <w:sz w:val="20"/>
                <w:szCs w:val="20"/>
              </w:rPr>
              <w:t xml:space="preserve">CreodeYieldVaultV3 (Earn / auto-zap)</w:t>
            </w:r>
          </w:p>
        </w:tc>
        <w:tc>
          <w:tcPr>
            <w:tcW w:type="dxa" w:w="4200"/>
          </w:tcPr>
          <w:p>
            <w:r>
              <w:rPr>
                <w:sz w:val="20"/>
                <w:szCs w:val="20"/>
              </w:rPr>
              <w:t xml:space="preserve">0x634173A0B23bf9Bf36dD1545Ed3D95af3F0eDeF3</w:t>
            </w:r>
          </w:p>
        </w:tc>
      </w:tr>
      <w:tr>
        <w:tc>
          <w:tcPr>
            <w:tcW w:type="dxa" w:w="5200"/>
          </w:tcPr>
          <w:p>
            <w:r>
              <w:rPr>
                <w:sz w:val="20"/>
                <w:szCs w:val="20"/>
              </w:rPr>
              <w:t xml:space="preserve">CreodeCompoundScheduler (HIP-1215 auto-compound)</w:t>
            </w:r>
          </w:p>
        </w:tc>
        <w:tc>
          <w:tcPr>
            <w:tcW w:type="dxa" w:w="4200"/>
          </w:tcPr>
          <w:p>
            <w:r>
              <w:rPr>
                <w:sz w:val="20"/>
                <w:szCs w:val="20"/>
              </w:rPr>
              <w:t xml:space="preserve">0x2b8dB6baD3bC8Db02547dd9B4854a583CE625602</w:t>
            </w:r>
          </w:p>
        </w:tc>
      </w:tr>
      <w:tr>
        <w:tc>
          <w:tcPr>
            <w:tcW w:type="dxa" w:w="5200"/>
          </w:tcPr>
          <w:p>
            <w:r>
              <w:rPr>
                <w:sz w:val="20"/>
                <w:szCs w:val="20"/>
              </w:rPr>
              <w:t xml:space="preserve">CreodeSwapRouter (constant-product AMM)</w:t>
            </w:r>
          </w:p>
        </w:tc>
        <w:tc>
          <w:tcPr>
            <w:tcW w:type="dxa" w:w="4200"/>
          </w:tcPr>
          <w:p>
            <w:r>
              <w:rPr>
                <w:sz w:val="20"/>
                <w:szCs w:val="20"/>
              </w:rPr>
              <w:t xml:space="preserve">0x34624a10E293039c18724FFCb4e0431dA45DaED3</w:t>
            </w:r>
          </w:p>
        </w:tc>
      </w:tr>
      <w:tr>
        <w:tc>
          <w:tcPr>
            <w:tcW w:type="dxa" w:w="5200"/>
          </w:tcPr>
          <w:p>
            <w:r>
              <w:rPr>
                <w:sz w:val="20"/>
                <w:szCs w:val="20"/>
              </w:rPr>
              <w:t xml:space="preserve">CreodeTreasurySwap</w:t>
            </w:r>
          </w:p>
        </w:tc>
        <w:tc>
          <w:tcPr>
            <w:tcW w:type="dxa" w:w="4200"/>
          </w:tcPr>
          <w:p>
            <w:r>
              <w:rPr>
                <w:sz w:val="20"/>
                <w:szCs w:val="20"/>
              </w:rPr>
              <w:t xml:space="preserve">0x2a873ED611D755e8B73E29a4839E34136e70eC53</w:t>
            </w:r>
          </w:p>
        </w:tc>
      </w:tr>
      <w:tr>
        <w:tc>
          <w:tcPr>
            <w:tcW w:type="dxa" w:w="5200"/>
          </w:tcPr>
          <w:p>
            <w:r>
              <w:rPr>
                <w:sz w:val="20"/>
                <w:szCs w:val="20"/>
              </w:rPr>
              <w:t xml:space="preserve">CreodeP2P (order-book escrow)</w:t>
            </w:r>
          </w:p>
        </w:tc>
        <w:tc>
          <w:tcPr>
            <w:tcW w:type="dxa" w:w="4200"/>
          </w:tcPr>
          <w:p>
            <w:r>
              <w:rPr>
                <w:sz w:val="20"/>
                <w:szCs w:val="20"/>
              </w:rPr>
              <w:t xml:space="preserve">0x87b6de843538E31fc368e13BE232320915a734ef</w:t>
            </w:r>
          </w:p>
        </w:tc>
      </w:tr>
      <w:tr>
        <w:tc>
          <w:tcPr>
            <w:tcW w:type="dxa" w:w="5200"/>
          </w:tcPr>
          <w:p>
            <w:r>
              <w:rPr>
                <w:sz w:val="20"/>
                <w:szCs w:val="20"/>
              </w:rPr>
              <w:t xml:space="preserve">CreodeGovernance (proposals &amp; voting)</w:t>
            </w:r>
          </w:p>
        </w:tc>
        <w:tc>
          <w:tcPr>
            <w:tcW w:type="dxa" w:w="4200"/>
          </w:tcPr>
          <w:p>
            <w:r>
              <w:rPr>
                <w:sz w:val="20"/>
                <w:szCs w:val="20"/>
              </w:rPr>
              <w:t xml:space="preserve">0xe2f8e91fDCb1a6Ed20E7298A5D5619B4203C9Bd5</w:t>
            </w:r>
          </w:p>
        </w:tc>
      </w:tr>
      <w:tr>
        <w:tc>
          <w:tcPr>
            <w:tcW w:type="dxa" w:w="5200"/>
          </w:tcPr>
          <w:p>
            <w:r>
              <w:rPr>
                <w:sz w:val="20"/>
                <w:szCs w:val="20"/>
              </w:rPr>
              <w:t xml:space="preserve">CODE (governance token)</w:t>
            </w:r>
          </w:p>
        </w:tc>
        <w:tc>
          <w:tcPr>
            <w:tcW w:type="dxa" w:w="4200"/>
          </w:tcPr>
          <w:p>
            <w:r>
              <w:rPr>
                <w:sz w:val="20"/>
                <w:szCs w:val="20"/>
              </w:rPr>
              <w:t xml:space="preserve">0x8bb07F6C0b071b9981Ed9ba5D7635055c705BE82</w:t>
            </w:r>
          </w:p>
        </w:tc>
      </w:tr>
      <w:tr>
        <w:tc>
          <w:tcPr>
            <w:tcW w:type="dxa" w:w="5200"/>
          </w:tcPr>
          <w:p>
            <w:r>
              <w:rPr>
                <w:sz w:val="20"/>
                <w:szCs w:val="20"/>
              </w:rPr>
              <w:t xml:space="preserve">CreodeFaucet (test tokens)</w:t>
            </w:r>
          </w:p>
        </w:tc>
        <w:tc>
          <w:tcPr>
            <w:tcW w:type="dxa" w:w="4200"/>
          </w:tcPr>
          <w:p>
            <w:r>
              <w:rPr>
                <w:sz w:val="20"/>
                <w:szCs w:val="20"/>
              </w:rPr>
              <w:t xml:space="preserve">0x2449135C532f78ed43C9c4a99307aAA987D39A41</w:t>
            </w:r>
          </w:p>
        </w:tc>
      </w:tr>
    </w:tbl>
    <w:p>
      <w:r>
        <w:br/>
        <w:t xml:space="preserve"/>
      </w:r>
    </w:p>
    <w:p>
      <w:pPr>
        <w:pStyle w:val="Heading1"/>
        <w:pBdr>
          <w:bottom w:val="single" w:color="00A8E8" w:sz="8" w:space="4"/>
        </w:pBdr>
        <w:spacing w:after="160" w:before="480"/>
      </w:pPr>
      <w:r>
        <w:rPr>
          <w:b/>
          <w:bCs/>
          <w:color w:val="1A1A2E"/>
          <w:sz w:val="30"/>
          <w:szCs w:val="30"/>
        </w:rPr>
        <w:t xml:space="preserve">Protocol Event Log (HCS)</w:t>
      </w:r>
    </w:p>
    <w:p>
      <w:pPr>
        <w:spacing w:after="160" w:line="300"/>
      </w:pPr>
      <w:r>
        <w:rPr>
          <w:sz w:val="22"/>
          <w:szCs w:val="22"/>
        </w:rPr>
        <w:t xml:space="preserve">Alongside its EVM contracts, Creode writes a real-time audit trail to the Hedera Consensus Service (HCS) — a dedicated topic that every Vault deposit/exit, P2P order fill, and governance action is logged to the moment it confirms on-chain.</w:t>
      </w:r>
    </w:p>
    <w:p>
      <w:pPr>
        <w:pStyle w:val="ListParagraph"/>
        <w:numPr>
          <w:ilvl w:val="0"/>
          <w:numId w:val="2"/>
        </w:numPr>
        <w:spacing w:after="90" w:line="280"/>
      </w:pPr>
      <w:r>
        <w:rPr>
          <w:b/>
          <w:bCs/>
          <w:sz w:val="22"/>
          <w:szCs w:val="22"/>
        </w:rPr>
        <w:t xml:space="preserve">Tamper-evident: </w:t>
      </w:r>
      <w:r>
        <w:rPr>
          <w:sz w:val="22"/>
          <w:szCs w:val="22"/>
        </w:rPr>
        <w:t xml:space="preserve">HCS gives each message a consensus timestamp and sequence number ordered by Hedera's aBFT consensus, independent of any single API or database Creode operates.</w:t>
      </w:r>
    </w:p>
    <w:p>
      <w:pPr>
        <w:pStyle w:val="ListParagraph"/>
        <w:numPr>
          <w:ilvl w:val="0"/>
          <w:numId w:val="2"/>
        </w:numPr>
        <w:spacing w:after="90" w:line="280"/>
      </w:pPr>
      <w:r>
        <w:rPr>
          <w:b/>
          <w:bCs/>
          <w:sz w:val="22"/>
          <w:szCs w:val="22"/>
        </w:rPr>
        <w:t xml:space="preserve">Independently verifiable: </w:t>
      </w:r>
      <w:r>
        <w:rPr>
          <w:sz w:val="22"/>
          <w:szCs w:val="22"/>
        </w:rPr>
        <w:t xml:space="preserve">anyone can read the topic directly from a Mirror Node — no trust in Creode's frontend required.</w:t>
      </w:r>
    </w:p>
    <w:p>
      <w:pPr>
        <w:pStyle w:val="ListParagraph"/>
        <w:numPr>
          <w:ilvl w:val="0"/>
          <w:numId w:val="2"/>
        </w:numPr>
        <w:spacing w:after="90" w:line="280"/>
      </w:pPr>
      <w:r>
        <w:rPr>
          <w:b/>
          <w:bCs/>
          <w:sz w:val="22"/>
          <w:szCs w:val="22"/>
        </w:rPr>
        <w:t xml:space="preserve">Read live in-app: </w:t>
      </w:r>
      <w:r>
        <w:rPr>
          <w:sz w:val="22"/>
          <w:szCs w:val="22"/>
        </w:rPr>
        <w:t xml:space="preserve">the Activity tab's Protocol Event Log panel shows these messages as they land, each linking to its underlying transaction on HashScan.</w:t>
      </w:r>
    </w:p>
    <w:p>
      <w:pPr>
        <w:spacing w:after="160" w:line="300"/>
      </w:pPr>
      <w:r>
        <w:rPr>
          <w:b/>
          <w:bCs/>
          <w:i w:val="false"/>
          <w:iCs w:val="false"/>
          <w:sz w:val="22"/>
          <w:szCs w:val="22"/>
        </w:rPr>
        <w:t xml:space="preserve">Topic: </w:t>
      </w:r>
      <w:r>
        <w:rPr>
          <w:sz w:val="22"/>
          <w:szCs w:val="22"/>
        </w:rPr>
        <w:t xml:space="preserve">0.0.9743201  (hashscan.io/testnet/topic/0.0.9743201)</w:t>
      </w:r>
    </w:p>
    <w:p>
      <w:pPr>
        <w:pStyle w:val="Heading1"/>
        <w:pBdr>
          <w:bottom w:val="single" w:color="00A8E8" w:sz="8" w:space="4"/>
        </w:pBdr>
        <w:spacing w:after="160" w:before="480"/>
      </w:pPr>
      <w:r>
        <w:rPr>
          <w:b/>
          <w:bCs/>
          <w:color w:val="1A1A2E"/>
          <w:sz w:val="30"/>
          <w:szCs w:val="30"/>
        </w:rPr>
        <w:t xml:space="preserve">Audits &amp; Security</w:t>
      </w:r>
    </w:p>
    <w:p>
      <w:pPr>
        <w:pBdr>
          <w:left w:val="single" w:color="EF4444" w:sz="18" w:space="8"/>
        </w:pBdr>
        <w:shd w:fill="FDECEC" w:val="clear"/>
        <w:spacing w:after="200" w:line="300"/>
        <w:ind w:left="100"/>
      </w:pPr>
      <w:r>
        <w:rPr>
          <w:i/>
          <w:iCs/>
          <w:color w:val="B91C1C"/>
          <w:sz w:val="20"/>
          <w:szCs w:val="20"/>
        </w:rPr>
        <w:t xml:space="preserve">These contracts are testnet, unaudited software. There is no third-party audit and no real value at risk. Do not deploy this code to mainnet or use it with real funds until it has been professionally audited.</w:t>
      </w:r>
    </w:p>
    <w:p>
      <w:pPr>
        <w:pStyle w:val="Heading2"/>
        <w:spacing w:after="100" w:before="280"/>
      </w:pPr>
      <w:r>
        <w:rPr>
          <w:b/>
          <w:bCs/>
          <w:color w:val="1A1A2E"/>
          <w:sz w:val="24"/>
          <w:szCs w:val="24"/>
        </w:rPr>
        <w:t xml:space="preserve">Secured by Hedera HTS</w:t>
      </w:r>
    </w:p>
    <w:p>
      <w:pPr>
        <w:spacing w:after="160" w:line="300"/>
      </w:pPr>
      <w:r>
        <w:rPr>
          <w:sz w:val="22"/>
          <w:szCs w:val="22"/>
        </w:rPr>
        <w:t xml:space="preserve">Creode's assets are Hedera Token Service (HTS) tokens, not plain ERC-20s bolted onto an EVM. HTS enforces token rules at the network layer, below and independent of any application contract:</w:t>
      </w:r>
    </w:p>
    <w:p>
      <w:pPr>
        <w:pStyle w:val="ListParagraph"/>
        <w:numPr>
          <w:ilvl w:val="0"/>
          <w:numId w:val="2"/>
        </w:numPr>
        <w:spacing w:after="90" w:line="280"/>
      </w:pPr>
      <w:r>
        <w:rPr>
          <w:b/>
          <w:bCs/>
          <w:sz w:val="22"/>
          <w:szCs w:val="22"/>
        </w:rPr>
        <w:t xml:space="preserve">Native token controls: </w:t>
      </w:r>
      <w:r>
        <w:rPr>
          <w:sz w:val="22"/>
          <w:szCs w:val="22"/>
        </w:rPr>
        <w:t xml:space="preserve">supply, freeze, wipe, pause and KYC keys are honored by consensus nodes themselves, so a token's rules can't be bypassed by a buggy or malicious contract.</w:t>
      </w:r>
    </w:p>
    <w:p>
      <w:pPr>
        <w:pStyle w:val="ListParagraph"/>
        <w:numPr>
          <w:ilvl w:val="0"/>
          <w:numId w:val="2"/>
        </w:numPr>
        <w:spacing w:after="90" w:line="280"/>
      </w:pPr>
      <w:r>
        <w:rPr>
          <w:b/>
          <w:bCs/>
          <w:sz w:val="22"/>
          <w:szCs w:val="22"/>
        </w:rPr>
        <w:t xml:space="preserve">Explicit association: </w:t>
      </w:r>
      <w:r>
        <w:rPr>
          <w:sz w:val="22"/>
          <w:szCs w:val="22"/>
        </w:rPr>
        <w:t xml:space="preserve">an account must associate a token before it can receive it, which blocks unsolicited-token and dusting attacks by default.</w:t>
      </w:r>
    </w:p>
    <w:p>
      <w:pPr>
        <w:pStyle w:val="ListParagraph"/>
        <w:numPr>
          <w:ilvl w:val="0"/>
          <w:numId w:val="2"/>
        </w:numPr>
        <w:spacing w:after="90" w:line="280"/>
      </w:pPr>
      <w:r>
        <w:rPr>
          <w:b/>
          <w:bCs/>
          <w:sz w:val="22"/>
          <w:szCs w:val="22"/>
        </w:rPr>
        <w:t xml:space="preserve">Deterministic finality: </w:t>
      </w:r>
      <w:r>
        <w:rPr>
          <w:sz w:val="22"/>
          <w:szCs w:val="22"/>
        </w:rPr>
        <w:t xml:space="preserve">Hedera's aBFT hashgraph consensus gives fast, final settlement with no re-org risk, so a confirmed Vault, Earn or P2P transaction cannot be rolled back.</w:t>
      </w:r>
    </w:p>
    <w:p>
      <w:pPr>
        <w:pStyle w:val="ListParagraph"/>
        <w:numPr>
          <w:ilvl w:val="0"/>
          <w:numId w:val="2"/>
        </w:numPr>
        <w:spacing w:after="90" w:line="280"/>
      </w:pPr>
      <w:r>
        <w:rPr>
          <w:sz w:val="22"/>
          <w:szCs w:val="22"/>
        </w:rPr>
        <w:t xml:space="preserve">Every HTS token also exposes the standard ERC-20 interface at its EVM address, so contracts interact with it normally while the network keeps enforcing the token-level guarantees.</w:t>
      </w:r>
    </w:p>
    <w:p>
      <w:pPr>
        <w:spacing w:after="160" w:line="300"/>
      </w:pPr>
      <w:r>
        <w:rPr>
          <w:sz w:val="22"/>
          <w:szCs w:val="22"/>
        </w:rPr>
        <w:t xml:space="preserve">On top of that network-level security, the contracts use battle-tested primitives:</w:t>
      </w:r>
    </w:p>
    <w:p>
      <w:pPr>
        <w:pStyle w:val="ListParagraph"/>
        <w:numPr>
          <w:ilvl w:val="0"/>
          <w:numId w:val="2"/>
        </w:numPr>
        <w:spacing w:after="90" w:line="280"/>
      </w:pPr>
      <w:r>
        <w:rPr>
          <w:sz w:val="22"/>
          <w:szCs w:val="22"/>
        </w:rPr>
        <w:t xml:space="preserve">OpenZeppelin AccessControl/Ownable, ReentrancyGuard, Pausable and SafeERC20.</w:t>
      </w:r>
    </w:p>
    <w:p>
      <w:pPr>
        <w:pStyle w:val="ListParagraph"/>
        <w:numPr>
          <w:ilvl w:val="0"/>
          <w:numId w:val="2"/>
        </w:numPr>
        <w:spacing w:after="90" w:line="280"/>
      </w:pPr>
      <w:r>
        <w:rPr>
          <w:b/>
          <w:bCs/>
          <w:sz w:val="22"/>
          <w:szCs w:val="22"/>
        </w:rPr>
        <w:t xml:space="preserve">Non-custodial escrow: </w:t>
      </w:r>
      <w:r>
        <w:rPr>
          <w:sz w:val="22"/>
          <w:szCs w:val="22"/>
        </w:rPr>
        <w:t xml:space="preserve">the P2P contract only holds a maker's funds until their own order fills or is cancelled; makers can always cancel to reclaim escrow.</w:t>
      </w:r>
    </w:p>
    <w:p>
      <w:pPr>
        <w:pStyle w:val="ListParagraph"/>
        <w:numPr>
          <w:ilvl w:val="0"/>
          <w:numId w:val="2"/>
        </w:numPr>
        <w:spacing w:after="90" w:line="280"/>
      </w:pPr>
      <w:r>
        <w:rPr>
          <w:b/>
          <w:bCs/>
          <w:sz w:val="22"/>
          <w:szCs w:val="22"/>
        </w:rPr>
        <w:t xml:space="preserve">Tamper-proof governance: </w:t>
      </w:r>
      <w:r>
        <w:rPr>
          <w:sz w:val="22"/>
          <w:szCs w:val="22"/>
        </w:rPr>
        <w:t xml:space="preserve">proposals, votes and tallies are stored and counted entirely in the CreodeGovernance contract; one vote per address is enforced on-chain.</w:t>
      </w:r>
    </w:p>
    <w:p>
      <w:pPr>
        <w:pStyle w:val="ListParagraph"/>
        <w:numPr>
          <w:ilvl w:val="0"/>
          <w:numId w:val="2"/>
        </w:numPr>
        <w:spacing w:after="90" w:line="280"/>
      </w:pPr>
      <w:r>
        <w:rPr>
          <w:sz w:val="22"/>
          <w:szCs w:val="22"/>
        </w:rPr>
        <w:t xml:space="preserve">Admin functions (pause, fee, treasury, quorum) are role-gated; the protocol fee is hard-capped in-contract.</w:t>
      </w:r>
    </w:p>
    <w:p>
      <w:pPr>
        <w:spacing w:after="160" w:line="300"/>
      </w:pPr>
      <w:r>
        <w:rPr>
          <w:sz w:val="22"/>
          <w:szCs w:val="22"/>
        </w:rPr>
        <w:t xml:space="preserve">All source and deployments are verifiable on HashScan (hashscan.io/testnet).</w:t>
      </w:r>
    </w:p>
    <w:p>
      <w:pPr>
        <w:pStyle w:val="Heading1"/>
        <w:pBdr>
          <w:bottom w:val="single" w:color="00A8E8" w:sz="8" w:space="4"/>
        </w:pBdr>
        <w:spacing w:after="160" w:before="480"/>
      </w:pPr>
      <w:r>
        <w:rPr>
          <w:b/>
          <w:bCs/>
          <w:color w:val="1A1A2E"/>
          <w:sz w:val="30"/>
          <w:szCs w:val="30"/>
        </w:rPr>
        <w:t xml:space="preserve">Support &amp; Links</w:t>
      </w:r>
    </w:p>
    <w:p>
      <w:pPr>
        <w:pStyle w:val="ListParagraph"/>
        <w:numPr>
          <w:ilvl w:val="0"/>
          <w:numId w:val="2"/>
        </w:numPr>
        <w:spacing w:after="90" w:line="280"/>
      </w:pPr>
      <w:r>
        <w:rPr>
          <w:b/>
          <w:bCs/>
          <w:sz w:val="22"/>
          <w:szCs w:val="22"/>
        </w:rPr>
        <w:t xml:space="preserve">HashScan (Testnet explorer): </w:t>
      </w:r>
      <w:r>
        <w:rPr>
          <w:sz w:val="22"/>
          <w:szCs w:val="22"/>
        </w:rPr>
        <w:t xml:space="preserve">hashscan.io/testnet — look up any transaction, account or contract.</w:t>
      </w:r>
    </w:p>
    <w:p>
      <w:pPr>
        <w:pStyle w:val="ListParagraph"/>
        <w:numPr>
          <w:ilvl w:val="0"/>
          <w:numId w:val="2"/>
        </w:numPr>
        <w:spacing w:after="90" w:line="280"/>
      </w:pPr>
      <w:r>
        <w:rPr>
          <w:b/>
          <w:bCs/>
          <w:sz w:val="22"/>
          <w:szCs w:val="22"/>
        </w:rPr>
        <w:t xml:space="preserve">Hedera Testnet faucet: </w:t>
      </w:r>
      <w:r>
        <w:rPr>
          <w:sz w:val="22"/>
          <w:szCs w:val="22"/>
        </w:rPr>
        <w:t xml:space="preserve">portal.hedera.com/faucet — get test HBAR for gas.</w:t>
      </w:r>
    </w:p>
    <w:p>
      <w:pPr>
        <w:pStyle w:val="ListParagraph"/>
        <w:numPr>
          <w:ilvl w:val="0"/>
          <w:numId w:val="2"/>
        </w:numPr>
        <w:spacing w:after="90" w:line="280"/>
      </w:pPr>
      <w:r>
        <w:rPr>
          <w:b/>
          <w:bCs/>
          <w:sz w:val="22"/>
          <w:szCs w:val="22"/>
        </w:rPr>
        <w:t xml:space="preserve">Hedera developer docs: </w:t>
      </w:r>
      <w:r>
        <w:rPr>
          <w:sz w:val="22"/>
          <w:szCs w:val="22"/>
        </w:rPr>
        <w:t xml:space="preserve">docs.hedera.com — network, HTS and JSON-RPC reference.</w:t>
      </w:r>
    </w:p>
    <w:p>
      <w:pPr>
        <w:spacing w:after="160" w:line="300"/>
      </w:pPr>
      <w:r>
        <w:rPr>
          <w:sz w:val="22"/>
          <w:szCs w:val="22"/>
        </w:rPr>
        <w:t xml:space="preserve">Hit a snag? The most common issues are (1) wallet not on Hedera Testnet, (2) no test HBAR for gas, or (3) a token you haven't claimed from the faucet yet. Work through the Getting Started checklist first.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2026-07-25T13:25:26.439Z</dcterms:created>
  <dcterms:modified xsi:type="dcterms:W3CDTF">2026-07-25T13:25:26.439Z</dcterms:modified>
</cp:coreProperties>
</file>

<file path=docProps/custom.xml><?xml version="1.0" encoding="utf-8"?>
<Properties xmlns="http://schemas.openxmlformats.org/officeDocument/2006/custom-properties" xmlns:vt="http://schemas.openxmlformats.org/officeDocument/2006/docPropsVTypes"/>
</file>