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0B2545"/>
          <w:sz w:val="44"/>
        </w:rPr>
        <w:t>Updated Intern Module Brief</w:t>
      </w:r>
    </w:p>
    <w:p>
      <w:pPr>
        <w:spacing w:after="200"/>
      </w:pPr>
      <w:r>
        <w:rPr>
          <w:rFonts w:ascii="Calibri" w:hAnsi="Calibri" w:eastAsia="Calibri"/>
          <w:color w:val="5B677A"/>
          <w:sz w:val="23"/>
        </w:rPr>
        <w:t>Employee Productivity Monitoring System | TypeScript, Web3, GSAP, and Lenis Addendum</w:t>
      </w:r>
    </w:p>
    <w:p>
      <w:pPr>
        <w:spacing w:after="240"/>
      </w:pPr>
      <w:r>
        <w:rPr>
          <w:rFonts w:ascii="Calibri" w:hAnsi="Calibri" w:eastAsia="Calibri"/>
          <w:color w:val="5B677A"/>
          <w:sz w:val="20"/>
        </w:rPr>
        <w:t>Prepared for intern execution and project-level frontend modernization. Date: 20 June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3FA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Senior direction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The static HTML product shell should move to a TypeScript frontend. The intern modules remain independently owned and should communicate only through agreed APIs, schemas, and WebSocket contracts. Do not rewrite intern module code just to support UI work.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1. Change Summary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Shift the current HTML dashboard/demo surface into a TypeScript application with typed API clients and reusable UI modules.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Use GSAP for deliberate, high-quality transitions and dashboard micro-interactions.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Use Lenis for smooth page scrolling where it improves long dashboard/report pages, while preserving keyboard and reduced-motion accessibility.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Use Web3 only for approved identity/demo/audit-adjacent flows. Do not store employee/student monitoring data, screenshots, or private activity data on-chain.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Keep business logic in backend/core services. The frontend displays and controls workflows through documented APIs only.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2. Updated Assignment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503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#</w:t>
            </w:r>
          </w:p>
        </w:tc>
        <w:tc>
          <w:tcPr>
            <w:tcW w:type="dxa" w:w="194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Module</w:t>
            </w:r>
          </w:p>
        </w:tc>
        <w:tc>
          <w:tcPr>
            <w:tcW w:type="dxa" w:w="115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Assignee</w:t>
            </w:r>
          </w:p>
        </w:tc>
        <w:tc>
          <w:tcPr>
            <w:tcW w:type="dxa" w:w="2448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Primary Function</w:t>
            </w:r>
          </w:p>
        </w:tc>
        <w:tc>
          <w:tcPr>
            <w:tcW w:type="dxa" w:w="3311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TypeScript / UI Integration Impact</w:t>
            </w:r>
          </w:p>
        </w:tc>
      </w:tr>
      <w:tr>
        <w:tc>
          <w:tcPr>
            <w:tcW w:type="dxa" w:w="503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194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Agent &amp; Activity Monitoring</w:t>
            </w:r>
          </w:p>
        </w:tc>
        <w:tc>
          <w:tcPr>
            <w:tcW w:type="dxa" w:w="115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Bhumika</w:t>
            </w:r>
          </w:p>
        </w:tc>
        <w:tc>
          <w:tcPr>
            <w:tcW w:type="dxa" w:w="2448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Capture user activity, idle time, and screenshot metadata from the system.</w:t>
            </w:r>
          </w:p>
        </w:tc>
        <w:tc>
          <w:tcPr>
            <w:tcW w:type="dxa" w:w="3311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Must produce structured event envelopes that can be represented as shared TypeScript types. No direct dashboard or backend ORM access.</w:t>
            </w:r>
          </w:p>
        </w:tc>
      </w:tr>
      <w:tr>
        <w:tc>
          <w:tcPr>
            <w:tcW w:type="dxa" w:w="503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194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Storage &amp; Sync Client</w:t>
            </w:r>
          </w:p>
        </w:tc>
        <w:tc>
          <w:tcPr>
            <w:tcW w:type="dxa" w:w="115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Vaidehi</w:t>
            </w:r>
          </w:p>
        </w:tc>
        <w:tc>
          <w:tcPr>
            <w:tcW w:type="dxa" w:w="2448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Persist data locally and reliably transmit it to backend.</w:t>
            </w:r>
          </w:p>
        </w:tc>
        <w:tc>
          <w:tcPr>
            <w:tcW w:type="dxa" w:w="3311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Must expose sync status, queue health, UUID event IDs, accepted/duplicate/rejected acknowledgements, and dead-letter reasons for dashboard visibility.</w:t>
            </w:r>
          </w:p>
        </w:tc>
      </w:tr>
      <w:tr>
        <w:tc>
          <w:tcPr>
            <w:tcW w:type="dxa" w:w="503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194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Backend &amp; Real-Time System</w:t>
            </w:r>
          </w:p>
        </w:tc>
        <w:tc>
          <w:tcPr>
            <w:tcW w:type="dxa" w:w="115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Sanskruti</w:t>
            </w:r>
          </w:p>
        </w:tc>
        <w:tc>
          <w:tcPr>
            <w:tcW w:type="dxa" w:w="2448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Process, store, and serve data with real-time tracking.</w:t>
            </w:r>
          </w:p>
        </w:tc>
        <w:tc>
          <w:tcPr>
            <w:tcW w:type="dxa" w:w="3311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Owns the APIs, OpenAPI/JSON schemas, WebSocket payloads, tenant-scoped rooms, and typed response contracts consumed by the TypeScript frontend.</w:t>
            </w:r>
          </w:p>
        </w:tc>
      </w:tr>
      <w:tr>
        <w:tc>
          <w:tcPr>
            <w:tcW w:type="dxa" w:w="503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194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Security &amp; System Persistence</w:t>
            </w:r>
          </w:p>
        </w:tc>
        <w:tc>
          <w:tcPr>
            <w:tcW w:type="dxa" w:w="115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Kiara</w:t>
            </w:r>
          </w:p>
        </w:tc>
        <w:tc>
          <w:tcPr>
            <w:tcW w:type="dxa" w:w="2448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Ensure system runs continuously and enforce policies.</w:t>
            </w:r>
          </w:p>
        </w:tc>
        <w:tc>
          <w:tcPr>
            <w:tcW w:type="dxa" w:w="3311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Owns secure token handling, HTTPS/WSS assumptions, legal gates, Web3 security boundaries, CSP guidance, and system policy enforcement constraints.</w:t>
            </w:r>
          </w:p>
        </w:tc>
      </w:tr>
      <w:tr>
        <w:tc>
          <w:tcPr>
            <w:tcW w:type="dxa" w:w="503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5</w:t>
            </w:r>
          </w:p>
        </w:tc>
        <w:tc>
          <w:tcPr>
            <w:tcW w:type="dxa" w:w="194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Machine Learning &amp; Analytics</w:t>
            </w:r>
          </w:p>
        </w:tc>
        <w:tc>
          <w:tcPr>
            <w:tcW w:type="dxa" w:w="115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Vikrant</w:t>
            </w:r>
          </w:p>
        </w:tc>
        <w:tc>
          <w:tcPr>
            <w:tcW w:type="dxa" w:w="2448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Generate insights and productivity intelligence.</w:t>
            </w:r>
          </w:p>
        </w:tc>
        <w:tc>
          <w:tcPr>
            <w:tcW w:type="dxa" w:w="3311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Must expose analytics as safe, typed DTOs through backend endpoints. No risk scoring or sensitive inference in the frontend until legal review.</w:t>
            </w:r>
          </w:p>
        </w:tc>
      </w:tr>
      <w:tr>
        <w:tc>
          <w:tcPr>
            <w:tcW w:type="dxa" w:w="503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194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Frontend Dashboard &amp; Interaction Layer</w:t>
            </w:r>
          </w:p>
        </w:tc>
        <w:tc>
          <w:tcPr>
            <w:tcW w:type="dxa" w:w="115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TBD / Product UI Owner</w:t>
            </w:r>
          </w:p>
        </w:tc>
        <w:tc>
          <w:tcPr>
            <w:tcW w:type="dxa" w:w="2448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Migrate HTML to a production TypeScript UI with modern interactions.</w:t>
            </w:r>
          </w:p>
        </w:tc>
        <w:tc>
          <w:tcPr>
            <w:tcW w:type="dxa" w:w="3311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Owns TypeScript app structure, API client, WebSocket client, Web3 adapter, GSAP animation layer, Lenis scroll setup, UI states, exports, filters, and sample-data labels.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3. Frontend Modernization Scope</w:t>
      </w:r>
    </w:p>
    <w:p>
      <w:r>
        <w:rPr>
          <w:rFonts w:ascii="Calibri" w:hAnsi="Calibri" w:eastAsia="Calibri"/>
        </w:rPr>
        <w:t>The existing HTML should be treated as a prototype shell. The target is a typed frontend that can be wired to real backend APIs without mixing monitoring logic into the UI.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Recommended application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7364A"/>
                <w:sz w:val="18"/>
              </w:rPr>
              <w:t>frontend/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src/main.ts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src/api/              # typed REST clients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src/realtime/         # WebSocket client and room subscriptions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src/types/            # generated or shared DTO types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src/web3/             # wallet/session adapter only if approved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src/animations/       # GSAP timelines and motion utilities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src/scroll/           # Lenis setup and cleanup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src/pages/            # dashboard, detail, reports, settings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src/styles/           # light/dark tokens and responsive layout</w:t>
            </w:r>
          </w:p>
        </w:tc>
      </w:tr>
    </w:tbl>
    <w:p/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Preferred baseline: Vite + TypeScript. If a framework is approved, use React + TypeScript with typed hooks and components.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The frontend must not write directly to databases, local queue files, screenshots, host files, or ML artifacts.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Sample/demo data must be labeled visibly as Sample Data until connected to authenticated APIs.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4. TypeScript Contract Requirements</w:t>
      </w:r>
    </w:p>
    <w:p>
      <w:r>
        <w:rPr>
          <w:rFonts w:ascii="Calibri" w:hAnsi="Calibri" w:eastAsia="Calibri"/>
        </w:rPr>
        <w:t>The frontend should consume contracts generated from backend JSON Schema/OpenAPI wherever possible. Avoid manually inventing field names inside components.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7364A"/>
                <w:sz w:val="18"/>
              </w:rPr>
              <w:t>export interface ClientEventEnvelope {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schema_version: "1.0";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tenant_id: string;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device_id: string;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event_id: string;      // UUID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idempotency_key: string;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event_type: "activity" | "idle" | "heartbeat" | "policy";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occurred_at: string;   // ISO date-time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captured_at: string;   // ISO date-time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payload: Record&lt;string, unknown&gt;;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>export interface SyncAck {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accepted: string[];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duplicates: string[];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rejected: Array&lt;{ event_id: string; error: string }&gt;; 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>}</w:t>
            </w:r>
          </w:p>
        </w:tc>
      </w:tr>
    </w:tbl>
    <w:p/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Every API response used by the dashboard should have an exported TypeScript type.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WebSocket messages should include tenant scope, message type, timestamp, and typed payload.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Frontend filters, reports, and exports should operate on typed API response models, not raw ad-hoc objects.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5. Web3 Usage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Web3 rule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Web3 must not become the storage layer for monitoring data. Use it only where it creates clear product value and has been approved by security/legal review.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Allowed Web3 uses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Wallet connection for an optional admin/investor demo identity flow.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Signature-based proof that an authorized admin approved a sensitive configuration change.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Optional audit hash pointer for non-sensitive verification metadata, after legal review.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Not allowed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Do not put student, employee, screenshot, browsing, activity, or productivity data on-chain.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Do not replace JWT/device credentials or backend object permissions with wallet-only checks.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Do not require monitored students/employees to use wallets.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Do not let Web3 calls block core dashboard loading or monitoring workflows.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6. GSAP Animation Standards</w:t>
      </w:r>
    </w:p>
    <w:p>
      <w:r>
        <w:rPr>
          <w:rFonts w:ascii="Calibri" w:hAnsi="Calibri" w:eastAsia="Calibri"/>
        </w:rPr>
        <w:t>GSAP should make the interface feel precise and premium, not decorative or distracting.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Use GSAP for page transitions, modal/drawer entrances, timeline reveals, status changes, counters, and live-card updates.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Keep animations short: most UI transitions should land within 150-350 ms.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Respect prefers-reduced-motion and provide instant-state alternatives.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Clean up timelines when components unmount. Avoid global timelines that keep running in hidden views.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Do not animate large tables row-by-row if it harms dashboard performance.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7364A"/>
                <w:sz w:val="18"/>
              </w:rPr>
              <w:t>import gsap from "gsap";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>export function revealPanel(target: Element) {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return gsap.fromTo(target,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  { autoAlpha: 0, y: 12 },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  { autoAlpha: 1, y: 0, duration: 0.24, ease: "power2.out" }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);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7. Lenis Scroll Standards</w:t>
      </w:r>
    </w:p>
    <w:p>
      <w:r>
        <w:rPr>
          <w:rFonts w:ascii="Calibri" w:hAnsi="Calibri" w:eastAsia="Calibri"/>
        </w:rPr>
        <w:t>Lenis should be initialized once at the app shell level and used only where smooth scrolling improves the experience.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Use Lenis on long dashboard, report, audit, or landing/demo pages.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Preserve native keyboard navigation, focus behavior, anchor links, and modal scroll locks.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Disable or simplify smooth scroll when prefers-reduced-motion is active.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Avoid double scroll containers unless the UX absolutely requires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7364A"/>
                <w:sz w:val="18"/>
              </w:rPr>
              <w:t>import Lenis from "lenis";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>export function createLenis() {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const lenis = new Lenis({ duration: 1.0, smoothWheel: true });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function raf(time: number) {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  lenis.raf(time);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  requestAnimationFrame(raf);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requestAnimationFrame(raf);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return lenis;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8. UI Design Tokens To Preserve</w:t>
      </w:r>
    </w:p>
    <w:p>
      <w:r>
        <w:rPr>
          <w:rFonts w:ascii="Calibri" w:hAnsi="Calibri" w:eastAsia="Calibri"/>
        </w:rPr>
        <w:t>Use the approved neutral blue system and fonts. Edition-specific language should change labels, not the core component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22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Mode</w:t>
            </w:r>
          </w:p>
        </w:tc>
        <w:tc>
          <w:tcPr>
            <w:tcW w:type="dxa" w:w="2015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Background</w:t>
            </w:r>
          </w:p>
        </w:tc>
        <w:tc>
          <w:tcPr>
            <w:tcW w:type="dxa" w:w="18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Surface</w:t>
            </w:r>
          </w:p>
        </w:tc>
        <w:tc>
          <w:tcPr>
            <w:tcW w:type="dxa" w:w="18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Text</w:t>
            </w:r>
          </w:p>
        </w:tc>
        <w:tc>
          <w:tcPr>
            <w:tcW w:type="dxa" w:w="25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Primary / Accent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Light</w:t>
            </w:r>
          </w:p>
        </w:tc>
        <w:tc>
          <w:tcPr>
            <w:tcW w:type="dxa" w:w="2015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#F0F4FA</w:t>
            </w:r>
          </w:p>
        </w:tc>
        <w:tc>
          <w:tcPr>
            <w:tcW w:type="dxa" w:w="18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#FFFFFF</w:t>
            </w:r>
          </w:p>
        </w:tc>
        <w:tc>
          <w:tcPr>
            <w:tcW w:type="dxa" w:w="18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#0C1C4E</w:t>
            </w:r>
          </w:p>
        </w:tc>
        <w:tc>
          <w:tcPr>
            <w:tcW w:type="dxa" w:w="25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#1A3D8F / #C2D0EC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Dark</w:t>
            </w:r>
          </w:p>
        </w:tc>
        <w:tc>
          <w:tcPr>
            <w:tcW w:type="dxa" w:w="2015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#03081E</w:t>
            </w:r>
          </w:p>
        </w:tc>
        <w:tc>
          <w:tcPr>
            <w:tcW w:type="dxa" w:w="18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#071035</w:t>
            </w:r>
          </w:p>
        </w:tc>
        <w:tc>
          <w:tcPr>
            <w:tcW w:type="dxa" w:w="18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#E8EEF8</w:t>
            </w:r>
          </w:p>
        </w:tc>
        <w:tc>
          <w:tcPr>
            <w:tcW w:type="dxa" w:w="25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#2C5BA8 / #8AAAD8</w:t>
            </w:r>
          </w:p>
        </w:tc>
      </w:tr>
    </w:tbl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Fonts: Manrope for headings, Figtree for dashboard labels, Inter for dense tables and forms.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Cards and controls should remain compact, readable, and manager/teacher friendly rather than marketing-heavy.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Dashboard views must support both education and workforce language without forking the application.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9. Intern-Specific Acceptance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96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Assignee</w:t>
            </w:r>
          </w:p>
        </w:tc>
        <w:tc>
          <w:tcPr>
            <w:tcW w:type="dxa" w:w="410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Must Demonstrate</w:t>
            </w:r>
          </w:p>
        </w:tc>
        <w:tc>
          <w:tcPr>
            <w:tcW w:type="dxa" w:w="39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Must Avoid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Bhumika</w:t>
            </w:r>
          </w:p>
        </w:tc>
        <w:tc>
          <w:tcPr>
            <w:tcW w:type="dxa" w:w="410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Activity, idle, and screenshot metadata match the shared event envelope and are stable under multitasking.</w:t>
            </w:r>
          </w:p>
        </w:tc>
        <w:tc>
          <w:tcPr>
            <w:tcW w:type="dxa" w:w="39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Direct Django ORM access, direct frontend calls, binary screenshot streaming without legal gate.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Vaidehi</w:t>
            </w:r>
          </w:p>
        </w:tc>
        <w:tc>
          <w:tcPr>
            <w:tcW w:type="dxa" w:w="410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Local queue survives restart, uses UUID event IDs, parses accepted/duplicate/rejected sync responses correctly.</w:t>
            </w:r>
          </w:p>
        </w:tc>
        <w:tc>
          <w:tcPr>
            <w:tcW w:type="dxa" w:w="39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Marking HTTP 207 as total success, dropping rejected records, duplicate transmissions.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Sanskruti</w:t>
            </w:r>
          </w:p>
        </w:tc>
        <w:tc>
          <w:tcPr>
            <w:tcW w:type="dxa" w:w="410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APIs and WebSockets are tenant-scoped, authenticated, documented, and consumable by TypeScript clients.</w:t>
            </w:r>
          </w:p>
        </w:tc>
        <w:tc>
          <w:tcPr>
            <w:tcW w:type="dxa" w:w="39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Global realtime rooms, untyped payload drift, unauthenticated dashboard data.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Kiara</w:t>
            </w:r>
          </w:p>
        </w:tc>
        <w:tc>
          <w:tcPr>
            <w:tcW w:type="dxa" w:w="410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Tokens, policies, service persistence, legal gates, HTTPS/WSS, and Web3 boundaries are documented and testable.</w:t>
            </w:r>
          </w:p>
        </w:tc>
        <w:tc>
          <w:tcPr>
            <w:tcW w:type="dxa" w:w="39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Storing secrets in frontend, bypassing backend auth, forcing Web3 into monitored-person flows.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Vikrant</w:t>
            </w:r>
          </w:p>
        </w:tc>
        <w:tc>
          <w:tcPr>
            <w:tcW w:type="dxa" w:w="4104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Analytics DTOs are versioned, explainable, and safe to display in dashboard summaries.</w:t>
            </w:r>
          </w:p>
        </w:tc>
        <w:tc>
          <w:tcPr>
            <w:tcW w:type="dxa" w:w="39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Frontend-side scoring logic, high-risk labels, sensitive inference without review.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10. Development Rules After This Update</w:t>
      </w:r>
    </w:p>
    <w:p>
      <w:pPr>
        <w:pStyle w:val="ListNumber"/>
        <w:spacing w:after="80"/>
      </w:pPr>
      <w:r>
        <w:rPr>
          <w:rFonts w:ascii="Calibri" w:hAnsi="Calibri" w:eastAsia="Calibri"/>
          <w:sz w:val="21"/>
        </w:rPr>
        <w:t>Frontend work starts in a separate TypeScript app path and consumes APIs/contracts. It must not patch intern modules directly.</w:t>
      </w:r>
    </w:p>
    <w:p>
      <w:pPr>
        <w:pStyle w:val="ListNumber"/>
        <w:spacing w:after="80"/>
      </w:pPr>
      <w:r>
        <w:rPr>
          <w:rFonts w:ascii="Calibri" w:hAnsi="Calibri" w:eastAsia="Calibri"/>
          <w:sz w:val="21"/>
        </w:rPr>
        <w:t>All new UI data models must map to backend JSON Schema/OpenAPI definitions.</w:t>
      </w:r>
    </w:p>
    <w:p>
      <w:pPr>
        <w:pStyle w:val="ListNumber"/>
        <w:spacing w:after="80"/>
      </w:pPr>
      <w:r>
        <w:rPr>
          <w:rFonts w:ascii="Calibri" w:hAnsi="Calibri" w:eastAsia="Calibri"/>
          <w:sz w:val="21"/>
        </w:rPr>
        <w:t>Animation and smooth scrolling must be accessible, measurable, and easy to disable.</w:t>
      </w:r>
    </w:p>
    <w:p>
      <w:pPr>
        <w:pStyle w:val="ListNumber"/>
        <w:spacing w:after="80"/>
      </w:pPr>
      <w:r>
        <w:rPr>
          <w:rFonts w:ascii="Calibri" w:hAnsi="Calibri" w:eastAsia="Calibri"/>
          <w:sz w:val="21"/>
        </w:rPr>
        <w:t>Web3 must be feature-flagged and legally/security reviewed before production use.</w:t>
      </w:r>
    </w:p>
    <w:p>
      <w:pPr>
        <w:pStyle w:val="ListNumber"/>
        <w:spacing w:after="80"/>
      </w:pPr>
      <w:r>
        <w:rPr>
          <w:rFonts w:ascii="Calibri" w:hAnsi="Calibri" w:eastAsia="Calibri"/>
          <w:sz w:val="21"/>
        </w:rPr>
        <w:t>No screenshot streaming, file-system surveillance, ML risk scoring, or remote commands should enter the production path until consent, audit, retention, and legal review are complete.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11. Definition Of Done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The HTML prototype is replaced by a TypeScript app with typed API and WebSocket clients.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The UI has empty states, loading states, error states, role-gated views, filters, reports, and export-ready screens.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GSAP animations are scoped, performant, and reduced-motion aware.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Lenis scrolling works without breaking keyboard navigation, modals, or anchor links.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Web3 is isolated behind an adapter and feature flag with no sensitive monitoring data on-chain.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Each intern module passes its own tests and integrates only through the defined contracts.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B677A"/>
        <w:sz w:val="17"/>
      </w:rPr>
      <w:t>Updated intern brief - TypeScript/Web3/GSAP/Lenis addendum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