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D78D" w14:textId="77777777" w:rsidR="00DA389B" w:rsidRPr="00DA389B" w:rsidRDefault="00DA389B" w:rsidP="00DA389B">
      <w:pPr>
        <w:pStyle w:val="Title"/>
        <w:rPr>
          <w:rFonts w:ascii="Times New Roman" w:hAnsi="Times New Roman" w:cs="Times New Roman"/>
          <w:b/>
          <w:bCs/>
        </w:rPr>
      </w:pPr>
      <w:proofErr w:type="spellStart"/>
      <w:r w:rsidRPr="00DA389B">
        <w:rPr>
          <w:rFonts w:ascii="Times New Roman" w:hAnsi="Times New Roman" w:cs="Times New Roman"/>
          <w:b/>
          <w:bCs/>
        </w:rPr>
        <w:t>Advocai</w:t>
      </w:r>
      <w:proofErr w:type="spellEnd"/>
      <w:r w:rsidRPr="00DA389B">
        <w:rPr>
          <w:rFonts w:ascii="Times New Roman" w:hAnsi="Times New Roman" w:cs="Times New Roman"/>
          <w:b/>
          <w:bCs/>
        </w:rPr>
        <w:t>: The Autonomous Health Insurance Advocate</w:t>
      </w:r>
    </w:p>
    <w:p w14:paraId="6C1E3F6D" w14:textId="2CF802E7" w:rsidR="00DA389B" w:rsidRPr="00C71B18" w:rsidRDefault="00BF473D" w:rsidP="00DA389B">
      <w:pPr>
        <w:pStyle w:val="Heading1"/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>Introduction</w:t>
      </w:r>
    </w:p>
    <w:p w14:paraId="32C2E466" w14:textId="77777777" w:rsidR="00DA576D" w:rsidRPr="00C71B18" w:rsidRDefault="00DA576D" w:rsidP="00DA389B">
      <w:pPr>
        <w:pStyle w:val="Heading2"/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>Project Overview &amp; Real-World Problem</w:t>
      </w:r>
    </w:p>
    <w:p w14:paraId="79C0EE80" w14:textId="77777777" w:rsidR="00DA576D" w:rsidRPr="00DA576D" w:rsidRDefault="00DA576D" w:rsidP="00DA576D">
      <w:pPr>
        <w:rPr>
          <w:rFonts w:ascii="Times New Roman" w:hAnsi="Times New Roman" w:cs="Times New Roman"/>
        </w:rPr>
      </w:pPr>
      <w:proofErr w:type="spellStart"/>
      <w:r w:rsidRPr="00DA576D">
        <w:rPr>
          <w:rFonts w:ascii="Times New Roman" w:hAnsi="Times New Roman" w:cs="Times New Roman"/>
        </w:rPr>
        <w:t>Advocai</w:t>
      </w:r>
      <w:proofErr w:type="spellEnd"/>
      <w:r w:rsidRPr="00DA576D">
        <w:rPr>
          <w:rFonts w:ascii="Times New Roman" w:hAnsi="Times New Roman" w:cs="Times New Roman"/>
        </w:rPr>
        <w:t xml:space="preserve"> is a sequential </w:t>
      </w:r>
      <w:r w:rsidRPr="00DA576D">
        <w:rPr>
          <w:rFonts w:ascii="Times New Roman" w:hAnsi="Times New Roman" w:cs="Times New Roman"/>
          <w:b/>
          <w:bCs/>
        </w:rPr>
        <w:t>Multi-Agent System</w:t>
      </w:r>
      <w:r w:rsidRPr="00DA576D">
        <w:rPr>
          <w:rFonts w:ascii="Times New Roman" w:hAnsi="Times New Roman" w:cs="Times New Roman"/>
        </w:rPr>
        <w:t xml:space="preserve"> designed to combat the rising and complex issue of </w:t>
      </w:r>
      <w:r w:rsidRPr="00DA576D">
        <w:rPr>
          <w:rFonts w:ascii="Times New Roman" w:hAnsi="Times New Roman" w:cs="Times New Roman"/>
          <w:b/>
          <w:bCs/>
        </w:rPr>
        <w:t>health insurance claim denials</w:t>
      </w:r>
      <w:r w:rsidRPr="00DA576D">
        <w:rPr>
          <w:rFonts w:ascii="Times New Roman" w:hAnsi="Times New Roman" w:cs="Times New Roman"/>
        </w:rPr>
        <w:t>. It transforms the slow, intimidating, and manual process of appealing a denial into a fast, data-driven, autonomous workflow.</w:t>
      </w:r>
    </w:p>
    <w:p w14:paraId="798A8F58" w14:textId="77777777" w:rsidR="00DA576D" w:rsidRPr="00C71B18" w:rsidRDefault="00DA576D" w:rsidP="00DA389B">
      <w:pPr>
        <w:pStyle w:val="Heading2"/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>The Problem: A Statistical Crisis</w:t>
      </w:r>
    </w:p>
    <w:p w14:paraId="53AA2412" w14:textId="77777777" w:rsidR="00DA576D" w:rsidRPr="00DA576D" w:rsidRDefault="00DA576D" w:rsidP="00DA576D">
      <w:p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</w:rPr>
        <w:t>The process of fighting a denial is a classic "David vs. Goliath" scenario, where patients are overwhelmed by bureaucracy and legalistic language.</w:t>
      </w:r>
    </w:p>
    <w:p w14:paraId="41369F2E" w14:textId="77777777" w:rsidR="00DA576D" w:rsidRPr="00DA576D" w:rsidRDefault="00DA576D" w:rsidP="00DA57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  <w:b/>
          <w:bCs/>
        </w:rPr>
        <w:t>High Denial Rate:</w:t>
      </w:r>
      <w:r w:rsidRPr="00DA576D">
        <w:rPr>
          <w:rFonts w:ascii="Times New Roman" w:hAnsi="Times New Roman" w:cs="Times New Roman"/>
        </w:rPr>
        <w:t xml:space="preserve"> Insurers denied an average of </w:t>
      </w:r>
      <w:r w:rsidRPr="00DA576D">
        <w:rPr>
          <w:rFonts w:ascii="Times New Roman" w:hAnsi="Times New Roman" w:cs="Times New Roman"/>
          <w:b/>
          <w:bCs/>
        </w:rPr>
        <w:t>19% of in-network claims</w:t>
      </w:r>
      <w:r w:rsidRPr="00DA576D">
        <w:rPr>
          <w:rFonts w:ascii="Times New Roman" w:hAnsi="Times New Roman" w:cs="Times New Roman"/>
        </w:rPr>
        <w:t xml:space="preserve"> in 2023. For some </w:t>
      </w:r>
      <w:r w:rsidRPr="00DA576D">
        <w:rPr>
          <w:rFonts w:ascii="Times New Roman" w:hAnsi="Times New Roman" w:cs="Times New Roman"/>
          <w:b/>
          <w:bCs/>
        </w:rPr>
        <w:t>high-volume insurers</w:t>
      </w:r>
      <w:r w:rsidRPr="00DA576D">
        <w:rPr>
          <w:rFonts w:ascii="Times New Roman" w:hAnsi="Times New Roman" w:cs="Times New Roman"/>
        </w:rPr>
        <w:t xml:space="preserve">, denial rates reached as high as </w:t>
      </w:r>
      <w:r w:rsidRPr="00DA576D">
        <w:rPr>
          <w:rFonts w:ascii="Times New Roman" w:hAnsi="Times New Roman" w:cs="Times New Roman"/>
          <w:b/>
          <w:bCs/>
        </w:rPr>
        <w:t>35% or more.</w:t>
      </w:r>
    </w:p>
    <w:p w14:paraId="67857CFA" w14:textId="77777777" w:rsidR="00DA576D" w:rsidRPr="00DA576D" w:rsidRDefault="00DA576D" w:rsidP="00DA57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  <w:b/>
          <w:bCs/>
        </w:rPr>
        <w:t>The Appeal Gap (The Opportunity):</w:t>
      </w:r>
      <w:r w:rsidRPr="00DA576D">
        <w:rPr>
          <w:rFonts w:ascii="Times New Roman" w:hAnsi="Times New Roman" w:cs="Times New Roman"/>
        </w:rPr>
        <w:t xml:space="preserve"> Consumers </w:t>
      </w:r>
      <w:r w:rsidRPr="00DA576D">
        <w:rPr>
          <w:rFonts w:ascii="Times New Roman" w:hAnsi="Times New Roman" w:cs="Times New Roman"/>
          <w:b/>
          <w:bCs/>
        </w:rPr>
        <w:t>rarely appeal denied claims</w:t>
      </w:r>
      <w:r w:rsidRPr="00DA576D">
        <w:rPr>
          <w:rFonts w:ascii="Times New Roman" w:hAnsi="Times New Roman" w:cs="Times New Roman"/>
        </w:rPr>
        <w:t xml:space="preserve">—appeals occur for </w:t>
      </w:r>
      <w:r w:rsidRPr="00DA576D">
        <w:rPr>
          <w:rFonts w:ascii="Times New Roman" w:hAnsi="Times New Roman" w:cs="Times New Roman"/>
          <w:b/>
          <w:bCs/>
        </w:rPr>
        <w:t xml:space="preserve">less than 1% </w:t>
      </w:r>
      <w:r w:rsidRPr="00DA576D">
        <w:rPr>
          <w:rFonts w:ascii="Times New Roman" w:hAnsi="Times New Roman" w:cs="Times New Roman"/>
        </w:rPr>
        <w:t>of all denied claims. Of the appeals that are filed, insurers often uphold their initial denial 56% of the time.</w:t>
      </w:r>
    </w:p>
    <w:p w14:paraId="071877CA" w14:textId="77777777" w:rsidR="00DA576D" w:rsidRPr="00DA576D" w:rsidRDefault="00DA576D" w:rsidP="00DA57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  <w:b/>
          <w:bCs/>
        </w:rPr>
        <w:t>The Cost:</w:t>
      </w:r>
      <w:r w:rsidRPr="00DA576D">
        <w:rPr>
          <w:rFonts w:ascii="Times New Roman" w:hAnsi="Times New Roman" w:cs="Times New Roman"/>
        </w:rPr>
        <w:t xml:space="preserve"> Denied claims contribute significantly to </w:t>
      </w:r>
      <w:r w:rsidRPr="00DA576D">
        <w:rPr>
          <w:rFonts w:ascii="Times New Roman" w:hAnsi="Times New Roman" w:cs="Times New Roman"/>
          <w:b/>
          <w:bCs/>
        </w:rPr>
        <w:t>"wasted" healthcare dollars</w:t>
      </w:r>
      <w:r w:rsidRPr="00DA576D">
        <w:rPr>
          <w:rFonts w:ascii="Times New Roman" w:hAnsi="Times New Roman" w:cs="Times New Roman"/>
        </w:rPr>
        <w:t xml:space="preserve"> in the US, with administrative costs climbing well over </w:t>
      </w:r>
      <w:r w:rsidRPr="00DA576D">
        <w:rPr>
          <w:rFonts w:ascii="Times New Roman" w:hAnsi="Times New Roman" w:cs="Times New Roman"/>
          <w:b/>
          <w:bCs/>
        </w:rPr>
        <w:t>$265 billion annually</w:t>
      </w:r>
      <w:r w:rsidRPr="00DA576D">
        <w:rPr>
          <w:rFonts w:ascii="Times New Roman" w:hAnsi="Times New Roman" w:cs="Times New Roman"/>
        </w:rPr>
        <w:t>, affecting both patients and providers.</w:t>
      </w:r>
    </w:p>
    <w:p w14:paraId="610BBC10" w14:textId="39E1B867" w:rsidR="00DA576D" w:rsidRPr="00DA576D" w:rsidRDefault="00DA576D" w:rsidP="006214A6">
      <w:p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</w:rPr>
        <w:t>Advocai’s Goal: To leverage Agentic AI to close the appeal gap. By automating the evidence gathering and legal drafting, we provide expert advocacy accessible to anyone, reducing delays in essential care.</w:t>
      </w:r>
    </w:p>
    <w:p w14:paraId="6F801655" w14:textId="77777777" w:rsidR="00A62A1E" w:rsidRPr="00C71B18" w:rsidRDefault="00A62A1E" w:rsidP="00DA576D">
      <w:pPr>
        <w:rPr>
          <w:rFonts w:ascii="Times New Roman" w:hAnsi="Times New Roman" w:cs="Times New Roman"/>
        </w:rPr>
      </w:pPr>
    </w:p>
    <w:p w14:paraId="4A420C61" w14:textId="77777777" w:rsidR="00C71B18" w:rsidRDefault="00C71B18" w:rsidP="00C71B18"/>
    <w:p w14:paraId="23A2F3F3" w14:textId="77777777" w:rsidR="00C71B18" w:rsidRDefault="00C71B18" w:rsidP="00C71B18"/>
    <w:p w14:paraId="5E1123C4" w14:textId="77777777" w:rsidR="00C71B18" w:rsidRDefault="00C71B18" w:rsidP="00C71B18"/>
    <w:p w14:paraId="5EF572D8" w14:textId="77777777" w:rsidR="00C71B18" w:rsidRDefault="00C71B18" w:rsidP="00C71B18"/>
    <w:p w14:paraId="06B2F477" w14:textId="77777777" w:rsidR="00C71B18" w:rsidRDefault="00C71B18" w:rsidP="00C71B18"/>
    <w:p w14:paraId="693D571F" w14:textId="77777777" w:rsidR="00C71B18" w:rsidRDefault="00C71B18" w:rsidP="00C71B18"/>
    <w:p w14:paraId="62AC03ED" w14:textId="77777777" w:rsidR="00C71B18" w:rsidRDefault="00C71B18" w:rsidP="00C71B18"/>
    <w:p w14:paraId="462948E7" w14:textId="0053F9CC" w:rsidR="00C71B18" w:rsidRPr="00E475AC" w:rsidRDefault="00C71B18" w:rsidP="00C71B18">
      <w:pPr>
        <w:pStyle w:val="Heading1"/>
        <w:rPr>
          <w:rFonts w:ascii="Times New Roman" w:hAnsi="Times New Roman" w:cs="Times New Roman"/>
          <w:b/>
          <w:bCs/>
        </w:rPr>
      </w:pPr>
      <w:r w:rsidRPr="00E475AC">
        <w:rPr>
          <w:rFonts w:ascii="Times New Roman" w:hAnsi="Times New Roman" w:cs="Times New Roman"/>
          <w:b/>
          <w:bCs/>
        </w:rPr>
        <w:lastRenderedPageBreak/>
        <w:t>Deep Dive:</w:t>
      </w:r>
      <w:r w:rsidR="00E475AC" w:rsidRPr="00E475AC">
        <w:rPr>
          <w:rFonts w:ascii="Times New Roman" w:hAnsi="Times New Roman" w:cs="Times New Roman"/>
          <w:b/>
          <w:bCs/>
        </w:rPr>
        <w:t xml:space="preserve"> T</w:t>
      </w:r>
      <w:r w:rsidR="00E475AC" w:rsidRPr="00C71B18">
        <w:rPr>
          <w:rFonts w:ascii="Times New Roman" w:hAnsi="Times New Roman" w:cs="Times New Roman"/>
          <w:b/>
          <w:bCs/>
        </w:rPr>
        <w:t>he Statistical Crisis &amp; Opportunity</w:t>
      </w:r>
    </w:p>
    <w:p w14:paraId="6F38AE84" w14:textId="77777777" w:rsidR="00E475AC" w:rsidRDefault="00E475AC" w:rsidP="00C71B18">
      <w:pPr>
        <w:rPr>
          <w:rFonts w:ascii="Times New Roman" w:hAnsi="Times New Roman" w:cs="Times New Roman"/>
          <w:b/>
          <w:bCs/>
        </w:rPr>
      </w:pPr>
    </w:p>
    <w:p w14:paraId="1ACBFCD6" w14:textId="30A2C3A7" w:rsidR="00C71B18" w:rsidRPr="00C71B18" w:rsidRDefault="00C71B18" w:rsidP="00E475AC">
      <w:pPr>
        <w:pStyle w:val="Heading2"/>
      </w:pPr>
      <w:r w:rsidRPr="00C71B18">
        <w:t>1. The Denied Claim Epidemic: Beyond the 19%</w:t>
      </w:r>
    </w:p>
    <w:p w14:paraId="1EAF67A0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The </w:t>
      </w:r>
      <w:r w:rsidRPr="00C71B18">
        <w:rPr>
          <w:rFonts w:ascii="Times New Roman" w:hAnsi="Times New Roman" w:cs="Times New Roman"/>
          <w:b/>
          <w:bCs/>
        </w:rPr>
        <w:t>19% average denial rate</w:t>
      </w:r>
      <w:r w:rsidRPr="00C71B18">
        <w:rPr>
          <w:rFonts w:ascii="Times New Roman" w:hAnsi="Times New Roman" w:cs="Times New Roman"/>
        </w:rPr>
        <w:t xml:space="preserve"> is only the tip of the iceberg. The true problem lies in the </w:t>
      </w:r>
      <w:r w:rsidRPr="00C71B18">
        <w:rPr>
          <w:rFonts w:ascii="Times New Roman" w:hAnsi="Times New Roman" w:cs="Times New Roman"/>
          <w:i/>
          <w:iCs/>
        </w:rPr>
        <w:t>types</w:t>
      </w:r>
      <w:r w:rsidRPr="00C71B18">
        <w:rPr>
          <w:rFonts w:ascii="Times New Roman" w:hAnsi="Times New Roman" w:cs="Times New Roman"/>
        </w:rPr>
        <w:t xml:space="preserve"> of denials and their systemic nature:</w:t>
      </w:r>
    </w:p>
    <w:p w14:paraId="4A271C59" w14:textId="77777777" w:rsidR="00C71B18" w:rsidRPr="00C71B18" w:rsidRDefault="00C71B18" w:rsidP="00C71B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Algorithmic Denials:</w:t>
      </w:r>
      <w:r w:rsidRPr="00C71B18">
        <w:rPr>
          <w:rFonts w:ascii="Times New Roman" w:hAnsi="Times New Roman" w:cs="Times New Roman"/>
        </w:rPr>
        <w:t xml:space="preserve"> Many large insurers employ </w:t>
      </w:r>
      <w:r w:rsidRPr="00C71B18">
        <w:rPr>
          <w:rFonts w:ascii="Times New Roman" w:hAnsi="Times New Roman" w:cs="Times New Roman"/>
          <w:b/>
          <w:bCs/>
        </w:rPr>
        <w:t>AI-driven utilization management systems</w:t>
      </w:r>
      <w:r w:rsidRPr="00C71B18">
        <w:rPr>
          <w:rFonts w:ascii="Times New Roman" w:hAnsi="Times New Roman" w:cs="Times New Roman"/>
        </w:rPr>
        <w:t xml:space="preserve"> that automatically flag and deny claims based on pre-set parameters, often without human review. This efficiency-driven automation, while fast for the insurer, is often inaccurate or too rigid. </w:t>
      </w:r>
      <w:proofErr w:type="spellStart"/>
      <w:r w:rsidRPr="00C71B18">
        <w:rPr>
          <w:rFonts w:ascii="Times New Roman" w:hAnsi="Times New Roman" w:cs="Times New Roman"/>
          <w:b/>
          <w:bCs/>
        </w:rPr>
        <w:t>Advocai</w:t>
      </w:r>
      <w:proofErr w:type="spellEnd"/>
      <w:r w:rsidRPr="00C71B18">
        <w:rPr>
          <w:rFonts w:ascii="Times New Roman" w:hAnsi="Times New Roman" w:cs="Times New Roman"/>
        </w:rPr>
        <w:t xml:space="preserve"> essentially fights fire with fire, using a more sophisticated, evidence-based AI to counter the insurer's initial denial algorithm.</w:t>
      </w:r>
    </w:p>
    <w:p w14:paraId="59775726" w14:textId="77777777" w:rsidR="00C71B18" w:rsidRPr="00C71B18" w:rsidRDefault="00C71B18" w:rsidP="00C71B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The "Clean Claim" Standard:</w:t>
      </w:r>
      <w:r w:rsidRPr="00C71B18">
        <w:rPr>
          <w:rFonts w:ascii="Times New Roman" w:hAnsi="Times New Roman" w:cs="Times New Roman"/>
        </w:rPr>
        <w:t xml:space="preserve"> Many denials (up to 60-70% in some categories) are initially rejected not for lack of medical necessity, but for </w:t>
      </w:r>
      <w:r w:rsidRPr="00C71B18">
        <w:rPr>
          <w:rFonts w:ascii="Times New Roman" w:hAnsi="Times New Roman" w:cs="Times New Roman"/>
          <w:b/>
          <w:bCs/>
        </w:rPr>
        <w:t>administrative errors</w:t>
      </w:r>
      <w:r w:rsidRPr="00C71B18">
        <w:rPr>
          <w:rFonts w:ascii="Times New Roman" w:hAnsi="Times New Roman" w:cs="Times New Roman"/>
        </w:rPr>
        <w:t xml:space="preserve"> (e.g., wrong billing code, late filing, lack of pre-authorization). While the Auditor Agent focuses on policy-based denials, the structure can be extended to quickly identify and correct these administrative errors, streamlining the process even further.</w:t>
      </w:r>
    </w:p>
    <w:p w14:paraId="52573E52" w14:textId="77777777" w:rsidR="00C71B18" w:rsidRPr="00C71B18" w:rsidRDefault="00C71B18" w:rsidP="00C71B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The Psychological Barrier:</w:t>
      </w:r>
      <w:r w:rsidRPr="00C71B18">
        <w:rPr>
          <w:rFonts w:ascii="Times New Roman" w:hAnsi="Times New Roman" w:cs="Times New Roman"/>
        </w:rPr>
        <w:t xml:space="preserve"> The current </w:t>
      </w:r>
      <w:r w:rsidRPr="00C71B18">
        <w:rPr>
          <w:rFonts w:ascii="Times New Roman" w:hAnsi="Times New Roman" w:cs="Times New Roman"/>
          <w:b/>
          <w:bCs/>
        </w:rPr>
        <w:t>&lt;1% appeal rate</w:t>
      </w:r>
      <w:r w:rsidRPr="00C71B18">
        <w:rPr>
          <w:rFonts w:ascii="Times New Roman" w:hAnsi="Times New Roman" w:cs="Times New Roman"/>
        </w:rPr>
        <w:t xml:space="preserve"> exists because the appeal process is designed to be intentionally complex. It requires referencing CPT codes, ICD-10 codes, state-specific regulations, and proprietary clinical guidelines—a massive, uncompensated effort that is simply beyond the capacity of the average person. </w:t>
      </w:r>
      <w:proofErr w:type="spellStart"/>
      <w:r w:rsidRPr="00C71B18">
        <w:rPr>
          <w:rFonts w:ascii="Times New Roman" w:hAnsi="Times New Roman" w:cs="Times New Roman"/>
          <w:b/>
          <w:bCs/>
        </w:rPr>
        <w:t>Advocai</w:t>
      </w:r>
      <w:proofErr w:type="spellEnd"/>
      <w:r w:rsidRPr="00C71B18">
        <w:rPr>
          <w:rFonts w:ascii="Times New Roman" w:hAnsi="Times New Roman" w:cs="Times New Roman"/>
        </w:rPr>
        <w:t xml:space="preserve"> democratizes access to this expertise.</w:t>
      </w:r>
    </w:p>
    <w:p w14:paraId="77FEB0BE" w14:textId="2552577A" w:rsidR="00C71B18" w:rsidRPr="00C71B18" w:rsidRDefault="00C71B18" w:rsidP="00C71B18">
      <w:pPr>
        <w:rPr>
          <w:rFonts w:ascii="Times New Roman" w:hAnsi="Times New Roman" w:cs="Times New Roman"/>
        </w:rPr>
      </w:pPr>
    </w:p>
    <w:p w14:paraId="26CA08CD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0474D402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4DFBE062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5B1E5422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3786AE62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648399E4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363B8B0E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59C9561A" w14:textId="77777777" w:rsidR="00E475AC" w:rsidRDefault="00E475AC" w:rsidP="00C71B18">
      <w:pPr>
        <w:rPr>
          <w:rFonts w:ascii="Segoe UI Emoji" w:hAnsi="Segoe UI Emoji" w:cs="Segoe UI Emoji"/>
          <w:b/>
          <w:bCs/>
        </w:rPr>
      </w:pPr>
    </w:p>
    <w:p w14:paraId="00CF6AE1" w14:textId="34D81038" w:rsidR="00C71B18" w:rsidRPr="00C71B18" w:rsidRDefault="00C71B18" w:rsidP="00E475AC">
      <w:pPr>
        <w:pStyle w:val="Heading2"/>
      </w:pPr>
      <w:r w:rsidRPr="00C71B18">
        <w:lastRenderedPageBreak/>
        <w:t>The Agentic Solution: Why Three Specialists?</w:t>
      </w:r>
    </w:p>
    <w:p w14:paraId="3043E4F9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The core strength of </w:t>
      </w:r>
      <w:proofErr w:type="spellStart"/>
      <w:r w:rsidRPr="00C71B18">
        <w:rPr>
          <w:rFonts w:ascii="Times New Roman" w:hAnsi="Times New Roman" w:cs="Times New Roman"/>
          <w:b/>
          <w:bCs/>
        </w:rPr>
        <w:t>Advocai</w:t>
      </w:r>
      <w:proofErr w:type="spellEnd"/>
      <w:r w:rsidRPr="00C71B18">
        <w:rPr>
          <w:rFonts w:ascii="Times New Roman" w:hAnsi="Times New Roman" w:cs="Times New Roman"/>
        </w:rPr>
        <w:t xml:space="preserve"> is its sequential </w:t>
      </w:r>
      <w:r w:rsidRPr="00C71B18">
        <w:rPr>
          <w:rFonts w:ascii="Times New Roman" w:hAnsi="Times New Roman" w:cs="Times New Roman"/>
          <w:b/>
          <w:bCs/>
        </w:rPr>
        <w:t>Multi-Agent Pipeline</w:t>
      </w:r>
      <w:r w:rsidRPr="00C71B18">
        <w:rPr>
          <w:rFonts w:ascii="Times New Roman" w:hAnsi="Times New Roman" w:cs="Times New Roman"/>
        </w:rPr>
        <w:t xml:space="preserve">, which mimics the division of </w:t>
      </w:r>
      <w:proofErr w:type="spellStart"/>
      <w:r w:rsidRPr="00C71B18">
        <w:rPr>
          <w:rFonts w:ascii="Times New Roman" w:hAnsi="Times New Roman" w:cs="Times New Roman"/>
        </w:rPr>
        <w:t>labor</w:t>
      </w:r>
      <w:proofErr w:type="spellEnd"/>
      <w:r w:rsidRPr="00C71B18">
        <w:rPr>
          <w:rFonts w:ascii="Times New Roman" w:hAnsi="Times New Roman" w:cs="Times New Roman"/>
        </w:rPr>
        <w:t xml:space="preserve"> in a high-stakes legal team. No single LLM call could achieve the required level of accuracy and integration.</w:t>
      </w:r>
    </w:p>
    <w:p w14:paraId="37B3F6E1" w14:textId="77777777" w:rsidR="00C71B18" w:rsidRPr="00C71B18" w:rsidRDefault="00C71B18" w:rsidP="00E475AC">
      <w:pPr>
        <w:pStyle w:val="Heading3"/>
      </w:pPr>
      <w:r w:rsidRPr="00C71B18">
        <w:t xml:space="preserve">Agent 1: The Auditor Agent (Perception &amp; </w:t>
      </w:r>
      <w:proofErr w:type="spellStart"/>
      <w:r w:rsidRPr="00C71B18">
        <w:t>Pydantic</w:t>
      </w:r>
      <w:proofErr w:type="spellEnd"/>
      <w:r w:rsidRPr="00C71B18">
        <w:t xml:space="preserve"> Structuring)</w:t>
      </w:r>
    </w:p>
    <w:p w14:paraId="0E12F397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The Auditor's primary function is </w:t>
      </w:r>
      <w:r w:rsidRPr="00C71B18">
        <w:rPr>
          <w:rFonts w:ascii="Times New Roman" w:hAnsi="Times New Roman" w:cs="Times New Roman"/>
          <w:b/>
          <w:bCs/>
        </w:rPr>
        <w:t>Perception and Context Engineering</w:t>
      </w:r>
      <w:r w:rsidRPr="00C71B18">
        <w:rPr>
          <w:rFonts w:ascii="Times New Roman" w:hAnsi="Times New Roman" w:cs="Times New Roman"/>
        </w:rPr>
        <w:t>. It must translate chaos (unstructured text) into order (</w:t>
      </w:r>
      <w:proofErr w:type="spellStart"/>
      <w:r w:rsidRPr="00C71B18">
        <w:rPr>
          <w:rFonts w:ascii="Times New Roman" w:hAnsi="Times New Roman" w:cs="Times New Roman"/>
        </w:rPr>
        <w:t>Pydantic</w:t>
      </w:r>
      <w:proofErr w:type="spellEnd"/>
      <w:r w:rsidRPr="00C71B18">
        <w:rPr>
          <w:rFonts w:ascii="Times New Roman" w:hAnsi="Times New Roman" w:cs="Times New Roman"/>
        </w:rPr>
        <w:t xml:space="preserve"> objects).</w:t>
      </w:r>
    </w:p>
    <w:p w14:paraId="08179B8F" w14:textId="77777777" w:rsidR="00C71B18" w:rsidRPr="00C71B18" w:rsidRDefault="00C71B18" w:rsidP="00C71B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Task Complexity:</w:t>
      </w:r>
      <w:r w:rsidRPr="00C71B18">
        <w:rPr>
          <w:rFonts w:ascii="Times New Roman" w:hAnsi="Times New Roman" w:cs="Times New Roman"/>
        </w:rPr>
        <w:t xml:space="preserve"> It doesn't just read the PDF; it performs </w:t>
      </w:r>
      <w:r w:rsidRPr="00C71B18">
        <w:rPr>
          <w:rFonts w:ascii="Times New Roman" w:hAnsi="Times New Roman" w:cs="Times New Roman"/>
          <w:b/>
          <w:bCs/>
        </w:rPr>
        <w:t>semantic search</w:t>
      </w:r>
      <w:r w:rsidRPr="00C71B18">
        <w:rPr>
          <w:rFonts w:ascii="Times New Roman" w:hAnsi="Times New Roman" w:cs="Times New Roman"/>
        </w:rPr>
        <w:t xml:space="preserve"> </w:t>
      </w:r>
      <w:r w:rsidRPr="00C71B18">
        <w:rPr>
          <w:rFonts w:ascii="Times New Roman" w:hAnsi="Times New Roman" w:cs="Times New Roman"/>
          <w:i/>
          <w:iCs/>
        </w:rPr>
        <w:t>within</w:t>
      </w:r>
      <w:r w:rsidRPr="00C71B18">
        <w:rPr>
          <w:rFonts w:ascii="Times New Roman" w:hAnsi="Times New Roman" w:cs="Times New Roman"/>
        </w:rPr>
        <w:t xml:space="preserve"> the documents. For instance, it must identify the denial code (e.g., </w:t>
      </w:r>
      <w:r w:rsidRPr="00C71B18">
        <w:rPr>
          <w:rFonts w:ascii="Times New Roman" w:hAnsi="Times New Roman" w:cs="Times New Roman"/>
          <w:b/>
          <w:bCs/>
        </w:rPr>
        <w:t>CO-50</w:t>
      </w:r>
      <w:r w:rsidRPr="00C71B18">
        <w:rPr>
          <w:rFonts w:ascii="Times New Roman" w:hAnsi="Times New Roman" w:cs="Times New Roman"/>
        </w:rPr>
        <w:t xml:space="preserve"> for "</w:t>
      </w:r>
      <w:proofErr w:type="gramStart"/>
      <w:r w:rsidRPr="00C71B18">
        <w:rPr>
          <w:rFonts w:ascii="Times New Roman" w:hAnsi="Times New Roman" w:cs="Times New Roman"/>
        </w:rPr>
        <w:t>Non-covered</w:t>
      </w:r>
      <w:proofErr w:type="gramEnd"/>
      <w:r w:rsidRPr="00C71B18">
        <w:rPr>
          <w:rFonts w:ascii="Times New Roman" w:hAnsi="Times New Roman" w:cs="Times New Roman"/>
        </w:rPr>
        <w:t xml:space="preserve"> service") in the denial letter and then map that code to the precise exclusionary text (</w:t>
      </w:r>
      <w:r w:rsidRPr="00C71B18">
        <w:rPr>
          <w:rFonts w:ascii="Times New Roman" w:hAnsi="Times New Roman" w:cs="Times New Roman"/>
          <w:b/>
          <w:bCs/>
        </w:rPr>
        <w:t>Policy Clause</w:t>
      </w:r>
      <w:r w:rsidRPr="00C71B18">
        <w:rPr>
          <w:rFonts w:ascii="Times New Roman" w:hAnsi="Times New Roman" w:cs="Times New Roman"/>
        </w:rPr>
        <w:t>) within the 100-page policy document.</w:t>
      </w:r>
    </w:p>
    <w:p w14:paraId="0CB77D2B" w14:textId="77777777" w:rsidR="00C71B18" w:rsidRPr="00C71B18" w:rsidRDefault="00C71B18" w:rsidP="00C71B1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71B18">
        <w:rPr>
          <w:rFonts w:ascii="Times New Roman" w:hAnsi="Times New Roman" w:cs="Times New Roman"/>
          <w:b/>
          <w:bCs/>
        </w:rPr>
        <w:t>Pydantic</w:t>
      </w:r>
      <w:proofErr w:type="spellEnd"/>
      <w:r w:rsidRPr="00C71B18">
        <w:rPr>
          <w:rFonts w:ascii="Times New Roman" w:hAnsi="Times New Roman" w:cs="Times New Roman"/>
          <w:b/>
          <w:bCs/>
        </w:rPr>
        <w:t xml:space="preserve"> Enforcement:</w:t>
      </w:r>
      <w:r w:rsidRPr="00C71B18">
        <w:rPr>
          <w:rFonts w:ascii="Times New Roman" w:hAnsi="Times New Roman" w:cs="Times New Roman"/>
        </w:rPr>
        <w:t xml:space="preserve"> This agent's success relies entirely on </w:t>
      </w:r>
      <w:r w:rsidRPr="00C71B18">
        <w:rPr>
          <w:rFonts w:ascii="Times New Roman" w:hAnsi="Times New Roman" w:cs="Times New Roman"/>
          <w:b/>
          <w:bCs/>
        </w:rPr>
        <w:t>structured output</w:t>
      </w:r>
      <w:r w:rsidRPr="00C71B18">
        <w:rPr>
          <w:rFonts w:ascii="Times New Roman" w:hAnsi="Times New Roman" w:cs="Times New Roman"/>
        </w:rPr>
        <w:t xml:space="preserve">. By forcing the output into the </w:t>
      </w:r>
      <w:proofErr w:type="spellStart"/>
      <w:r w:rsidRPr="00C71B18">
        <w:rPr>
          <w:rFonts w:ascii="Times New Roman" w:hAnsi="Times New Roman" w:cs="Times New Roman"/>
        </w:rPr>
        <w:t>StructuredDenial</w:t>
      </w:r>
      <w:proofErr w:type="spellEnd"/>
      <w:r w:rsidRPr="00C71B18">
        <w:rPr>
          <w:rFonts w:ascii="Times New Roman" w:hAnsi="Times New Roman" w:cs="Times New Roman"/>
        </w:rPr>
        <w:t xml:space="preserve"> </w:t>
      </w:r>
      <w:proofErr w:type="spellStart"/>
      <w:r w:rsidRPr="00C71B18">
        <w:rPr>
          <w:rFonts w:ascii="Times New Roman" w:hAnsi="Times New Roman" w:cs="Times New Roman"/>
        </w:rPr>
        <w:t>Pydantic</w:t>
      </w:r>
      <w:proofErr w:type="spellEnd"/>
      <w:r w:rsidRPr="00C71B18">
        <w:rPr>
          <w:rFonts w:ascii="Times New Roman" w:hAnsi="Times New Roman" w:cs="Times New Roman"/>
        </w:rPr>
        <w:t xml:space="preserve"> model, we ensure the downstream agents receive clean, machine-readable data, eliminating ambiguity. This single step makes the entire workflow reliable.</w:t>
      </w:r>
    </w:p>
    <w:p w14:paraId="76498148" w14:textId="77777777" w:rsidR="00C71B18" w:rsidRPr="00C71B18" w:rsidRDefault="00C71B18" w:rsidP="00E475AC">
      <w:pPr>
        <w:pStyle w:val="Heading3"/>
      </w:pPr>
      <w:r w:rsidRPr="00C71B18">
        <w:t>Agent 2: The Clinician Agent (In-Depth Reasoning &amp; Tool-Use)</w:t>
      </w:r>
    </w:p>
    <w:p w14:paraId="7CF19CDD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The Clinician Agent is the </w:t>
      </w:r>
      <w:r w:rsidRPr="00C71B18">
        <w:rPr>
          <w:rFonts w:ascii="Times New Roman" w:hAnsi="Times New Roman" w:cs="Times New Roman"/>
          <w:b/>
          <w:bCs/>
        </w:rPr>
        <w:t>Fact-Checker</w:t>
      </w:r>
      <w:r w:rsidRPr="00C71B18">
        <w:rPr>
          <w:rFonts w:ascii="Times New Roman" w:hAnsi="Times New Roman" w:cs="Times New Roman"/>
        </w:rPr>
        <w:t xml:space="preserve">. Its value proposition is its ability to access and interpret external data sources, a capability known as </w:t>
      </w:r>
      <w:r w:rsidRPr="00C71B18">
        <w:rPr>
          <w:rFonts w:ascii="Times New Roman" w:hAnsi="Times New Roman" w:cs="Times New Roman"/>
          <w:b/>
          <w:bCs/>
        </w:rPr>
        <w:t>Grounded Generation</w:t>
      </w:r>
      <w:r w:rsidRPr="00C71B18">
        <w:rPr>
          <w:rFonts w:ascii="Times New Roman" w:hAnsi="Times New Roman" w:cs="Times New Roman"/>
        </w:rPr>
        <w:t>.</w:t>
      </w:r>
    </w:p>
    <w:p w14:paraId="5C1BD846" w14:textId="77777777" w:rsidR="00C71B18" w:rsidRPr="00C71B18" w:rsidRDefault="00C71B18" w:rsidP="00C71B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Tool-Use Necessity:</w:t>
      </w:r>
      <w:r w:rsidRPr="00C71B18">
        <w:rPr>
          <w:rFonts w:ascii="Times New Roman" w:hAnsi="Times New Roman" w:cs="Times New Roman"/>
        </w:rPr>
        <w:t xml:space="preserve"> When the Auditor identifies a denial based on "lack of medical necessity," the Clinician must prove otherwise. Its only recourse is the </w:t>
      </w:r>
      <w:r w:rsidRPr="00C71B18">
        <w:rPr>
          <w:rFonts w:ascii="Times New Roman" w:hAnsi="Times New Roman" w:cs="Times New Roman"/>
          <w:b/>
          <w:bCs/>
        </w:rPr>
        <w:t>pubmed_search.py tool</w:t>
      </w:r>
      <w:r w:rsidRPr="00C71B18">
        <w:rPr>
          <w:rFonts w:ascii="Times New Roman" w:hAnsi="Times New Roman" w:cs="Times New Roman"/>
        </w:rPr>
        <w:t>, which connects it to the vast, peer-reviewed medical literature. The LLM must reason that a direct tool call is necessary, generate the precise search query (e.g., "Clinical efficacy of procedure X for condition Y in 2024"), and then synthesize the results.</w:t>
      </w:r>
    </w:p>
    <w:p w14:paraId="3344D75D" w14:textId="77777777" w:rsidR="00C71B18" w:rsidRPr="00C71B18" w:rsidRDefault="00C71B18" w:rsidP="00C71B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Output Synthesis:</w:t>
      </w:r>
      <w:r w:rsidRPr="00C71B18">
        <w:rPr>
          <w:rFonts w:ascii="Times New Roman" w:hAnsi="Times New Roman" w:cs="Times New Roman"/>
        </w:rPr>
        <w:t xml:space="preserve"> The Clinician doesn't just pass PubMed articles; it synthesizes the evidence into a concise, high-impact </w:t>
      </w:r>
      <w:r w:rsidRPr="00C71B18">
        <w:rPr>
          <w:rFonts w:ascii="Times New Roman" w:hAnsi="Times New Roman" w:cs="Times New Roman"/>
          <w:b/>
          <w:bCs/>
        </w:rPr>
        <w:t>Clinical Summary</w:t>
      </w:r>
      <w:r w:rsidRPr="00C71B18">
        <w:rPr>
          <w:rFonts w:ascii="Times New Roman" w:hAnsi="Times New Roman" w:cs="Times New Roman"/>
        </w:rPr>
        <w:t xml:space="preserve"> that directly refutes the policy clause, ready for legal integration.</w:t>
      </w:r>
    </w:p>
    <w:p w14:paraId="7306CDC5" w14:textId="77777777" w:rsidR="00C71B18" w:rsidRPr="00C71B18" w:rsidRDefault="00C71B18" w:rsidP="00E475AC">
      <w:pPr>
        <w:pStyle w:val="Heading3"/>
      </w:pPr>
      <w:r w:rsidRPr="00C71B18">
        <w:t>Agent 3: The Barrister Agent (Legal Drafting &amp; Final Action)</w:t>
      </w:r>
    </w:p>
    <w:p w14:paraId="6710E73D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The Barrister is the </w:t>
      </w:r>
      <w:r w:rsidRPr="00C71B18">
        <w:rPr>
          <w:rFonts w:ascii="Times New Roman" w:hAnsi="Times New Roman" w:cs="Times New Roman"/>
          <w:b/>
          <w:bCs/>
        </w:rPr>
        <w:t>Final Generator</w:t>
      </w:r>
      <w:r w:rsidRPr="00C71B18">
        <w:rPr>
          <w:rFonts w:ascii="Times New Roman" w:hAnsi="Times New Roman" w:cs="Times New Roman"/>
        </w:rPr>
        <w:t>—the point of action. It's the most valuable agent, as it provides the final output that the user can submit.</w:t>
      </w:r>
    </w:p>
    <w:p w14:paraId="0E8405ED" w14:textId="77777777" w:rsidR="00C71B18" w:rsidRPr="00C71B18" w:rsidRDefault="00C71B18" w:rsidP="00C71B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Contextual Integration:</w:t>
      </w:r>
      <w:r w:rsidRPr="00C71B18">
        <w:rPr>
          <w:rFonts w:ascii="Times New Roman" w:hAnsi="Times New Roman" w:cs="Times New Roman"/>
        </w:rPr>
        <w:t xml:space="preserve"> This agent receives a large, rich context that includes: 1) the insurer's exact reason for denial, 2) the medical procedure involved, and 3) the synthesized clinical proof.</w:t>
      </w:r>
    </w:p>
    <w:p w14:paraId="79E404C0" w14:textId="77777777" w:rsidR="00C71B18" w:rsidRPr="00C71B18" w:rsidRDefault="00C71B18" w:rsidP="00C71B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Tonal and Formal Generation:</w:t>
      </w:r>
      <w:r w:rsidRPr="00C71B18">
        <w:rPr>
          <w:rFonts w:ascii="Times New Roman" w:hAnsi="Times New Roman" w:cs="Times New Roman"/>
        </w:rPr>
        <w:t xml:space="preserve"> It must be prompted not just to write a letter, but to generate a document adhering to specific </w:t>
      </w:r>
      <w:r w:rsidRPr="00C71B18">
        <w:rPr>
          <w:rFonts w:ascii="Times New Roman" w:hAnsi="Times New Roman" w:cs="Times New Roman"/>
          <w:b/>
          <w:bCs/>
        </w:rPr>
        <w:t>legal formality and tone</w:t>
      </w:r>
      <w:r w:rsidRPr="00C71B18">
        <w:rPr>
          <w:rFonts w:ascii="Times New Roman" w:hAnsi="Times New Roman" w:cs="Times New Roman"/>
        </w:rPr>
        <w:t>, often requiring structured sections (e.g., "Statement of Facts," "Clinical Argument," "Conclusion and Demand"). This requires a powerful, reasoning-intensive model like Gemini 2.5 Pro.</w:t>
      </w:r>
    </w:p>
    <w:p w14:paraId="30D9B6F2" w14:textId="68716B0D" w:rsidR="00C71B18" w:rsidRPr="00C71B18" w:rsidRDefault="00C71B18" w:rsidP="00E475AC">
      <w:pPr>
        <w:pStyle w:val="Heading2"/>
      </w:pPr>
      <w:r w:rsidRPr="00C71B18">
        <w:lastRenderedPageBreak/>
        <w:t>Disruptive Market and Competitive Advantage</w:t>
      </w:r>
    </w:p>
    <w:p w14:paraId="2B4C2401" w14:textId="77777777" w:rsidR="00C71B18" w:rsidRPr="00C71B18" w:rsidRDefault="00C71B18" w:rsidP="00C71B18">
      <w:pPr>
        <w:rPr>
          <w:rFonts w:ascii="Times New Roman" w:hAnsi="Times New Roman" w:cs="Times New Roman"/>
        </w:rPr>
      </w:pPr>
      <w:proofErr w:type="spellStart"/>
      <w:r w:rsidRPr="00C71B18">
        <w:rPr>
          <w:rFonts w:ascii="Times New Roman" w:hAnsi="Times New Roman" w:cs="Times New Roman"/>
          <w:b/>
          <w:bCs/>
        </w:rPr>
        <w:t>Advocai</w:t>
      </w:r>
      <w:proofErr w:type="spellEnd"/>
      <w:r w:rsidRPr="00C71B18">
        <w:rPr>
          <w:rFonts w:ascii="Times New Roman" w:hAnsi="Times New Roman" w:cs="Times New Roman"/>
        </w:rPr>
        <w:t xml:space="preserve"> is positioned to disrupt the administrative legal space and attract investor attention due to its focus on </w:t>
      </w:r>
      <w:r w:rsidRPr="00C71B18">
        <w:rPr>
          <w:rFonts w:ascii="Times New Roman" w:hAnsi="Times New Roman" w:cs="Times New Roman"/>
          <w:i/>
          <w:iCs/>
        </w:rPr>
        <w:t>autonomy</w:t>
      </w:r>
      <w:r w:rsidRPr="00C71B18">
        <w:rPr>
          <w:rFonts w:ascii="Times New Roman" w:hAnsi="Times New Roman" w:cs="Times New Roman"/>
        </w:rPr>
        <w:t xml:space="preserve"> and </w:t>
      </w:r>
      <w:r w:rsidRPr="00C71B18">
        <w:rPr>
          <w:rFonts w:ascii="Times New Roman" w:hAnsi="Times New Roman" w:cs="Times New Roman"/>
          <w:i/>
          <w:iCs/>
        </w:rPr>
        <w:t>quantifiable ROI</w:t>
      </w:r>
      <w:r w:rsidRPr="00C71B18">
        <w:rPr>
          <w:rFonts w:ascii="Times New Roman" w:hAnsi="Times New Roman" w:cs="Times New Roman"/>
        </w:rPr>
        <w:t>.</w:t>
      </w:r>
    </w:p>
    <w:p w14:paraId="230DF5C9" w14:textId="77777777" w:rsidR="00C71B18" w:rsidRPr="00C71B18" w:rsidRDefault="00C71B18" w:rsidP="00E475AC">
      <w:pPr>
        <w:pStyle w:val="Heading3"/>
      </w:pPr>
      <w:r w:rsidRPr="00C71B18">
        <w:t>1. Quantifiable Return on Investment (ROI)</w:t>
      </w:r>
    </w:p>
    <w:p w14:paraId="699AD511" w14:textId="77777777" w:rsidR="00C71B18" w:rsidRPr="00C71B18" w:rsidRDefault="00C71B18" w:rsidP="00C71B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The average cost of a manual denial appeal handled by a third-party service can range from </w:t>
      </w:r>
      <w:r w:rsidRPr="00C71B18">
        <w:rPr>
          <w:rFonts w:ascii="Times New Roman" w:hAnsi="Times New Roman" w:cs="Times New Roman"/>
          <w:b/>
          <w:bCs/>
        </w:rPr>
        <w:t>$1,000 to $5,000</w:t>
      </w:r>
      <w:r w:rsidRPr="00C71B18">
        <w:rPr>
          <w:rFonts w:ascii="Times New Roman" w:hAnsi="Times New Roman" w:cs="Times New Roman"/>
        </w:rPr>
        <w:t>.</w:t>
      </w:r>
    </w:p>
    <w:p w14:paraId="73ECDE17" w14:textId="77777777" w:rsidR="00C71B18" w:rsidRPr="00C71B18" w:rsidRDefault="00C71B18" w:rsidP="00C71B1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71B18">
        <w:rPr>
          <w:rFonts w:ascii="Times New Roman" w:hAnsi="Times New Roman" w:cs="Times New Roman"/>
          <w:b/>
          <w:bCs/>
        </w:rPr>
        <w:t>Advocai</w:t>
      </w:r>
      <w:proofErr w:type="spellEnd"/>
      <w:r w:rsidRPr="00C71B18">
        <w:rPr>
          <w:rFonts w:ascii="Times New Roman" w:hAnsi="Times New Roman" w:cs="Times New Roman"/>
        </w:rPr>
        <w:t xml:space="preserve"> offers this service at near-zero marginal cost. This allows the system to be marketed on a </w:t>
      </w:r>
      <w:r w:rsidRPr="00C71B18">
        <w:rPr>
          <w:rFonts w:ascii="Times New Roman" w:hAnsi="Times New Roman" w:cs="Times New Roman"/>
          <w:b/>
          <w:bCs/>
        </w:rPr>
        <w:t>success-fee model</w:t>
      </w:r>
      <w:r w:rsidRPr="00C71B18">
        <w:rPr>
          <w:rFonts w:ascii="Times New Roman" w:hAnsi="Times New Roman" w:cs="Times New Roman"/>
        </w:rPr>
        <w:t xml:space="preserve"> (e.g., "We only charge 10% of the reversed claim amount"), dramatically lowering the barrier to entry for patients.</w:t>
      </w:r>
    </w:p>
    <w:p w14:paraId="61110E4A" w14:textId="77777777" w:rsidR="00C71B18" w:rsidRPr="00C71B18" w:rsidRDefault="00C71B18" w:rsidP="00E475AC">
      <w:pPr>
        <w:pStyle w:val="Heading3"/>
      </w:pPr>
      <w:r w:rsidRPr="00C71B18">
        <w:t>2. High Auditability (The Agent Log)</w:t>
      </w:r>
    </w:p>
    <w:p w14:paraId="665E297D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In legal and healthcare tech, auditable processes are critical. Because </w:t>
      </w:r>
      <w:proofErr w:type="spellStart"/>
      <w:r w:rsidRPr="00C71B18">
        <w:rPr>
          <w:rFonts w:ascii="Times New Roman" w:hAnsi="Times New Roman" w:cs="Times New Roman"/>
          <w:b/>
          <w:bCs/>
        </w:rPr>
        <w:t>Advocai</w:t>
      </w:r>
      <w:proofErr w:type="spellEnd"/>
      <w:r w:rsidRPr="00C71B18">
        <w:rPr>
          <w:rFonts w:ascii="Times New Roman" w:hAnsi="Times New Roman" w:cs="Times New Roman"/>
        </w:rPr>
        <w:t xml:space="preserve"> is a sequential pipeline, every decision is logged:</w:t>
      </w:r>
    </w:p>
    <w:p w14:paraId="456A7CDF" w14:textId="77777777" w:rsidR="00C71B18" w:rsidRPr="00C71B18" w:rsidRDefault="00C71B18" w:rsidP="00C71B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i/>
          <w:iCs/>
        </w:rPr>
        <w:t>Log:</w:t>
      </w:r>
      <w:r w:rsidRPr="00C71B18">
        <w:rPr>
          <w:rFonts w:ascii="Times New Roman" w:hAnsi="Times New Roman" w:cs="Times New Roman"/>
        </w:rPr>
        <w:t xml:space="preserve"> Auditor called </w:t>
      </w:r>
      <w:proofErr w:type="spellStart"/>
      <w:r w:rsidRPr="00C71B18">
        <w:rPr>
          <w:rFonts w:ascii="Times New Roman" w:hAnsi="Times New Roman" w:cs="Times New Roman"/>
        </w:rPr>
        <w:t>document_reader</w:t>
      </w:r>
      <w:proofErr w:type="spellEnd"/>
      <w:r w:rsidRPr="00C71B18">
        <w:rPr>
          <w:rFonts w:ascii="Times New Roman" w:hAnsi="Times New Roman" w:cs="Times New Roman"/>
        </w:rPr>
        <w:t xml:space="preserve"> on 11/19/25.</w:t>
      </w:r>
    </w:p>
    <w:p w14:paraId="21455666" w14:textId="77777777" w:rsidR="00C71B18" w:rsidRPr="00C71B18" w:rsidRDefault="00C71B18" w:rsidP="00C71B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i/>
          <w:iCs/>
        </w:rPr>
        <w:t>Log:</w:t>
      </w:r>
      <w:r w:rsidRPr="00C71B18">
        <w:rPr>
          <w:rFonts w:ascii="Times New Roman" w:hAnsi="Times New Roman" w:cs="Times New Roman"/>
        </w:rPr>
        <w:t xml:space="preserve"> Auditor outputted Denial Code: CO-50.</w:t>
      </w:r>
    </w:p>
    <w:p w14:paraId="7C10434B" w14:textId="77777777" w:rsidR="00C71B18" w:rsidRPr="00C71B18" w:rsidRDefault="00C71B18" w:rsidP="00C71B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i/>
          <w:iCs/>
        </w:rPr>
        <w:t>Log:</w:t>
      </w:r>
      <w:r w:rsidRPr="00C71B18">
        <w:rPr>
          <w:rFonts w:ascii="Times New Roman" w:hAnsi="Times New Roman" w:cs="Times New Roman"/>
        </w:rPr>
        <w:t xml:space="preserve"> Clinician called </w:t>
      </w:r>
      <w:proofErr w:type="spellStart"/>
      <w:r w:rsidRPr="00C71B18">
        <w:rPr>
          <w:rFonts w:ascii="Times New Roman" w:hAnsi="Times New Roman" w:cs="Times New Roman"/>
        </w:rPr>
        <w:t>pubmed_search</w:t>
      </w:r>
      <w:proofErr w:type="spellEnd"/>
      <w:r w:rsidRPr="00C71B18">
        <w:rPr>
          <w:rFonts w:ascii="Times New Roman" w:hAnsi="Times New Roman" w:cs="Times New Roman"/>
        </w:rPr>
        <w:t xml:space="preserve"> with query "...".</w:t>
      </w:r>
    </w:p>
    <w:p w14:paraId="16F295F3" w14:textId="77777777" w:rsidR="00C71B18" w:rsidRPr="00C71B18" w:rsidRDefault="00C71B18" w:rsidP="00C71B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i/>
          <w:iCs/>
        </w:rPr>
        <w:t>Log:</w:t>
      </w:r>
      <w:r w:rsidRPr="00C71B18">
        <w:rPr>
          <w:rFonts w:ascii="Times New Roman" w:hAnsi="Times New Roman" w:cs="Times New Roman"/>
        </w:rPr>
        <w:t xml:space="preserve"> Barrister generated draft based on [Clinical Summary Hash].</w:t>
      </w:r>
    </w:p>
    <w:p w14:paraId="736F4EEF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 xml:space="preserve">This log creates an </w:t>
      </w:r>
      <w:r w:rsidRPr="00C71B18">
        <w:rPr>
          <w:rFonts w:ascii="Times New Roman" w:hAnsi="Times New Roman" w:cs="Times New Roman"/>
          <w:b/>
          <w:bCs/>
        </w:rPr>
        <w:t>electronic audit trail</w:t>
      </w:r>
      <w:r w:rsidRPr="00C71B18">
        <w:rPr>
          <w:rFonts w:ascii="Times New Roman" w:hAnsi="Times New Roman" w:cs="Times New Roman"/>
        </w:rPr>
        <w:t>, proving the appeal was based on structured, evidence-based reasoning, a feature highly valued by compliance teams.</w:t>
      </w:r>
    </w:p>
    <w:p w14:paraId="103427DB" w14:textId="77777777" w:rsidR="00C71B18" w:rsidRPr="00C71B18" w:rsidRDefault="00C71B18" w:rsidP="00E475AC">
      <w:pPr>
        <w:pStyle w:val="Heading3"/>
      </w:pPr>
      <w:r w:rsidRPr="00C71B18">
        <w:t>3. Future Scalability (A2A Protocol Ready)</w:t>
      </w:r>
    </w:p>
    <w:p w14:paraId="3BE9A7F1" w14:textId="77777777" w:rsidR="00C71B18" w:rsidRPr="00C71B18" w:rsidRDefault="00C71B18" w:rsidP="00C71B18">
      <w:p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</w:rPr>
        <w:t>The modular design allows for immediate scaling:</w:t>
      </w:r>
    </w:p>
    <w:p w14:paraId="0DDCA8E9" w14:textId="77777777" w:rsidR="00C71B18" w:rsidRPr="00C71B18" w:rsidRDefault="00C71B18" w:rsidP="00C71B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New Agent Specialization:</w:t>
      </w:r>
      <w:r w:rsidRPr="00C71B18">
        <w:rPr>
          <w:rFonts w:ascii="Times New Roman" w:hAnsi="Times New Roman" w:cs="Times New Roman"/>
        </w:rPr>
        <w:t xml:space="preserve"> Add a </w:t>
      </w:r>
      <w:r w:rsidRPr="00C71B18">
        <w:rPr>
          <w:rFonts w:ascii="Times New Roman" w:hAnsi="Times New Roman" w:cs="Times New Roman"/>
          <w:b/>
          <w:bCs/>
        </w:rPr>
        <w:t>Regulatory Agent</w:t>
      </w:r>
      <w:r w:rsidRPr="00C71B18">
        <w:rPr>
          <w:rFonts w:ascii="Times New Roman" w:hAnsi="Times New Roman" w:cs="Times New Roman"/>
        </w:rPr>
        <w:t xml:space="preserve"> (regulation.py) to search state-specific insurance commissioner rulings.</w:t>
      </w:r>
    </w:p>
    <w:p w14:paraId="6548BCBF" w14:textId="77777777" w:rsidR="00C71B18" w:rsidRPr="00C71B18" w:rsidRDefault="00C71B18" w:rsidP="00C71B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1B18">
        <w:rPr>
          <w:rFonts w:ascii="Times New Roman" w:hAnsi="Times New Roman" w:cs="Times New Roman"/>
          <w:b/>
          <w:bCs/>
        </w:rPr>
        <w:t>Active Integration:</w:t>
      </w:r>
      <w:r w:rsidRPr="00C71B18">
        <w:rPr>
          <w:rFonts w:ascii="Times New Roman" w:hAnsi="Times New Roman" w:cs="Times New Roman"/>
        </w:rPr>
        <w:t xml:space="preserve"> The architecture is prime for deployment on platforms like Vertex AI Agent Engine, enabling true, long-running agent autonomy. This moves the project beyond a simple Python script into a deployable, </w:t>
      </w:r>
      <w:r w:rsidRPr="00C71B18">
        <w:rPr>
          <w:rFonts w:ascii="Times New Roman" w:hAnsi="Times New Roman" w:cs="Times New Roman"/>
          <w:b/>
          <w:bCs/>
        </w:rPr>
        <w:t>production-ready service</w:t>
      </w:r>
      <w:r w:rsidRPr="00C71B18">
        <w:rPr>
          <w:rFonts w:ascii="Times New Roman" w:hAnsi="Times New Roman" w:cs="Times New Roman"/>
        </w:rPr>
        <w:t>.</w:t>
      </w:r>
    </w:p>
    <w:p w14:paraId="5D51221F" w14:textId="77777777" w:rsidR="00C71B18" w:rsidRDefault="00C71B18" w:rsidP="00C71B18">
      <w:pPr>
        <w:rPr>
          <w:rFonts w:ascii="Times New Roman" w:hAnsi="Times New Roman" w:cs="Times New Roman"/>
        </w:rPr>
      </w:pPr>
    </w:p>
    <w:p w14:paraId="26AB1DEF" w14:textId="77777777" w:rsidR="009173F1" w:rsidRDefault="009173F1" w:rsidP="00C71B18">
      <w:pPr>
        <w:rPr>
          <w:rFonts w:ascii="Times New Roman" w:hAnsi="Times New Roman" w:cs="Times New Roman"/>
        </w:rPr>
      </w:pPr>
    </w:p>
    <w:p w14:paraId="05381BF2" w14:textId="77777777" w:rsidR="009173F1" w:rsidRDefault="009173F1" w:rsidP="00C71B18">
      <w:pPr>
        <w:rPr>
          <w:rFonts w:ascii="Times New Roman" w:hAnsi="Times New Roman" w:cs="Times New Roman"/>
        </w:rPr>
      </w:pPr>
    </w:p>
    <w:p w14:paraId="6D407CD4" w14:textId="77777777" w:rsidR="009173F1" w:rsidRDefault="009173F1" w:rsidP="00C71B18">
      <w:pPr>
        <w:rPr>
          <w:rFonts w:ascii="Times New Roman" w:hAnsi="Times New Roman" w:cs="Times New Roman"/>
        </w:rPr>
      </w:pPr>
    </w:p>
    <w:p w14:paraId="0756BC93" w14:textId="77777777" w:rsidR="009173F1" w:rsidRDefault="009173F1" w:rsidP="00C71B18">
      <w:pPr>
        <w:rPr>
          <w:rFonts w:ascii="Times New Roman" w:hAnsi="Times New Roman" w:cs="Times New Roman"/>
        </w:rPr>
      </w:pPr>
    </w:p>
    <w:p w14:paraId="2D92DFD1" w14:textId="77777777" w:rsidR="009173F1" w:rsidRDefault="009173F1" w:rsidP="00C71B18">
      <w:pPr>
        <w:rPr>
          <w:rFonts w:ascii="Times New Roman" w:hAnsi="Times New Roman" w:cs="Times New Roman"/>
        </w:rPr>
      </w:pPr>
    </w:p>
    <w:p w14:paraId="2060C8D1" w14:textId="77777777" w:rsidR="009173F1" w:rsidRDefault="009173F1" w:rsidP="00C71B18">
      <w:pPr>
        <w:rPr>
          <w:rFonts w:ascii="Times New Roman" w:hAnsi="Times New Roman" w:cs="Times New Roman"/>
        </w:rPr>
      </w:pPr>
    </w:p>
    <w:p w14:paraId="1DF27243" w14:textId="31208EC6" w:rsidR="009173F1" w:rsidRDefault="009173F1" w:rsidP="009173F1">
      <w:pPr>
        <w:pStyle w:val="Heading2"/>
      </w:pPr>
      <w:r>
        <w:lastRenderedPageBreak/>
        <w:t>Architecture Diagram</w:t>
      </w:r>
    </w:p>
    <w:p w14:paraId="2A76B725" w14:textId="5049C497" w:rsidR="009173F1" w:rsidRPr="009173F1" w:rsidRDefault="009173F1" w:rsidP="009173F1">
      <w:r w:rsidRPr="009173F1">
        <w:drawing>
          <wp:inline distT="0" distB="0" distL="0" distR="0" wp14:anchorId="105F135E" wp14:editId="247A0843">
            <wp:extent cx="5926666" cy="5926666"/>
            <wp:effectExtent l="0" t="0" r="0" b="0"/>
            <wp:docPr id="3963339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391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261" cy="593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0E57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1B7A2554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13056AB2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5387433E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2C2AF94F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4A6A60B6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04EC3E5C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6B0BC823" w14:textId="77777777" w:rsidR="006214A6" w:rsidRDefault="006214A6" w:rsidP="006214A6">
      <w:pPr>
        <w:rPr>
          <w:rFonts w:ascii="Times New Roman" w:hAnsi="Times New Roman" w:cs="Times New Roman"/>
        </w:rPr>
      </w:pPr>
    </w:p>
    <w:p w14:paraId="236C2874" w14:textId="3E09E99D" w:rsidR="006214A6" w:rsidRPr="002C56C5" w:rsidRDefault="006214A6" w:rsidP="004313EB">
      <w:pPr>
        <w:rPr>
          <w:b/>
          <w:bCs/>
        </w:rPr>
      </w:pPr>
      <w:r w:rsidRPr="002C56C5">
        <w:rPr>
          <w:b/>
          <w:bCs/>
        </w:rPr>
        <w:lastRenderedPageBreak/>
        <w:t>The Architecture: Sequential Pipeline (The Law Firm Analogy)</w:t>
      </w:r>
    </w:p>
    <w:p w14:paraId="0758A63D" w14:textId="77777777" w:rsidR="006214A6" w:rsidRPr="00DA576D" w:rsidRDefault="006214A6" w:rsidP="006214A6">
      <w:pPr>
        <w:rPr>
          <w:rFonts w:ascii="Times New Roman" w:hAnsi="Times New Roman" w:cs="Times New Roman"/>
        </w:rPr>
      </w:pPr>
      <w:proofErr w:type="spellStart"/>
      <w:r w:rsidRPr="00DA576D">
        <w:rPr>
          <w:rFonts w:ascii="Times New Roman" w:hAnsi="Times New Roman" w:cs="Times New Roman"/>
        </w:rPr>
        <w:t>Advocai</w:t>
      </w:r>
      <w:proofErr w:type="spellEnd"/>
      <w:r w:rsidRPr="00DA576D">
        <w:rPr>
          <w:rFonts w:ascii="Times New Roman" w:hAnsi="Times New Roman" w:cs="Times New Roman"/>
        </w:rPr>
        <w:t xml:space="preserve"> is built on a </w:t>
      </w:r>
      <w:r w:rsidRPr="00DA576D">
        <w:rPr>
          <w:rFonts w:ascii="Times New Roman" w:hAnsi="Times New Roman" w:cs="Times New Roman"/>
          <w:b/>
          <w:bCs/>
        </w:rPr>
        <w:t>Sequential Multi-Agent Pipeline.</w:t>
      </w:r>
      <w:r w:rsidRPr="00DA576D">
        <w:rPr>
          <w:rFonts w:ascii="Times New Roman" w:hAnsi="Times New Roman" w:cs="Times New Roman"/>
        </w:rPr>
        <w:t xml:space="preserve"> We do not use one large LLM; we use </w:t>
      </w:r>
      <w:r w:rsidRPr="00DA576D">
        <w:rPr>
          <w:rFonts w:ascii="Times New Roman" w:hAnsi="Times New Roman" w:cs="Times New Roman"/>
          <w:b/>
          <w:bCs/>
        </w:rPr>
        <w:t>three specialized, smaller agents</w:t>
      </w:r>
      <w:r w:rsidRPr="00DA576D">
        <w:rPr>
          <w:rFonts w:ascii="Times New Roman" w:hAnsi="Times New Roman" w:cs="Times New Roman"/>
        </w:rPr>
        <w:t xml:space="preserve">, each acting as a </w:t>
      </w:r>
      <w:r w:rsidRPr="00DA576D">
        <w:rPr>
          <w:rFonts w:ascii="Times New Roman" w:hAnsi="Times New Roman" w:cs="Times New Roman"/>
          <w:b/>
          <w:bCs/>
        </w:rPr>
        <w:t>highly focused expert</w:t>
      </w:r>
      <w:r w:rsidRPr="00DA576D">
        <w:rPr>
          <w:rFonts w:ascii="Times New Roman" w:hAnsi="Times New Roman" w:cs="Times New Roman"/>
        </w:rPr>
        <w:t>. This is critical for reliability and audibility.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402"/>
        <w:gridCol w:w="3516"/>
        <w:gridCol w:w="1483"/>
      </w:tblGrid>
      <w:tr w:rsidR="006214A6" w:rsidRPr="00DA576D" w14:paraId="0379F686" w14:textId="77777777" w:rsidTr="006E44F8">
        <w:trPr>
          <w:tblHeader/>
          <w:tblCellSpacing w:w="15" w:type="dxa"/>
        </w:trPr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E1932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Agent Role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9855B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Law Firm Analogy</w:t>
            </w:r>
          </w:p>
        </w:tc>
        <w:tc>
          <w:tcPr>
            <w:tcW w:w="3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DC702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Key Function &amp;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84E21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Memory Input (State)</w:t>
            </w:r>
          </w:p>
        </w:tc>
      </w:tr>
      <w:tr w:rsidR="006214A6" w:rsidRPr="00DA576D" w14:paraId="70E9008F" w14:textId="77777777" w:rsidTr="006E44F8">
        <w:trPr>
          <w:tblCellSpacing w:w="15" w:type="dxa"/>
        </w:trPr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3570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1. The Auditor (auditor.py)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603D3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The Investigator/Paralegal</w:t>
            </w:r>
          </w:p>
        </w:tc>
        <w:tc>
          <w:tcPr>
            <w:tcW w:w="3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D6C1F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Perception &amp; Structuring. Reads raw documents to find the denial reason. Tool Use: document_reader.py (PDF/OCR).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9E37D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Raw PDF Text</w:t>
            </w:r>
          </w:p>
        </w:tc>
      </w:tr>
      <w:tr w:rsidR="006214A6" w:rsidRPr="00DA576D" w14:paraId="05E32742" w14:textId="77777777" w:rsidTr="006E44F8">
        <w:trPr>
          <w:tblCellSpacing w:w="15" w:type="dxa"/>
        </w:trPr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5919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2. The Clinician (clinician.py)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1E455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The Medical Expert</w:t>
            </w:r>
          </w:p>
        </w:tc>
        <w:tc>
          <w:tcPr>
            <w:tcW w:w="3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158F6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Reasoning &amp; Tool Use. Searches clinical literature to prove "medical necessity." Tool Use: pubmed_search.py (NCBI E-utilities API).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EA52B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Structured Denial Object</w:t>
            </w:r>
          </w:p>
        </w:tc>
      </w:tr>
      <w:tr w:rsidR="006214A6" w:rsidRPr="00DA576D" w14:paraId="12D67382" w14:textId="77777777" w:rsidTr="006E44F8">
        <w:trPr>
          <w:tblCellSpacing w:w="15" w:type="dxa"/>
        </w:trPr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5D123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3. The Barrister (barrister.py)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1477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The Trial Lawyer</w:t>
            </w:r>
          </w:p>
        </w:tc>
        <w:tc>
          <w:tcPr>
            <w:tcW w:w="3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EF0AC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Generation &amp; Action. Synthesizes all evidence into a final appeal document.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3CF59" w14:textId="77777777" w:rsidR="006214A6" w:rsidRPr="00DA576D" w:rsidRDefault="006214A6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Structured Evidence (Medical &amp; Legal)</w:t>
            </w:r>
          </w:p>
        </w:tc>
      </w:tr>
    </w:tbl>
    <w:p w14:paraId="481A0477" w14:textId="77777777" w:rsidR="006214A6" w:rsidRPr="00C71B18" w:rsidRDefault="006214A6" w:rsidP="006214A6">
      <w:pPr>
        <w:rPr>
          <w:rFonts w:ascii="Times New Roman" w:hAnsi="Times New Roman" w:cs="Times New Roman"/>
        </w:rPr>
      </w:pPr>
    </w:p>
    <w:p w14:paraId="292A1296" w14:textId="77777777" w:rsidR="006214A6" w:rsidRPr="00DA576D" w:rsidRDefault="006214A6" w:rsidP="006214A6">
      <w:pPr>
        <w:rPr>
          <w:rFonts w:ascii="Times New Roman" w:hAnsi="Times New Roman" w:cs="Times New Roman"/>
          <w:b/>
          <w:bCs/>
        </w:rPr>
      </w:pPr>
      <w:r w:rsidRPr="00DA576D">
        <w:rPr>
          <w:rFonts w:ascii="Times New Roman" w:hAnsi="Times New Roman" w:cs="Times New Roman"/>
          <w:b/>
          <w:bCs/>
        </w:rPr>
        <w:t>The Core: Structured Memory (</w:t>
      </w:r>
      <w:proofErr w:type="spellStart"/>
      <w:r w:rsidRPr="00DA576D">
        <w:rPr>
          <w:rFonts w:ascii="Times New Roman" w:hAnsi="Times New Roman" w:cs="Times New Roman"/>
          <w:b/>
          <w:bCs/>
        </w:rPr>
        <w:t>Pydantic</w:t>
      </w:r>
      <w:proofErr w:type="spellEnd"/>
      <w:r w:rsidRPr="00DA576D">
        <w:rPr>
          <w:rFonts w:ascii="Times New Roman" w:hAnsi="Times New Roman" w:cs="Times New Roman"/>
          <w:b/>
          <w:bCs/>
        </w:rPr>
        <w:t>)</w:t>
      </w:r>
    </w:p>
    <w:p w14:paraId="4E17D7A9" w14:textId="77777777" w:rsidR="006214A6" w:rsidRPr="00DA576D" w:rsidRDefault="006214A6" w:rsidP="006214A6">
      <w:p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</w:rPr>
        <w:t xml:space="preserve">The transition between the agents is the most crucial part. The Auditor Agent doesn't pass raw text; it passes a precisely structured </w:t>
      </w:r>
      <w:proofErr w:type="spellStart"/>
      <w:r w:rsidRPr="00DA576D">
        <w:rPr>
          <w:rFonts w:ascii="Times New Roman" w:hAnsi="Times New Roman" w:cs="Times New Roman"/>
        </w:rPr>
        <w:t>Pydantic</w:t>
      </w:r>
      <w:proofErr w:type="spellEnd"/>
      <w:r w:rsidRPr="00DA576D">
        <w:rPr>
          <w:rFonts w:ascii="Times New Roman" w:hAnsi="Times New Roman" w:cs="Times New Roman"/>
        </w:rPr>
        <w:t xml:space="preserve"> object (the Structured Denial Object). This acts as the </w:t>
      </w:r>
      <w:r w:rsidRPr="00DA576D">
        <w:rPr>
          <w:rFonts w:ascii="Times New Roman" w:hAnsi="Times New Roman" w:cs="Times New Roman"/>
          <w:i/>
          <w:iCs/>
        </w:rPr>
        <w:t>memory</w:t>
      </w:r>
      <w:r w:rsidRPr="00DA576D">
        <w:rPr>
          <w:rFonts w:ascii="Times New Roman" w:hAnsi="Times New Roman" w:cs="Times New Roman"/>
        </w:rPr>
        <w:t xml:space="preserve"> or the case file, ensuring the Clinician Agent has exact data like the </w:t>
      </w:r>
      <w:proofErr w:type="spellStart"/>
      <w:r w:rsidRPr="00DA576D">
        <w:rPr>
          <w:rFonts w:ascii="Times New Roman" w:hAnsi="Times New Roman" w:cs="Times New Roman"/>
        </w:rPr>
        <w:t>denial_code</w:t>
      </w:r>
      <w:proofErr w:type="spellEnd"/>
      <w:r w:rsidRPr="00DA576D">
        <w:rPr>
          <w:rFonts w:ascii="Times New Roman" w:hAnsi="Times New Roman" w:cs="Times New Roman"/>
        </w:rPr>
        <w:t xml:space="preserve"> and </w:t>
      </w:r>
      <w:proofErr w:type="spellStart"/>
      <w:r w:rsidRPr="00DA576D">
        <w:rPr>
          <w:rFonts w:ascii="Times New Roman" w:hAnsi="Times New Roman" w:cs="Times New Roman"/>
        </w:rPr>
        <w:t>procedure_denied</w:t>
      </w:r>
      <w:proofErr w:type="spellEnd"/>
      <w:r w:rsidRPr="00DA576D">
        <w:rPr>
          <w:rFonts w:ascii="Times New Roman" w:hAnsi="Times New Roman" w:cs="Times New Roman"/>
        </w:rPr>
        <w:t xml:space="preserve"> to use in its search query.</w:t>
      </w:r>
    </w:p>
    <w:p w14:paraId="550E19C4" w14:textId="77777777" w:rsidR="009173F1" w:rsidRDefault="009173F1" w:rsidP="009173F1"/>
    <w:p w14:paraId="2AD94FC6" w14:textId="77777777" w:rsidR="002C56C5" w:rsidRDefault="002C56C5" w:rsidP="009173F1"/>
    <w:p w14:paraId="4A531D05" w14:textId="77777777" w:rsidR="002C56C5" w:rsidRDefault="002C56C5" w:rsidP="009173F1"/>
    <w:p w14:paraId="4E8E57AB" w14:textId="77777777" w:rsidR="002C56C5" w:rsidRDefault="002C56C5" w:rsidP="009173F1"/>
    <w:p w14:paraId="5BE26A3E" w14:textId="77777777" w:rsidR="002C56C5" w:rsidRDefault="002C56C5" w:rsidP="009173F1"/>
    <w:p w14:paraId="22732232" w14:textId="77777777" w:rsidR="002C56C5" w:rsidRDefault="002C56C5" w:rsidP="009173F1"/>
    <w:p w14:paraId="5D7FCA62" w14:textId="77777777" w:rsidR="002C56C5" w:rsidRDefault="002C56C5" w:rsidP="009173F1"/>
    <w:p w14:paraId="04D1BE5C" w14:textId="77777777" w:rsidR="002C56C5" w:rsidRDefault="002C56C5" w:rsidP="009173F1"/>
    <w:p w14:paraId="29471639" w14:textId="77777777" w:rsidR="002C56C5" w:rsidRPr="00DA576D" w:rsidRDefault="002C56C5" w:rsidP="002C56C5">
      <w:pPr>
        <w:pStyle w:val="Heading2"/>
      </w:pPr>
      <w:r w:rsidRPr="00DA576D">
        <w:lastRenderedPageBreak/>
        <w:t>Project Structure and Files</w:t>
      </w:r>
    </w:p>
    <w:p w14:paraId="272C51EA" w14:textId="77777777" w:rsidR="002C56C5" w:rsidRPr="00DA576D" w:rsidRDefault="002C56C5" w:rsidP="002C56C5">
      <w:p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</w:rPr>
        <w:t>The folder structure is designed for a team environment, cleanly separating the agent brains from the tools and the orchestration logic.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290"/>
        <w:gridCol w:w="2655"/>
      </w:tblGrid>
      <w:tr w:rsidR="002C56C5" w:rsidRPr="00DA576D" w14:paraId="6F3C533A" w14:textId="77777777" w:rsidTr="006E44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F433D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File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37511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EFB52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Owner</w:t>
            </w:r>
          </w:p>
        </w:tc>
      </w:tr>
      <w:tr w:rsidR="002C56C5" w:rsidRPr="00DA576D" w14:paraId="0408F9D2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1BB1F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4998E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Orchestration. Initializes the Gemini client and registers all custom tools (</w:t>
            </w:r>
            <w:proofErr w:type="spellStart"/>
            <w:r w:rsidRPr="00DA576D">
              <w:rPr>
                <w:rFonts w:ascii="Times New Roman" w:hAnsi="Times New Roman" w:cs="Times New Roman"/>
              </w:rPr>
              <w:t>pubmed_search</w:t>
            </w:r>
            <w:proofErr w:type="spellEnd"/>
            <w:r w:rsidRPr="00DA57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576D">
              <w:rPr>
                <w:rFonts w:ascii="Times New Roman" w:hAnsi="Times New Roman" w:cs="Times New Roman"/>
              </w:rPr>
              <w:t>document_reader</w:t>
            </w:r>
            <w:proofErr w:type="spellEnd"/>
            <w:r w:rsidRPr="00DA576D">
              <w:rPr>
                <w:rFonts w:ascii="Times New Roman" w:hAnsi="Times New Roman" w:cs="Times New Roman"/>
              </w:rPr>
              <w:t>) so the agents can use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3E22E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Lead Developer</w:t>
            </w:r>
          </w:p>
        </w:tc>
      </w:tr>
      <w:tr w:rsidR="002C56C5" w:rsidRPr="00DA576D" w14:paraId="09C35CA6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4B179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9540A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 xml:space="preserve">User Interface. The </w:t>
            </w:r>
            <w:proofErr w:type="spellStart"/>
            <w:r w:rsidRPr="00DA576D">
              <w:rPr>
                <w:rFonts w:ascii="Times New Roman" w:hAnsi="Times New Roman" w:cs="Times New Roman"/>
              </w:rPr>
              <w:t>Streamlit</w:t>
            </w:r>
            <w:proofErr w:type="spellEnd"/>
            <w:r w:rsidRPr="00DA576D">
              <w:rPr>
                <w:rFonts w:ascii="Times New Roman" w:hAnsi="Times New Roman" w:cs="Times New Roman"/>
              </w:rPr>
              <w:t xml:space="preserve"> front-end for uploading documents and viewing the final appeal letter.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9B862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UI Lead</w:t>
            </w:r>
          </w:p>
        </w:tc>
      </w:tr>
      <w:tr w:rsidR="002C56C5" w:rsidRPr="00DA576D" w14:paraId="0B757B57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60600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agents/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10299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Contains the three specialist agent modules. This is where the complex prompting and tool-call logic lives.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5DD4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Development Team</w:t>
            </w:r>
          </w:p>
        </w:tc>
      </w:tr>
      <w:tr w:rsidR="002C56C5" w:rsidRPr="00DA576D" w14:paraId="677E41A1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96CAE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tools/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B3244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Contains the custom Python functions that are exposed to the LLM (e.g., calling PubMed).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4397C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Tools &amp; Deployment Lead</w:t>
            </w:r>
          </w:p>
        </w:tc>
      </w:tr>
      <w:tr w:rsidR="002C56C5" w:rsidRPr="00DA576D" w14:paraId="5C13AD54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8B9CB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data/input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C87B2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Where your testing PDFs (sample_denial.pdf, sample_policy.pdf) are stored.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EA7AF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Data Manager/Documentation</w:t>
            </w:r>
          </w:p>
        </w:tc>
      </w:tr>
    </w:tbl>
    <w:p w14:paraId="79ED57AA" w14:textId="3AC706FA" w:rsidR="002C56C5" w:rsidRPr="00DA576D" w:rsidRDefault="002C56C5" w:rsidP="002C56C5">
      <w:pPr>
        <w:rPr>
          <w:rFonts w:ascii="Times New Roman" w:hAnsi="Times New Roman" w:cs="Times New Roman"/>
        </w:rPr>
      </w:pPr>
    </w:p>
    <w:p w14:paraId="21490108" w14:textId="6830FF82" w:rsidR="002C56C5" w:rsidRPr="00DA576D" w:rsidRDefault="002C56C5" w:rsidP="002C56C5">
      <w:pPr>
        <w:pStyle w:val="Heading2"/>
      </w:pPr>
      <w:r w:rsidRPr="00DA576D">
        <w:t>Scoring and Competitive Advantage</w:t>
      </w:r>
    </w:p>
    <w:p w14:paraId="08B95585" w14:textId="77777777" w:rsidR="002C56C5" w:rsidRPr="00DA576D" w:rsidRDefault="002C56C5" w:rsidP="002C56C5">
      <w:pPr>
        <w:rPr>
          <w:rFonts w:ascii="Times New Roman" w:hAnsi="Times New Roman" w:cs="Times New Roman"/>
        </w:rPr>
      </w:pPr>
      <w:r w:rsidRPr="00DA576D">
        <w:rPr>
          <w:rFonts w:ascii="Times New Roman" w:hAnsi="Times New Roman" w:cs="Times New Roman"/>
        </w:rPr>
        <w:t>This project is structured to maximize points in the "Implementation" and "Pitch"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382"/>
      </w:tblGrid>
      <w:tr w:rsidR="002C56C5" w:rsidRPr="00DA576D" w14:paraId="7E59ED95" w14:textId="77777777" w:rsidTr="006E44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278FA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Scoring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7E85C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Advocai's Implementation</w:t>
            </w:r>
          </w:p>
        </w:tc>
      </w:tr>
      <w:tr w:rsidR="002C56C5" w:rsidRPr="00DA576D" w14:paraId="0034C212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C5700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Multi-Agent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28E2B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We use a three-agent pipeline which is more complex and robust than a single, large agent.</w:t>
            </w:r>
          </w:p>
        </w:tc>
      </w:tr>
      <w:tr w:rsidR="002C56C5" w:rsidRPr="00DA576D" w14:paraId="1DB49C53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5D3BB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Tools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86057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Two custom tools (</w:t>
            </w:r>
            <w:proofErr w:type="spellStart"/>
            <w:r w:rsidRPr="00DA576D">
              <w:rPr>
                <w:rFonts w:ascii="Times New Roman" w:hAnsi="Times New Roman" w:cs="Times New Roman"/>
              </w:rPr>
              <w:t>document_reader</w:t>
            </w:r>
            <w:proofErr w:type="spellEnd"/>
            <w:r w:rsidRPr="00DA576D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DA576D">
              <w:rPr>
                <w:rFonts w:ascii="Times New Roman" w:hAnsi="Times New Roman" w:cs="Times New Roman"/>
              </w:rPr>
              <w:t>pubmed_search</w:t>
            </w:r>
            <w:proofErr w:type="spellEnd"/>
            <w:r w:rsidRPr="00DA576D">
              <w:rPr>
                <w:rFonts w:ascii="Times New Roman" w:hAnsi="Times New Roman" w:cs="Times New Roman"/>
              </w:rPr>
              <w:t>) are integrated, going beyond simple built-in tools like Google Search.</w:t>
            </w:r>
          </w:p>
        </w:tc>
      </w:tr>
      <w:tr w:rsidR="002C56C5" w:rsidRPr="00DA576D" w14:paraId="57AED9C2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DCE9E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Sessions &amp;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C56E8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 xml:space="preserve">Structured </w:t>
            </w:r>
            <w:proofErr w:type="spellStart"/>
            <w:r w:rsidRPr="00DA576D">
              <w:rPr>
                <w:rFonts w:ascii="Times New Roman" w:hAnsi="Times New Roman" w:cs="Times New Roman"/>
              </w:rPr>
              <w:t>Pydantic</w:t>
            </w:r>
            <w:proofErr w:type="spellEnd"/>
            <w:r w:rsidRPr="00DA576D">
              <w:rPr>
                <w:rFonts w:ascii="Times New Roman" w:hAnsi="Times New Roman" w:cs="Times New Roman"/>
              </w:rPr>
              <w:t xml:space="preserve"> output between agents ensures deterministic memory transfer, maximizing reliability.</w:t>
            </w:r>
          </w:p>
        </w:tc>
      </w:tr>
      <w:tr w:rsidR="002C56C5" w:rsidRPr="00DA576D" w14:paraId="2B15ACE0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4D6F8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Agents for 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7CCBA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Addresses a serious issue in healthcare accessibility, giving the project high ethical and social value.</w:t>
            </w:r>
          </w:p>
        </w:tc>
      </w:tr>
      <w:tr w:rsidR="002C56C5" w:rsidRPr="00DA576D" w14:paraId="1599F0F5" w14:textId="77777777" w:rsidTr="006E44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5D4C7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>Bonus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DA78" w14:textId="77777777" w:rsidR="002C56C5" w:rsidRPr="00DA576D" w:rsidRDefault="002C56C5" w:rsidP="006E44F8">
            <w:pPr>
              <w:rPr>
                <w:rFonts w:ascii="Times New Roman" w:hAnsi="Times New Roman" w:cs="Times New Roman"/>
              </w:rPr>
            </w:pPr>
            <w:r w:rsidRPr="00DA576D">
              <w:rPr>
                <w:rFonts w:ascii="Times New Roman" w:hAnsi="Times New Roman" w:cs="Times New Roman"/>
              </w:rPr>
              <w:t xml:space="preserve">Using the Gemini API is mandatory for the 5-point bonus, and the </w:t>
            </w:r>
            <w:proofErr w:type="spellStart"/>
            <w:r w:rsidRPr="00DA576D">
              <w:rPr>
                <w:rFonts w:ascii="Times New Roman" w:hAnsi="Times New Roman" w:cs="Times New Roman"/>
              </w:rPr>
              <w:t>Streamlit</w:t>
            </w:r>
            <w:proofErr w:type="spellEnd"/>
            <w:r w:rsidRPr="00DA576D">
              <w:rPr>
                <w:rFonts w:ascii="Times New Roman" w:hAnsi="Times New Roman" w:cs="Times New Roman"/>
              </w:rPr>
              <w:t xml:space="preserve"> UI makes the 10-point video submission much easier.</w:t>
            </w:r>
          </w:p>
        </w:tc>
      </w:tr>
    </w:tbl>
    <w:p w14:paraId="47BCF11F" w14:textId="52476E3F" w:rsidR="002C56C5" w:rsidRPr="009173F1" w:rsidRDefault="002C56C5" w:rsidP="00676CDF"/>
    <w:sectPr w:rsidR="002C56C5" w:rsidRPr="009173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CCC"/>
    <w:multiLevelType w:val="multilevel"/>
    <w:tmpl w:val="EF3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0842"/>
    <w:multiLevelType w:val="multilevel"/>
    <w:tmpl w:val="FAA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75C1"/>
    <w:multiLevelType w:val="multilevel"/>
    <w:tmpl w:val="6BB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94A7A"/>
    <w:multiLevelType w:val="multilevel"/>
    <w:tmpl w:val="F06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1A16"/>
    <w:multiLevelType w:val="multilevel"/>
    <w:tmpl w:val="EA7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4F77"/>
    <w:multiLevelType w:val="multilevel"/>
    <w:tmpl w:val="BD4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D46E0"/>
    <w:multiLevelType w:val="multilevel"/>
    <w:tmpl w:val="8B2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141DE"/>
    <w:multiLevelType w:val="multilevel"/>
    <w:tmpl w:val="54E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210772">
    <w:abstractNumId w:val="7"/>
  </w:num>
  <w:num w:numId="2" w16cid:durableId="1091242712">
    <w:abstractNumId w:val="4"/>
  </w:num>
  <w:num w:numId="3" w16cid:durableId="1767847540">
    <w:abstractNumId w:val="3"/>
  </w:num>
  <w:num w:numId="4" w16cid:durableId="167915096">
    <w:abstractNumId w:val="5"/>
  </w:num>
  <w:num w:numId="5" w16cid:durableId="1311519204">
    <w:abstractNumId w:val="1"/>
  </w:num>
  <w:num w:numId="6" w16cid:durableId="236719201">
    <w:abstractNumId w:val="6"/>
  </w:num>
  <w:num w:numId="7" w16cid:durableId="1791777798">
    <w:abstractNumId w:val="2"/>
  </w:num>
  <w:num w:numId="8" w16cid:durableId="76631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1E"/>
    <w:rsid w:val="002C56C5"/>
    <w:rsid w:val="003F3E04"/>
    <w:rsid w:val="004313EB"/>
    <w:rsid w:val="00573426"/>
    <w:rsid w:val="006214A6"/>
    <w:rsid w:val="00676CDF"/>
    <w:rsid w:val="009173F1"/>
    <w:rsid w:val="00A57647"/>
    <w:rsid w:val="00A62A1E"/>
    <w:rsid w:val="00BF473D"/>
    <w:rsid w:val="00C51ECD"/>
    <w:rsid w:val="00C71B18"/>
    <w:rsid w:val="00DA389B"/>
    <w:rsid w:val="00DA576D"/>
    <w:rsid w:val="00E475AC"/>
    <w:rsid w:val="00E54763"/>
    <w:rsid w:val="00F0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7B0B"/>
  <w15:chartTrackingRefBased/>
  <w15:docId w15:val="{5C96182E-4969-4380-920F-21E585EB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9B"/>
  </w:style>
  <w:style w:type="paragraph" w:styleId="Heading1">
    <w:name w:val="heading 1"/>
    <w:basedOn w:val="Normal"/>
    <w:next w:val="Normal"/>
    <w:link w:val="Heading1Char"/>
    <w:uiPriority w:val="9"/>
    <w:qFormat/>
    <w:rsid w:val="00A6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13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21</cp:revision>
  <dcterms:created xsi:type="dcterms:W3CDTF">2025-11-19T14:27:00Z</dcterms:created>
  <dcterms:modified xsi:type="dcterms:W3CDTF">2025-11-19T15:12:00Z</dcterms:modified>
</cp:coreProperties>
</file>