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5C4D4" w14:textId="77777777" w:rsidR="006E7FAC" w:rsidRPr="006E7FAC" w:rsidRDefault="006E7FAC" w:rsidP="006E7FAC">
      <w:r w:rsidRPr="006E7FAC">
        <w:rPr>
          <w:b/>
          <w:bCs/>
        </w:rPr>
        <w:t>ROUND 1 QUESTIONS (Already Asked)</w:t>
      </w:r>
    </w:p>
    <w:p w14:paraId="734CDE64" w14:textId="77777777" w:rsidR="006E7FAC" w:rsidRPr="006E7FAC" w:rsidRDefault="006E7FAC" w:rsidP="006E7FAC">
      <w:r w:rsidRPr="006E7FAC">
        <w:rPr>
          <w:b/>
          <w:bCs/>
        </w:rPr>
        <w:t>How do you parse a 300-page policy document?</w:t>
      </w:r>
      <w:r w:rsidRPr="006E7FAC">
        <w:t xml:space="preserve"> We don't read the whole thing — that would be inefficient and expensive. Our </w:t>
      </w:r>
      <w:proofErr w:type="spellStart"/>
      <w:r w:rsidRPr="006E7FAC">
        <w:t>find_relevant_policy_</w:t>
      </w:r>
      <w:proofErr w:type="gramStart"/>
      <w:r w:rsidRPr="006E7FAC">
        <w:t>snippet</w:t>
      </w:r>
      <w:proofErr w:type="spellEnd"/>
      <w:r w:rsidRPr="006E7FAC">
        <w:t>(</w:t>
      </w:r>
      <w:proofErr w:type="gramEnd"/>
      <w:r w:rsidRPr="006E7FAC">
        <w:t>) function scans for specific keywords like 'EXCLUSIONS', 'NOT COVERED', 'AGREED TARIFF', 'WAITING PERIOD' and extracts only the surrounding 1,500 characters around each match. A 300-page document becomes a 2-3 paragraph relevant excerpt. The LLM never sees the full document.</w:t>
      </w:r>
    </w:p>
    <w:p w14:paraId="66FC9950" w14:textId="77777777" w:rsidR="006E7FAC" w:rsidRPr="006E7FAC" w:rsidRDefault="006E7FAC" w:rsidP="006E7FAC">
      <w:r w:rsidRPr="006E7FAC">
        <w:rPr>
          <w:b/>
          <w:bCs/>
        </w:rPr>
        <w:t>What is the actual parsing process — how do you keep only relevant data and skip the rest?</w:t>
      </w:r>
      <w:r w:rsidRPr="006E7FAC">
        <w:t xml:space="preserve"> PDF comes in → </w:t>
      </w:r>
      <w:proofErr w:type="spellStart"/>
      <w:r w:rsidRPr="006E7FAC">
        <w:t>PyMuPDF</w:t>
      </w:r>
      <w:proofErr w:type="spellEnd"/>
      <w:r w:rsidRPr="006E7FAC">
        <w:t xml:space="preserve"> extracts raw text → our snippet extractor runs keyword matching → relevant sections are trimmed to 4,000 characters max → that gets passed to the Auditor Agent as structured context. The LLM sees only what matters. Everything else is discarded before it ever hits the model.</w:t>
      </w:r>
    </w:p>
    <w:p w14:paraId="03927CFD" w14:textId="77777777" w:rsidR="006E7FAC" w:rsidRPr="006E7FAC" w:rsidRDefault="006E7FAC" w:rsidP="006E7FAC">
      <w:r w:rsidRPr="006E7FAC">
        <w:rPr>
          <w:b/>
          <w:bCs/>
        </w:rPr>
        <w:t>What about handwritten bills?</w:t>
      </w:r>
      <w:r w:rsidRPr="006E7FAC">
        <w:t xml:space="preserve"> Handwritten bills go through EasyOCR — our image OCR pipeline. EasyOCR handles printed, typed, and partially handwritten text reasonably well for structured formats like bills where items appear in rows. For fully handwritten free-form bills, accuracy drops — we won't pretend otherwise. But the reality is the majority of Indian hospital bills today, even in smaller hospitals, are computer-generated printouts. Fully handwritten bills are becoming rare. And voice input is on our Phase 2 roadmap — a patient can describe what's on their bill verbally and we extract from speech.</w:t>
      </w:r>
    </w:p>
    <w:p w14:paraId="25D1B11B" w14:textId="77777777" w:rsidR="006E7FAC" w:rsidRPr="006E7FAC" w:rsidRDefault="006E7FAC" w:rsidP="006E7FAC">
      <w:r w:rsidRPr="006E7FAC">
        <w:rPr>
          <w:b/>
          <w:bCs/>
        </w:rPr>
        <w:t>How much work is actually done?</w:t>
      </w:r>
      <w:r w:rsidRPr="006E7FAC">
        <w:t xml:space="preserve"> As of today — the full 5-agent pipeline is live. Document upload, agent orchestration, real-time streaming, appeal letter generation, PDF download, JWT authentication, case history, PostgreSQL persistence — all working. What's in active integration is the CGHS rate database expansion and billing anomaly scoring refinement.</w:t>
      </w:r>
    </w:p>
    <w:p w14:paraId="78841F50" w14:textId="77777777" w:rsidR="006E7FAC" w:rsidRPr="006E7FAC" w:rsidRDefault="006E7FAC" w:rsidP="006E7FAC">
      <w:r w:rsidRPr="006E7FAC">
        <w:pict w14:anchorId="4FBA1A07">
          <v:rect id="_x0000_i1067" style="width:0;height:1.5pt" o:hralign="center" o:hrstd="t" o:hr="t" fillcolor="#a0a0a0" stroked="f"/>
        </w:pict>
      </w:r>
    </w:p>
    <w:p w14:paraId="7FB23D57" w14:textId="77777777" w:rsidR="006E7FAC" w:rsidRPr="006E7FAC" w:rsidRDefault="006E7FAC" w:rsidP="006E7FAC">
      <w:r w:rsidRPr="006E7FAC">
        <w:rPr>
          <w:b/>
          <w:bCs/>
        </w:rPr>
        <w:t>TECHNICAL — DOCUMENT PROCESSING</w:t>
      </w:r>
    </w:p>
    <w:p w14:paraId="73E8276A" w14:textId="77777777" w:rsidR="006E7FAC" w:rsidRPr="006E7FAC" w:rsidRDefault="006E7FAC" w:rsidP="006E7FAC">
      <w:r w:rsidRPr="006E7FAC">
        <w:rPr>
          <w:b/>
          <w:bCs/>
        </w:rPr>
        <w:t xml:space="preserve">What happens if </w:t>
      </w:r>
      <w:proofErr w:type="spellStart"/>
      <w:r w:rsidRPr="006E7FAC">
        <w:rPr>
          <w:b/>
          <w:bCs/>
        </w:rPr>
        <w:t>PyMuPDF</w:t>
      </w:r>
      <w:proofErr w:type="spellEnd"/>
      <w:r w:rsidRPr="006E7FAC">
        <w:rPr>
          <w:b/>
          <w:bCs/>
        </w:rPr>
        <w:t xml:space="preserve"> fails to extract text from a scanned PDF?</w:t>
      </w:r>
      <w:r w:rsidRPr="006E7FAC">
        <w:t xml:space="preserve"> We fall back to EasyOCR automatically. The document reader tries </w:t>
      </w:r>
      <w:proofErr w:type="spellStart"/>
      <w:r w:rsidRPr="006E7FAC">
        <w:t>PyMuPDF</w:t>
      </w:r>
      <w:proofErr w:type="spellEnd"/>
      <w:r w:rsidRPr="006E7FAC">
        <w:t xml:space="preserve"> first — if the extracted text is empty or below a minimum length threshold, it treats the PDF as a scanned image and runs EasyOCR on the rendered pages instead. It's a graceful fallback, not a hard failure.</w:t>
      </w:r>
    </w:p>
    <w:p w14:paraId="2C3D149B" w14:textId="77777777" w:rsidR="006E7FAC" w:rsidRPr="006E7FAC" w:rsidRDefault="006E7FAC" w:rsidP="006E7FAC">
      <w:r w:rsidRPr="006E7FAC">
        <w:rPr>
          <w:b/>
          <w:bCs/>
        </w:rPr>
        <w:t>What if the denial letter doesn't have a denial code?</w:t>
      </w:r>
      <w:r w:rsidRPr="006E7FAC">
        <w:t xml:space="preserve"> The Auditor Agent is explicitly instructed — if a field is absent in the source text, return an empty string, don't infer. </w:t>
      </w:r>
      <w:proofErr w:type="gramStart"/>
      <w:r w:rsidRPr="006E7FAC">
        <w:t>So</w:t>
      </w:r>
      <w:proofErr w:type="gramEnd"/>
      <w:r w:rsidRPr="006E7FAC">
        <w:t xml:space="preserve"> </w:t>
      </w:r>
      <w:proofErr w:type="spellStart"/>
      <w:r w:rsidRPr="006E7FAC">
        <w:t>denial_code</w:t>
      </w:r>
      <w:proofErr w:type="spellEnd"/>
      <w:r w:rsidRPr="006E7FAC">
        <w:t xml:space="preserve"> comes back empty. The downstream agents — Regulatory and Barrister — still work because they operate on the </w:t>
      </w:r>
      <w:proofErr w:type="spellStart"/>
      <w:r w:rsidRPr="006E7FAC">
        <w:t>insurer_reason_snippet</w:t>
      </w:r>
      <w:proofErr w:type="spellEnd"/>
      <w:r w:rsidRPr="006E7FAC">
        <w:t xml:space="preserve"> and </w:t>
      </w:r>
      <w:proofErr w:type="spellStart"/>
      <w:r w:rsidRPr="006E7FAC">
        <w:t>procedure_denied</w:t>
      </w:r>
      <w:proofErr w:type="spellEnd"/>
      <w:r w:rsidRPr="006E7FAC">
        <w:t xml:space="preserve"> </w:t>
      </w:r>
      <w:r w:rsidRPr="006E7FAC">
        <w:lastRenderedPageBreak/>
        <w:t>fields. The letter just doesn't reference a specific code, which is actually more accurate than fabricating one.</w:t>
      </w:r>
    </w:p>
    <w:p w14:paraId="3E4C44F7" w14:textId="77777777" w:rsidR="006E7FAC" w:rsidRPr="006E7FAC" w:rsidRDefault="006E7FAC" w:rsidP="006E7FAC">
      <w:r w:rsidRPr="006E7FAC">
        <w:rPr>
          <w:b/>
          <w:bCs/>
        </w:rPr>
        <w:t>How do you handle bills in regional languages like Marathi or Hindi?</w:t>
      </w:r>
      <w:r w:rsidRPr="006E7FAC">
        <w:t xml:space="preserve"> Honestly — this is a current limitation. EasyOCR supports Hindi but accuracy on mixed Marathi-English medical billing text is inconsistent. It's on our roadmap. For </w:t>
      </w:r>
      <w:proofErr w:type="gramStart"/>
      <w:r w:rsidRPr="006E7FAC">
        <w:t>now</w:t>
      </w:r>
      <w:proofErr w:type="gramEnd"/>
      <w:r w:rsidRPr="006E7FAC">
        <w:t xml:space="preserve"> our primary target is English and Hinglish bills, which cover the majority of urban and semi-urban hospital output.</w:t>
      </w:r>
    </w:p>
    <w:p w14:paraId="0EFE9C96" w14:textId="77777777" w:rsidR="006E7FAC" w:rsidRPr="006E7FAC" w:rsidRDefault="006E7FAC" w:rsidP="006E7FAC">
      <w:r w:rsidRPr="006E7FAC">
        <w:rPr>
          <w:b/>
          <w:bCs/>
        </w:rPr>
        <w:t>What if two procedures are bundled into one line item?</w:t>
      </w:r>
      <w:r w:rsidRPr="006E7FAC">
        <w:t xml:space="preserve"> Our regex extractor pulls the full line item as-is. The Auditor Agent is prompted to split comma-separated procedures into individual entries. It's not perfect for heavily bundled bills but handles the common case of "Procedure A, Procedure B — ₹X" reasonably well.</w:t>
      </w:r>
    </w:p>
    <w:p w14:paraId="58C9ECB3" w14:textId="77777777" w:rsidR="006E7FAC" w:rsidRPr="006E7FAC" w:rsidRDefault="006E7FAC" w:rsidP="006E7FAC">
      <w:r w:rsidRPr="006E7FAC">
        <w:pict w14:anchorId="31856B6A">
          <v:rect id="_x0000_i1068" style="width:0;height:1.5pt" o:hralign="center" o:hrstd="t" o:hr="t" fillcolor="#a0a0a0" stroked="f"/>
        </w:pict>
      </w:r>
    </w:p>
    <w:p w14:paraId="558A706F" w14:textId="77777777" w:rsidR="006E7FAC" w:rsidRPr="006E7FAC" w:rsidRDefault="006E7FAC" w:rsidP="006E7FAC">
      <w:r w:rsidRPr="006E7FAC">
        <w:rPr>
          <w:b/>
          <w:bCs/>
        </w:rPr>
        <w:t>TECHNICAL — AI AND ACCURACY</w:t>
      </w:r>
    </w:p>
    <w:p w14:paraId="3B083142" w14:textId="77777777" w:rsidR="006E7FAC" w:rsidRPr="006E7FAC" w:rsidRDefault="006E7FAC" w:rsidP="006E7FAC">
      <w:r w:rsidRPr="006E7FAC">
        <w:rPr>
          <w:b/>
          <w:bCs/>
        </w:rPr>
        <w:t>What's your false positive rate on CGHS matching?</w:t>
      </w:r>
      <w:r w:rsidRPr="006E7FAC">
        <w:t xml:space="preserve"> We use tiered confidence thresholds — over 100% markup is flagged at 95% confidence, over 50% at 85%, below 50% at 70%. We surface the confidence score to the patient explicitly so they can see how certain we are. We're not hiding uncertainty — a patient sees "70% confidence" and decides whether to include that item in their appeal. We're a decision-support tool, not an automated accuser.</w:t>
      </w:r>
    </w:p>
    <w:p w14:paraId="44569023" w14:textId="77777777" w:rsidR="006E7FAC" w:rsidRPr="006E7FAC" w:rsidRDefault="006E7FAC" w:rsidP="006E7FAC">
      <w:r w:rsidRPr="006E7FAC">
        <w:rPr>
          <w:b/>
          <w:bCs/>
        </w:rPr>
        <w:t>Is the confidence score measuring extraction confidence or overcharge confidence?</w:t>
      </w:r>
      <w:r w:rsidRPr="006E7FAC">
        <w:t xml:space="preserve"> Currently it's extraction confidence from the Auditor Agent — how certain it is that it correctly identified the denial code, procedure, and policy clause. The overcharge confidence is separate — it's computed from the percentage deviation from CGHS rates. We display both. You're right that they're different things and we're explicit about that distinction in the UI.</w:t>
      </w:r>
    </w:p>
    <w:p w14:paraId="47E45C6A" w14:textId="77777777" w:rsidR="006E7FAC" w:rsidRPr="006E7FAC" w:rsidRDefault="006E7FAC" w:rsidP="006E7FAC">
      <w:r w:rsidRPr="006E7FAC">
        <w:rPr>
          <w:b/>
          <w:bCs/>
        </w:rPr>
        <w:t>If the LLM hallucinates a PMID or statute, how does the patient know?</w:t>
      </w:r>
      <w:r w:rsidRPr="006E7FAC">
        <w:t xml:space="preserve"> Two safeguards. First — the Clinician Agent is explicitly instructed not to fabricate PMIDs. If it can't find a verified ID, it uses "verified-on-request" as a placeholder rather than inventing a number. Second — the Regulatory Agent retrieves statutes from our own curated vector store, not from LLM memory. </w:t>
      </w:r>
      <w:proofErr w:type="gramStart"/>
      <w:r w:rsidRPr="006E7FAC">
        <w:t>So</w:t>
      </w:r>
      <w:proofErr w:type="gramEnd"/>
      <w:r w:rsidRPr="006E7FAC">
        <w:t xml:space="preserve"> statute names come from documents we control, not from hallucination.</w:t>
      </w:r>
    </w:p>
    <w:p w14:paraId="1EBA3636" w14:textId="77777777" w:rsidR="006E7FAC" w:rsidRPr="006E7FAC" w:rsidRDefault="006E7FAC" w:rsidP="006E7FAC">
      <w:r w:rsidRPr="006E7FAC">
        <w:rPr>
          <w:b/>
          <w:bCs/>
        </w:rPr>
        <w:t>What's actually in your vector store?</w:t>
      </w:r>
      <w:r w:rsidRPr="006E7FAC">
        <w:t xml:space="preserve"> Our </w:t>
      </w:r>
      <w:proofErr w:type="spellStart"/>
      <w:r w:rsidRPr="006E7FAC">
        <w:t>law_</w:t>
      </w:r>
      <w:proofErr w:type="gramStart"/>
      <w:r w:rsidRPr="006E7FAC">
        <w:t>library.json</w:t>
      </w:r>
      <w:proofErr w:type="spellEnd"/>
      <w:proofErr w:type="gramEnd"/>
      <w:r w:rsidRPr="006E7FAC">
        <w:t xml:space="preserve"> contains curated IRDAI regulations — the Health Insurance Regulations 2016, Insurance Act 1938 Section 45, Insurance Ombudsman Rules 2017, IRDAI Circular on rate standardisation, Consumer Protection Act 2019, and IRDAI Policyholder Protection Regulations 2017. They're embedded using all-MiniLM-L6-v2 and stored in PostgreSQL with </w:t>
      </w:r>
      <w:proofErr w:type="spellStart"/>
      <w:r w:rsidRPr="006E7FAC">
        <w:t>pgvector</w:t>
      </w:r>
      <w:proofErr w:type="spellEnd"/>
      <w:r w:rsidRPr="006E7FAC">
        <w:t>. It's a curated set, not exhaustive — expanding it is on the roadmap.</w:t>
      </w:r>
    </w:p>
    <w:p w14:paraId="68BE7814" w14:textId="77777777" w:rsidR="006E7FAC" w:rsidRPr="006E7FAC" w:rsidRDefault="006E7FAC" w:rsidP="006E7FAC">
      <w:r w:rsidRPr="006E7FAC">
        <w:rPr>
          <w:b/>
          <w:bCs/>
        </w:rPr>
        <w:lastRenderedPageBreak/>
        <w:t>What's your token usage per case and cost at scale?</w:t>
      </w:r>
      <w:r w:rsidRPr="006E7FAC">
        <w:t xml:space="preserve"> A full pipeline run uses roughly 8,000-12,000 tokens across all five agents. At </w:t>
      </w:r>
      <w:proofErr w:type="spellStart"/>
      <w:r w:rsidRPr="006E7FAC">
        <w:t>Groq's</w:t>
      </w:r>
      <w:proofErr w:type="spellEnd"/>
      <w:r w:rsidRPr="006E7FAC">
        <w:t xml:space="preserve"> current pricing that's fractions of a cent per case. Even at DeepSeek pricing of $0.14 per million input tokens, a full case costs under ₹0.10. At ₹99 per appeal the unit economics are extremely healthy.</w:t>
      </w:r>
    </w:p>
    <w:p w14:paraId="6E117586" w14:textId="77777777" w:rsidR="006E7FAC" w:rsidRPr="006E7FAC" w:rsidRDefault="006E7FAC" w:rsidP="006E7FAC">
      <w:r w:rsidRPr="006E7FAC">
        <w:pict w14:anchorId="6676986C">
          <v:rect id="_x0000_i1069" style="width:0;height:1.5pt" o:hralign="center" o:hrstd="t" o:hr="t" fillcolor="#a0a0a0" stroked="f"/>
        </w:pict>
      </w:r>
    </w:p>
    <w:p w14:paraId="2ED682DA" w14:textId="77777777" w:rsidR="006E7FAC" w:rsidRPr="006E7FAC" w:rsidRDefault="006E7FAC" w:rsidP="006E7FAC">
      <w:r w:rsidRPr="006E7FAC">
        <w:rPr>
          <w:b/>
          <w:bCs/>
        </w:rPr>
        <w:t>TECHNICAL — CGHS AND RATES</w:t>
      </w:r>
    </w:p>
    <w:p w14:paraId="7666B1B2" w14:textId="4449111B" w:rsidR="006E7FAC" w:rsidRPr="006E7FAC" w:rsidRDefault="006E7FAC" w:rsidP="006E7FAC">
      <w:r w:rsidRPr="006E7FAC">
        <w:rPr>
          <w:b/>
          <w:bCs/>
        </w:rPr>
        <w:t>How do you know your CGHS rates are current?</w:t>
      </w:r>
      <w:r w:rsidRPr="006E7FAC">
        <w:t xml:space="preserve"> Fair challenge. Our current seed database covers around </w:t>
      </w:r>
      <w:r w:rsidR="00D12CDA">
        <w:t>50+</w:t>
      </w:r>
      <w:r w:rsidRPr="006E7FAC">
        <w:t xml:space="preserve"> common procedures. The full official CGHS schedule has 1,000+ procedures and is updated periodically by the Ministry of Health. Expanding to the full schedule and building an automated sync from cghs.mohfw.gov.in is explicitly on our roadmap. For the hackathon we've demonstrated the architecture works — the data layer is what scales next.</w:t>
      </w:r>
    </w:p>
    <w:p w14:paraId="5CBBE4F6" w14:textId="77777777" w:rsidR="006E7FAC" w:rsidRPr="006E7FAC" w:rsidRDefault="006E7FAC" w:rsidP="006E7FAC">
      <w:r w:rsidRPr="006E7FAC">
        <w:rPr>
          <w:b/>
          <w:bCs/>
        </w:rPr>
        <w:t>Why use CGHS as the benchmark for private hospitals?</w:t>
      </w:r>
      <w:r w:rsidRPr="006E7FAC">
        <w:t xml:space="preserve"> Because IRDAI Circular IRDA/HLT/REG/CIR/070/03/2020 states that insurers cannot apply CGHS rate caps retrospectively unless the rate schedule was explicitly disclosed to the insured at policy issuance. Most patients were never shown a rate schedule when they bought their policy. </w:t>
      </w:r>
      <w:proofErr w:type="gramStart"/>
      <w:r w:rsidRPr="006E7FAC">
        <w:t>So</w:t>
      </w:r>
      <w:proofErr w:type="gramEnd"/>
      <w:r w:rsidRPr="006E7FAC">
        <w:t xml:space="preserve"> if an insurer denies or reduces a claim citing CGHS rates, and that rate schedule wasn't in the policy documents the patient signed — that's a procedural violation. We use CGHS as the legal baseline, not as a claim that private hospitals must follow it.</w:t>
      </w:r>
    </w:p>
    <w:p w14:paraId="2F4B8F67" w14:textId="77777777" w:rsidR="006E7FAC" w:rsidRPr="006E7FAC" w:rsidRDefault="006E7FAC" w:rsidP="006E7FAC">
      <w:r w:rsidRPr="006E7FAC">
        <w:pict w14:anchorId="6EC25C0C">
          <v:rect id="_x0000_i1070" style="width:0;height:1.5pt" o:hralign="center" o:hrstd="t" o:hr="t" fillcolor="#a0a0a0" stroked="f"/>
        </w:pict>
      </w:r>
    </w:p>
    <w:p w14:paraId="00C93AB0" w14:textId="77777777" w:rsidR="006E7FAC" w:rsidRPr="006E7FAC" w:rsidRDefault="006E7FAC" w:rsidP="006E7FAC">
      <w:r w:rsidRPr="006E7FAC">
        <w:rPr>
          <w:b/>
          <w:bCs/>
        </w:rPr>
        <w:t>THE INSURER-SIDE JUDGE</w:t>
      </w:r>
    </w:p>
    <w:p w14:paraId="42DD245D" w14:textId="77777777" w:rsidR="006E7FAC" w:rsidRPr="006E7FAC" w:rsidRDefault="006E7FAC" w:rsidP="006E7FAC">
      <w:r w:rsidRPr="006E7FAC">
        <w:rPr>
          <w:b/>
          <w:bCs/>
        </w:rPr>
        <w:t>Does your letter follow each insurer's specific appeals process?</w:t>
      </w:r>
      <w:r w:rsidRPr="006E7FAC">
        <w:t xml:space="preserve"> The letter is structured per IRDAI's mandated grievance framework — which all IRDAI-regulated insurers are legally required to follow. The escalation path is Grievance Officer first, then IRDAI IGMS portal, then Insurance Ombudsman. Individual insurer-specific forms are a layer we haven't built yet — that's a real gap and we'll own it. What we produce is the legal substance of the appeal — the patient may still need to paste it into an insurer's specific form.</w:t>
      </w:r>
    </w:p>
    <w:p w14:paraId="38C8E6FE" w14:textId="77777777" w:rsidR="006E7FAC" w:rsidRPr="006E7FAC" w:rsidRDefault="006E7FAC" w:rsidP="006E7FAC">
      <w:r w:rsidRPr="006E7FAC">
        <w:rPr>
          <w:b/>
          <w:bCs/>
        </w:rPr>
        <w:t>Are you helping patients file bad-faith appeals?</w:t>
      </w:r>
      <w:r w:rsidRPr="006E7FAC">
        <w:t xml:space="preserve"> No — and the Judge Agent's quality score is the safeguard. A low score surfaces weak grounds explicitly. We don't inflate confidence or hide poor evidence. If the procedure is genuinely excluded and there's no regulatory violation, the appeal letter will reflect that weakness. We're built for the 67% of valid claims that go </w:t>
      </w:r>
      <w:proofErr w:type="spellStart"/>
      <w:r w:rsidRPr="006E7FAC">
        <w:t>unappealed</w:t>
      </w:r>
      <w:proofErr w:type="spellEnd"/>
      <w:r w:rsidRPr="006E7FAC">
        <w:t xml:space="preserve"> — not to manufacture disputes.</w:t>
      </w:r>
    </w:p>
    <w:p w14:paraId="0E527019" w14:textId="77777777" w:rsidR="006E7FAC" w:rsidRPr="006E7FAC" w:rsidRDefault="006E7FAC" w:rsidP="006E7FAC">
      <w:r w:rsidRPr="006E7FAC">
        <w:rPr>
          <w:b/>
          <w:bCs/>
        </w:rPr>
        <w:t>How do you prevent fraudulent appeals at scale?</w:t>
      </w:r>
      <w:r w:rsidRPr="006E7FAC">
        <w:t xml:space="preserve"> The system requires uploading the actual denial letter and policy document. You can't generate an appeal without real source documents. The Auditor Agent extracts verbatim quotes from the source — if </w:t>
      </w:r>
      <w:r w:rsidRPr="006E7FAC">
        <w:lastRenderedPageBreak/>
        <w:t>there's no denial letter, there's no appeal. It's grounded in evidence, not generated from thin air.</w:t>
      </w:r>
    </w:p>
    <w:p w14:paraId="0BA3300C" w14:textId="77777777" w:rsidR="006E7FAC" w:rsidRPr="006E7FAC" w:rsidRDefault="006E7FAC" w:rsidP="006E7FAC">
      <w:r w:rsidRPr="006E7FAC">
        <w:rPr>
          <w:b/>
          <w:bCs/>
        </w:rPr>
        <w:t>Will insurers dismiss it because it's AI-generated?</w:t>
      </w:r>
      <w:r w:rsidRPr="006E7FAC">
        <w:t xml:space="preserve"> The letter cites real IRDAI statute names, real PubMed article titles, and verbatim quotes from the patient's own denial letter. An insurer's legal team has to respond to the legal substance — they can't dismiss a correctly cited regulatory violation just because a tool helped draft it. The same way insurers can't dismiss a lawyer's letter because it was typed on a computer.</w:t>
      </w:r>
    </w:p>
    <w:p w14:paraId="0E770259" w14:textId="77777777" w:rsidR="006E7FAC" w:rsidRPr="006E7FAC" w:rsidRDefault="006E7FAC" w:rsidP="006E7FAC">
      <w:r w:rsidRPr="006E7FAC">
        <w:rPr>
          <w:b/>
          <w:bCs/>
        </w:rPr>
        <w:t>Are your IRDAI citations the latest versions?</w:t>
      </w:r>
      <w:r w:rsidRPr="006E7FAC">
        <w:t xml:space="preserve"> Our vector store contains the regulations current as of our build date. IRDAI does issue new circulars — keeping the knowledge base current is an ongoing operational requirement, not a one-time build. We've architected it so adding new documents is a matter of embedding and inserting — it's not a code change.</w:t>
      </w:r>
    </w:p>
    <w:p w14:paraId="06A1B679" w14:textId="77777777" w:rsidR="006E7FAC" w:rsidRPr="006E7FAC" w:rsidRDefault="006E7FAC" w:rsidP="006E7FAC">
      <w:r w:rsidRPr="006E7FAC">
        <w:rPr>
          <w:b/>
          <w:bCs/>
        </w:rPr>
        <w:t>Is the Insurance Ombudsman actually a viable escalation path given the backlog?</w:t>
      </w:r>
      <w:r w:rsidRPr="006E7FAC">
        <w:t xml:space="preserve"> It's the legally mandated path under Insurance Ombudsman Rules 2017 — so we include it because patients have a right to know it exists. But you're right about the backlog — which is exactly why our primary goal is getting the insurer to reverse at the Grievance Officer stage, before it ever reaches the Ombudsman. A well-structured appeal with regulatory citations has a much higher chance of resolution at Stage 1.</w:t>
      </w:r>
    </w:p>
    <w:p w14:paraId="04E204E5" w14:textId="77777777" w:rsidR="006E7FAC" w:rsidRPr="006E7FAC" w:rsidRDefault="006E7FAC" w:rsidP="006E7FAC">
      <w:r w:rsidRPr="006E7FAC">
        <w:rPr>
          <w:b/>
          <w:bCs/>
        </w:rPr>
        <w:t>Has PubMed literature actually worked in Indian insurance appeals?</w:t>
      </w:r>
      <w:r w:rsidRPr="006E7FAC">
        <w:t xml:space="preserve"> Not commonly — because most patients filing appeals don't have access to clinical literature. That's precisely the gap we're filling. The IRDAI framework requires insurers to provide medically grounded reasons for denial — presenting peer-reviewed evidence of medical necessity directly challenges the clinical basis of their decision. Whether every insurer accepts it immediately is a separate question. But it changes the quality of the argument fundamentally.</w:t>
      </w:r>
    </w:p>
    <w:p w14:paraId="6DE27CDC" w14:textId="77777777" w:rsidR="006E7FAC" w:rsidRPr="006E7FAC" w:rsidRDefault="006E7FAC" w:rsidP="006E7FAC">
      <w:r w:rsidRPr="006E7FAC">
        <w:rPr>
          <w:b/>
          <w:bCs/>
        </w:rPr>
        <w:t>What stops an insurer from rejecting again with different wording?</w:t>
      </w:r>
      <w:r w:rsidRPr="006E7FAC">
        <w:t xml:space="preserve"> Nothing stops a first rejection. But each rejection with new wording creates a new paper trail — and at the Ombudsman stage, a pattern of arbitrary rejections is itself evidence of deficiency in service under Consumer Protection Act 2019 Section 2(11). We explicitly tell patients to keep all written responses. The system is designed for the full escalation journey, not just the first letter.</w:t>
      </w:r>
    </w:p>
    <w:p w14:paraId="24DD028D" w14:textId="77777777" w:rsidR="006E7FAC" w:rsidRPr="006E7FAC" w:rsidRDefault="006E7FAC" w:rsidP="006E7FAC">
      <w:r w:rsidRPr="006E7FAC">
        <w:rPr>
          <w:b/>
          <w:bCs/>
        </w:rPr>
        <w:t>Does your tool account for TPA-specific rejection patterns?</w:t>
      </w:r>
      <w:r w:rsidRPr="006E7FAC">
        <w:t xml:space="preserve"> Not yet — this is a real gap. TPAs like Medi Assist, MD India, and Heritage Health each have quirks in how they process and reject claims. Building TPA-specific appeal templates is a Phase 2 feature. Right </w:t>
      </w:r>
      <w:proofErr w:type="gramStart"/>
      <w:r w:rsidRPr="006E7FAC">
        <w:t>now</w:t>
      </w:r>
      <w:proofErr w:type="gramEnd"/>
      <w:r w:rsidRPr="006E7FAC">
        <w:t xml:space="preserve"> we produce IRDAI-framework-compliant letters that work as a strong baseline regardless of TPA.</w:t>
      </w:r>
    </w:p>
    <w:p w14:paraId="4DB7B429" w14:textId="77777777" w:rsidR="006E7FAC" w:rsidRPr="006E7FAC" w:rsidRDefault="006E7FAC" w:rsidP="006E7FAC">
      <w:r w:rsidRPr="006E7FAC">
        <w:pict w14:anchorId="31521905">
          <v:rect id="_x0000_i1071" style="width:0;height:1.5pt" o:hralign="center" o:hrstd="t" o:hr="t" fillcolor="#a0a0a0" stroked="f"/>
        </w:pict>
      </w:r>
    </w:p>
    <w:p w14:paraId="1B877A0A" w14:textId="77777777" w:rsidR="006E7FAC" w:rsidRPr="006E7FAC" w:rsidRDefault="006E7FAC" w:rsidP="006E7FAC">
      <w:r w:rsidRPr="006E7FAC">
        <w:rPr>
          <w:b/>
          <w:bCs/>
        </w:rPr>
        <w:lastRenderedPageBreak/>
        <w:t>BUSINESS AND VIABILITY</w:t>
      </w:r>
    </w:p>
    <w:p w14:paraId="37618FC0" w14:textId="77777777" w:rsidR="006E7FAC" w:rsidRPr="006E7FAC" w:rsidRDefault="006E7FAC" w:rsidP="006E7FAC">
      <w:r w:rsidRPr="006E7FAC">
        <w:rPr>
          <w:b/>
          <w:bCs/>
        </w:rPr>
        <w:t>What stops patients from sharing the output?</w:t>
      </w:r>
      <w:r w:rsidRPr="006E7FAC">
        <w:t xml:space="preserve"> Honestly — nothing stops them sharing a specific letter. But the letter is specific to their denial code, their procedure, their policy clause, their insurer. It's not a generic template — it's generated from their documents. Another patient with a different denial would need to run their own case. The value isn't in the letter </w:t>
      </w:r>
      <w:proofErr w:type="gramStart"/>
      <w:r w:rsidRPr="006E7FAC">
        <w:t>itself,</w:t>
      </w:r>
      <w:proofErr w:type="gramEnd"/>
      <w:r w:rsidRPr="006E7FAC">
        <w:t xml:space="preserve"> it's in the generation from your specific documents.</w:t>
      </w:r>
    </w:p>
    <w:p w14:paraId="34D4827B" w14:textId="77777777" w:rsidR="006E7FAC" w:rsidRPr="006E7FAC" w:rsidRDefault="006E7FAC" w:rsidP="006E7FAC">
      <w:r w:rsidRPr="006E7FAC">
        <w:rPr>
          <w:b/>
          <w:bCs/>
        </w:rPr>
        <w:t>How do you acquire users given the narrow window?</w:t>
      </w:r>
      <w:r w:rsidRPr="006E7FAC">
        <w:t xml:space="preserve"> You're right that direct-to-patient is a narrow window — they only know they need us after they've been denied. </w:t>
      </w:r>
      <w:proofErr w:type="gramStart"/>
      <w:r w:rsidRPr="006E7FAC">
        <w:t>So</w:t>
      </w:r>
      <w:proofErr w:type="gramEnd"/>
      <w:r w:rsidRPr="006E7FAC">
        <w:t xml:space="preserve"> our primary channel is B2B — hospitals, TPAs, and insurance brokers who deal with denials daily. A hospital's patient relations team handling 50 denials a month is a much better acquisition surface than finding individual patients. The ₹99 consumer model is a secondary channel.</w:t>
      </w:r>
    </w:p>
    <w:p w14:paraId="579E7855" w14:textId="77777777" w:rsidR="006E7FAC" w:rsidRPr="006E7FAC" w:rsidRDefault="006E7FAC" w:rsidP="006E7FAC">
      <w:r w:rsidRPr="006E7FAC">
        <w:rPr>
          <w:b/>
          <w:bCs/>
        </w:rPr>
        <w:t>How do you handle pushback from hospitals?</w:t>
      </w:r>
      <w:r w:rsidRPr="006E7FAC">
        <w:t xml:space="preserve"> We're not a hospital-facing product. We're patient-facing and insurer-facing. Hospitals have no standing to block a patient from filing an appeal — that's a legal right. If hospitals push back on CGHS rate comparisons, that actually validates our thesis.</w:t>
      </w:r>
    </w:p>
    <w:p w14:paraId="757B31F0" w14:textId="77777777" w:rsidR="006E7FAC" w:rsidRPr="006E7FAC" w:rsidRDefault="006E7FAC" w:rsidP="006E7FAC">
      <w:r w:rsidRPr="006E7FAC">
        <w:rPr>
          <w:b/>
          <w:bCs/>
        </w:rPr>
        <w:t>Could IRDAI regulate or restrict this tool?</w:t>
      </w:r>
      <w:r w:rsidRPr="006E7FAC">
        <w:t xml:space="preserve"> IRDAI's mandate is consumer protection — a tool that helps patients exercise their legal right to appeal is directionally aligned with IRDAI's own objectives. We're not circumventing </w:t>
      </w:r>
      <w:proofErr w:type="gramStart"/>
      <w:r w:rsidRPr="006E7FAC">
        <w:t>regulation,</w:t>
      </w:r>
      <w:proofErr w:type="gramEnd"/>
      <w:r w:rsidRPr="006E7FAC">
        <w:t xml:space="preserve"> we're helping patients use it. If anything, IRDAI would be more likely to endorse this than restrict it.</w:t>
      </w:r>
    </w:p>
    <w:p w14:paraId="1237B4F5" w14:textId="77777777" w:rsidR="006E7FAC" w:rsidRPr="006E7FAC" w:rsidRDefault="006E7FAC" w:rsidP="006E7FAC">
      <w:r w:rsidRPr="006E7FAC">
        <w:rPr>
          <w:b/>
          <w:bCs/>
        </w:rPr>
        <w:t>Who is liable if the appeal makes things worse?</w:t>
      </w:r>
      <w:r w:rsidRPr="006E7FAC">
        <w:t xml:space="preserve"> We include a clear disclaimer — this is not legal </w:t>
      </w:r>
      <w:proofErr w:type="gramStart"/>
      <w:r w:rsidRPr="006E7FAC">
        <w:t>advice,</w:t>
      </w:r>
      <w:proofErr w:type="gramEnd"/>
      <w:r w:rsidRPr="006E7FAC">
        <w:t xml:space="preserve"> it's a legally structured document. The patient makes the final decision to submit. Liability stays with the patient's choice to act, the same way TurboTax isn't liable for a user's tax filing decisions. We're a tool, not a legal representative.</w:t>
      </w:r>
    </w:p>
    <w:p w14:paraId="7E25DCB6" w14:textId="77777777" w:rsidR="006E7FAC" w:rsidRPr="006E7FAC" w:rsidRDefault="006E7FAC" w:rsidP="006E7FAC">
      <w:r w:rsidRPr="006E7FAC">
        <w:pict w14:anchorId="35969495">
          <v:rect id="_x0000_i1072" style="width:0;height:1.5pt" o:hralign="center" o:hrstd="t" o:hr="t" fillcolor="#a0a0a0" stroked="f"/>
        </w:pict>
      </w:r>
    </w:p>
    <w:p w14:paraId="0D913DC9" w14:textId="77777777" w:rsidR="006E7FAC" w:rsidRPr="006E7FAC" w:rsidRDefault="006E7FAC" w:rsidP="006E7FAC">
      <w:r w:rsidRPr="006E7FAC">
        <w:rPr>
          <w:b/>
          <w:bCs/>
        </w:rPr>
        <w:t>ARCHITECTURE AND SCALE</w:t>
      </w:r>
    </w:p>
    <w:p w14:paraId="17FC11AD" w14:textId="77777777" w:rsidR="006E7FAC" w:rsidRPr="006E7FAC" w:rsidRDefault="006E7FAC" w:rsidP="006E7FAC">
      <w:r w:rsidRPr="006E7FAC">
        <w:rPr>
          <w:b/>
          <w:bCs/>
        </w:rPr>
        <w:t>If one agent fails, does everything fail?</w:t>
      </w:r>
      <w:r w:rsidRPr="006E7FAC">
        <w:t xml:space="preserve"> We have checkpoint saving between every agent stage. If the Clinician Agent fails, the Auditor's output is already saved to PostgreSQL. The pipeline can resume from the last successful checkpoint rather than restarting from scratch. Agent failures are caught, logged to </w:t>
      </w:r>
      <w:proofErr w:type="spellStart"/>
      <w:r w:rsidRPr="006E7FAC">
        <w:t>workflow_errors</w:t>
      </w:r>
      <w:proofErr w:type="spellEnd"/>
      <w:r w:rsidRPr="006E7FAC">
        <w:t>, and surfaced to the user with specific error messages.</w:t>
      </w:r>
    </w:p>
    <w:p w14:paraId="3C3EE287" w14:textId="77777777" w:rsidR="006E7FAC" w:rsidRPr="006E7FAC" w:rsidRDefault="006E7FAC" w:rsidP="006E7FAC">
      <w:r w:rsidRPr="006E7FAC">
        <w:rPr>
          <w:b/>
          <w:bCs/>
        </w:rPr>
        <w:t xml:space="preserve">What if </w:t>
      </w:r>
      <w:proofErr w:type="spellStart"/>
      <w:r w:rsidRPr="006E7FAC">
        <w:rPr>
          <w:b/>
          <w:bCs/>
        </w:rPr>
        <w:t>Groq</w:t>
      </w:r>
      <w:proofErr w:type="spellEnd"/>
      <w:r w:rsidRPr="006E7FAC">
        <w:rPr>
          <w:b/>
          <w:bCs/>
        </w:rPr>
        <w:t xml:space="preserve"> goes down?</w:t>
      </w:r>
      <w:r w:rsidRPr="006E7FAC">
        <w:t xml:space="preserve"> The client is provider-agnostic. We can swap to DeepSeek, </w:t>
      </w:r>
      <w:proofErr w:type="spellStart"/>
      <w:r w:rsidRPr="006E7FAC">
        <w:t>Ollama</w:t>
      </w:r>
      <w:proofErr w:type="spellEnd"/>
      <w:r w:rsidRPr="006E7FAC">
        <w:t>, or any OpenAI-compatible endpoint by changing one environment variable. We also have mock response fallbacks so the UI doesn't break entirely — it degrades gracefully with clearly labelled mock output.</w:t>
      </w:r>
    </w:p>
    <w:p w14:paraId="53853639" w14:textId="77777777" w:rsidR="006E7FAC" w:rsidRPr="006E7FAC" w:rsidRDefault="006E7FAC" w:rsidP="006E7FAC">
      <w:r w:rsidRPr="006E7FAC">
        <w:rPr>
          <w:b/>
          <w:bCs/>
        </w:rPr>
        <w:lastRenderedPageBreak/>
        <w:t>How does this scale to 1,000 concurrent users?</w:t>
      </w:r>
      <w:r w:rsidRPr="006E7FAC">
        <w:t xml:space="preserve"> Current architecture handles one case per async task. </w:t>
      </w:r>
      <w:proofErr w:type="spellStart"/>
      <w:r w:rsidRPr="006E7FAC">
        <w:t>FastAPI's</w:t>
      </w:r>
      <w:proofErr w:type="spellEnd"/>
      <w:r w:rsidRPr="006E7FAC">
        <w:t xml:space="preserve"> async nature means multiple cases can run concurrently — they don't block each other. The bottleneck at scale is LLM API rate limits, not our infrastructure. The solution there is request queuing with Redis and horizontal scaling of the backend — both are standard patterns we've architected for but not implemented at hackathon scale.</w:t>
      </w:r>
    </w:p>
    <w:p w14:paraId="387E191A" w14:textId="77777777" w:rsidR="006E7FAC" w:rsidRPr="006E7FAC" w:rsidRDefault="006E7FAC" w:rsidP="006E7FAC">
      <w:r w:rsidRPr="006E7FAC">
        <w:rPr>
          <w:b/>
          <w:bCs/>
        </w:rPr>
        <w:t>What's your data retention policy?</w:t>
      </w:r>
      <w:r w:rsidRPr="006E7FAC">
        <w:t xml:space="preserve"> Uploaded files are stored in Docker volumes. Users can delete their cases from the UI, which triggers deletion of both the database record and the associated files from the filesystem. We don't retain documents after deletion. In production we'd add explicit retention period policies and encrypted storage — that's an operational maturity item.</w:t>
      </w:r>
    </w:p>
    <w:p w14:paraId="5895BF9A" w14:textId="77777777" w:rsidR="006E7FAC" w:rsidRPr="006E7FAC" w:rsidRDefault="006E7FAC" w:rsidP="006E7FAC">
      <w:r w:rsidRPr="006E7FAC">
        <w:rPr>
          <w:b/>
          <w:bCs/>
        </w:rPr>
        <w:t>Are files actually deleted from the filesystem on case deletion?</w:t>
      </w:r>
      <w:r w:rsidRPr="006E7FAC">
        <w:t xml:space="preserve"> Yes — the delete endpoint removes both the PostgreSQL record and the files from the upload directory. It's not just a soft delete.</w:t>
      </w:r>
    </w:p>
    <w:p w14:paraId="03E469E4" w14:textId="77777777" w:rsidR="006E7FAC" w:rsidRPr="006E7FAC" w:rsidRDefault="006E7FAC" w:rsidP="006E7FAC">
      <w:r w:rsidRPr="006E7FAC">
        <w:pict w14:anchorId="6CCEE1B5">
          <v:rect id="_x0000_i1073" style="width:0;height:1.5pt" o:hralign="center" o:hrstd="t" o:hr="t" fillcolor="#a0a0a0" stroked="f"/>
        </w:pict>
      </w:r>
    </w:p>
    <w:p w14:paraId="6CBEF55D" w14:textId="77777777" w:rsidR="006E7FAC" w:rsidRPr="006E7FAC" w:rsidRDefault="006E7FAC" w:rsidP="006E7FAC">
      <w:r w:rsidRPr="006E7FAC">
        <w:rPr>
          <w:b/>
          <w:bCs/>
        </w:rPr>
        <w:t>IMPACT AND DIFFERENTIATION</w:t>
      </w:r>
    </w:p>
    <w:p w14:paraId="74D7F10F" w14:textId="77777777" w:rsidR="006E7FAC" w:rsidRPr="006E7FAC" w:rsidRDefault="006E7FAC" w:rsidP="006E7FAC">
      <w:r w:rsidRPr="006E7FAC">
        <w:rPr>
          <w:b/>
          <w:bCs/>
        </w:rPr>
        <w:t>Why not just use IRDAI IGMS or Bima Bharosa?</w:t>
      </w:r>
      <w:r w:rsidRPr="006E7FAC">
        <w:t xml:space="preserve"> IGMS is a complaint portal — you submit a complaint and wait. It doesn't help you construct the argument, cite the regulations, or gather clinical evidence. It's a submission channel, not an appeal drafting tool. We help you build the strongest possible case before you submit anywhere — including IGMS.</w:t>
      </w:r>
    </w:p>
    <w:p w14:paraId="1B47CB75" w14:textId="77777777" w:rsidR="006E7FAC" w:rsidRPr="006E7FAC" w:rsidRDefault="006E7FAC" w:rsidP="006E7FAC">
      <w:r w:rsidRPr="006E7FAC">
        <w:rPr>
          <w:b/>
          <w:bCs/>
        </w:rPr>
        <w:t>What makes this different from just asking ChatGPT?</w:t>
      </w:r>
      <w:r w:rsidRPr="006E7FAC">
        <w:t xml:space="preserve"> Three things. One — ChatGPT doesn't have your denial letter, your policy document, or your specific denial code. It generates generic text. We generate from your actual documents. Two — ChatGPT will hallucinate IRDAI statute numbers and PubMed IDs. We retrieve statutes from a curated vector store and clinical evidence from PubMed directly. Three — ChatGPT has no jurisdiction awareness. We detect Indian cases and explicitly block US statute citations. A ChatGPT appeal letter might cite ERISA — which has zero legal force in India.</w:t>
      </w:r>
    </w:p>
    <w:p w14:paraId="2C54F67C" w14:textId="77777777" w:rsidR="006E7FAC" w:rsidRPr="006E7FAC" w:rsidRDefault="006E7FAC" w:rsidP="006E7FAC">
      <w:r w:rsidRPr="006E7FAC">
        <w:rPr>
          <w:b/>
          <w:bCs/>
        </w:rPr>
        <w:t>Have you tested with a real denial letter?</w:t>
      </w:r>
      <w:r w:rsidRPr="006E7FAC">
        <w:t xml:space="preserve"> Yes — the appeal letters and PDF reports you can see in our GitHub repo's data/output folder were generated from real Indian denial documents during development. The pipeline is tested on actual Star Health and Niva Bupa denial formats.</w:t>
      </w:r>
    </w:p>
    <w:p w14:paraId="5280C89D" w14:textId="77777777" w:rsidR="006E7FAC" w:rsidRPr="006E7FAC" w:rsidRDefault="006E7FAC" w:rsidP="006E7FAC">
      <w:r w:rsidRPr="006E7FAC">
        <w:rPr>
          <w:b/>
          <w:bCs/>
        </w:rPr>
        <w:t>What's your actual measured end-to-end time?</w:t>
      </w:r>
      <w:r w:rsidRPr="006E7FAC">
        <w:t xml:space="preserve"> From our Docker logs — Auditor runs in about 1 second, Clinician in 1-2 seconds, Regulatory near-instant from the vector store, Barrister 2-3 seconds streaming. Total pipeline is 5-8 seconds for agent processing. The "under 2 minutes" figure accounts for document upload, processing </w:t>
      </w:r>
      <w:r w:rsidRPr="006E7FAC">
        <w:lastRenderedPageBreak/>
        <w:t xml:space="preserve">queue, and PDF generation. On a good connection with </w:t>
      </w:r>
      <w:proofErr w:type="spellStart"/>
      <w:r w:rsidRPr="006E7FAC">
        <w:t>Groq</w:t>
      </w:r>
      <w:proofErr w:type="spellEnd"/>
      <w:r w:rsidRPr="006E7FAC">
        <w:t xml:space="preserve"> responding fast, we've seen complete runs in under 30 seconds.</w:t>
      </w:r>
    </w:p>
    <w:p w14:paraId="72BCEF5B" w14:textId="77777777" w:rsidR="006E7FAC" w:rsidRDefault="006E7FAC"/>
    <w:sectPr w:rsidR="006E7FA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AC"/>
    <w:rsid w:val="006E7FAC"/>
    <w:rsid w:val="00D12CDA"/>
    <w:rsid w:val="00DC31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463B3"/>
  <w15:chartTrackingRefBased/>
  <w15:docId w15:val="{0C66749F-F810-4309-9FB9-34B788ACC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FAC"/>
    <w:rPr>
      <w:rFonts w:eastAsiaTheme="majorEastAsia" w:cstheme="majorBidi"/>
      <w:color w:val="272727" w:themeColor="text1" w:themeTint="D8"/>
    </w:rPr>
  </w:style>
  <w:style w:type="paragraph" w:styleId="Title">
    <w:name w:val="Title"/>
    <w:basedOn w:val="Normal"/>
    <w:next w:val="Normal"/>
    <w:link w:val="TitleChar"/>
    <w:uiPriority w:val="10"/>
    <w:qFormat/>
    <w:rsid w:val="006E7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FAC"/>
    <w:pPr>
      <w:spacing w:before="160"/>
      <w:jc w:val="center"/>
    </w:pPr>
    <w:rPr>
      <w:i/>
      <w:iCs/>
      <w:color w:val="404040" w:themeColor="text1" w:themeTint="BF"/>
    </w:rPr>
  </w:style>
  <w:style w:type="character" w:customStyle="1" w:styleId="QuoteChar">
    <w:name w:val="Quote Char"/>
    <w:basedOn w:val="DefaultParagraphFont"/>
    <w:link w:val="Quote"/>
    <w:uiPriority w:val="29"/>
    <w:rsid w:val="006E7FAC"/>
    <w:rPr>
      <w:i/>
      <w:iCs/>
      <w:color w:val="404040" w:themeColor="text1" w:themeTint="BF"/>
    </w:rPr>
  </w:style>
  <w:style w:type="paragraph" w:styleId="ListParagraph">
    <w:name w:val="List Paragraph"/>
    <w:basedOn w:val="Normal"/>
    <w:uiPriority w:val="34"/>
    <w:qFormat/>
    <w:rsid w:val="006E7FAC"/>
    <w:pPr>
      <w:ind w:left="720"/>
      <w:contextualSpacing/>
    </w:pPr>
  </w:style>
  <w:style w:type="character" w:styleId="IntenseEmphasis">
    <w:name w:val="Intense Emphasis"/>
    <w:basedOn w:val="DefaultParagraphFont"/>
    <w:uiPriority w:val="21"/>
    <w:qFormat/>
    <w:rsid w:val="006E7FAC"/>
    <w:rPr>
      <w:i/>
      <w:iCs/>
      <w:color w:val="0F4761" w:themeColor="accent1" w:themeShade="BF"/>
    </w:rPr>
  </w:style>
  <w:style w:type="paragraph" w:styleId="IntenseQuote">
    <w:name w:val="Intense Quote"/>
    <w:basedOn w:val="Normal"/>
    <w:next w:val="Normal"/>
    <w:link w:val="IntenseQuoteChar"/>
    <w:uiPriority w:val="30"/>
    <w:qFormat/>
    <w:rsid w:val="006E7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FAC"/>
    <w:rPr>
      <w:i/>
      <w:iCs/>
      <w:color w:val="0F4761" w:themeColor="accent1" w:themeShade="BF"/>
    </w:rPr>
  </w:style>
  <w:style w:type="character" w:styleId="IntenseReference">
    <w:name w:val="Intense Reference"/>
    <w:basedOn w:val="DefaultParagraphFont"/>
    <w:uiPriority w:val="32"/>
    <w:qFormat/>
    <w:rsid w:val="006E7F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2367</Words>
  <Characters>13498</Characters>
  <Application>Microsoft Office Word</Application>
  <DocSecurity>0</DocSecurity>
  <Lines>112</Lines>
  <Paragraphs>31</Paragraphs>
  <ScaleCrop>false</ScaleCrop>
  <Company/>
  <LinksUpToDate>false</LinksUpToDate>
  <CharactersWithSpaces>15834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Viraj Jadhao</dc:creator>
  <cp:keywords/>
  <dc:description/>
  <cp:lastModifiedBy>Viraj Jadhao</cp:lastModifiedBy>
  <cp:revision>2</cp:revision>
  <dcterms:created xsi:type="dcterms:W3CDTF">2026-04-26T04:49:00Z</dcterms:created>
  <dcterms:modified xsi:type="dcterms:W3CDTF">2026-04-26T05:17:00Z</dcterms:modified>
</cp:coreProperties>
</file>