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2E5395"/>
          <w:sz w:val="36"/>
          <w:szCs w:val="36"/>
        </w:rPr>
        <w:t xml:space="preserve">PRODUCT GUIDE</w:t>
      </w:r>
    </w:p>
    <w:p>
      <w:r>
        <w:rPr>
          <w:b/>
          <w:bCs/>
          <w:sz w:val="22"/>
          <w:szCs w:val="22"/>
        </w:rPr>
        <w:t xml:space="preserve">Horizon Balanced Growth Fund (HBGF)   |   Document ID: PG-001</w:t>
      </w:r>
    </w:p>
    <w:p>
      <w:r>
        <w:rPr>
          <w:i/>
          <w:iCs/>
          <w:color w:val="555555"/>
          <w:sz w:val="20"/>
          <w:szCs w:val="20"/>
        </w:rPr>
        <w:t xml:space="preserve">Effective Date: 2026-01-15   |   Version 3.0 (Expanded Edition)   |   Sensitivity: Public   |   Entitlement: All RMs</w:t>
      </w:r>
    </w:p>
    <w:p>
      <w:pPr>
        <w:pBdr>
          <w:bottom w:val="single" w:color="2E5395" w:sz="6" w:space="4"/>
        </w:pBdr>
      </w:pPr>
    </w:p>
    <w:p>
      <w:pPr>
        <w:pStyle w:val="Heading1"/>
      </w:pPr>
      <w:r>
        <w:t xml:space="preserve">1. Product Overview</w:t>
      </w:r>
    </w:p>
    <w:p>
      <w:pPr>
        <w:spacing w:after="140"/>
      </w:pPr>
      <w:r>
        <w:t xml:space="preserve">The Horizon Balanced Growth Fund (HBGF) is a multi-asset fund designed to deliver long-term capital growth with a moderate income component, targeting clients who can tolerate market volatility in exchange for higher expected returns than a pure income strategy. The fund maintains a flexible equity-to-fixed-income ratio, typically ranging from 55/45 to 70/30 depending on the portfolio manager's tactical view within board-approved bands.</w:t>
      </w:r>
    </w:p>
    <w:p>
      <w:pPr>
        <w:spacing w:after="140"/>
      </w:pPr>
      <w:r>
        <w:t xml:space="preserve">HBGF was conceived as the firm's flagship core holding for clients whose objectives sit between pure capital preservation and aggressive growth-seeking. It is frequently used by RMs as the anchor position around which more specialized satellite holdings, such as HAEF or direct fixed income ladders, are layered.</w:t>
      </w:r>
    </w:p>
    <w:p>
      <w:pPr>
        <w:spacing w:after="140"/>
      </w:pPr>
      <w:r>
        <w:t xml:space="preserve">Since its 2011 inception, HBGF has grown to become one of the firm's largest single fund offerings by assets under management, reflecting its broad applicability across the firm's Balanced and Growth profile client base. The fund's enduring popularity stems in part from its straightforward value proposition: a single, professionally managed vehicle that provides genuinely diversified exposure across both major asset classes, removing the burden of manual rebalancing between separate equity and fixed income holdings from the client and RM relationship, while still preserving the flexibility for the portfolio management team to respond tactically to evolving market conditions within clearly defined and disclosed strategic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Inception Date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2011-09-12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Fund Size (AUM)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USD 3.85 billion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Benchmark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60% MSCI World / 40% Bloomberg Global Aggregate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Base Currency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USD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Minimum Initial Investment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USD 10,000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Fund Domicile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Luxembourg (UCITS-compliant structure)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Fund Administrator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Horizon Fund Services Ltd.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Custodian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Northbridge Trust &amp; Custody Bank</w:t>
            </w:r>
          </w:p>
        </w:tc>
      </w:tr>
    </w:tbl>
    <w:p/>
    <w:p>
      <w:pPr>
        <w:pStyle w:val="Heading1"/>
      </w:pPr>
      <w:r>
        <w:t xml:space="preserve">2. Investment Objective</w:t>
      </w:r>
    </w:p>
    <w:p>
      <w:pPr>
        <w:spacing w:after="140"/>
      </w:pPr>
      <w:r>
        <w:t xml:space="preserve">To achieve long-term capital appreciation through a diversified, actively managed portfolio of global equities and fixed income securities, with secondary emphasis on income generation. The fund targets a rolling 5-year total return in excess of its blended benchmark, net of fees.</w:t>
      </w:r>
    </w:p>
    <w:p>
      <w:pPr>
        <w:spacing w:after="140"/>
      </w:pPr>
      <w:r>
        <w:t xml:space="preserve">The fund's mandate explicitly permits tactical asset allocation shifts within the stated strategic bands, allowing the portfolio management team to lean more defensively or more aggressively depending on the prevailing market environment, while remaining anchored to the fund's core balanced risk classification at all times.</w:t>
      </w:r>
    </w:p>
    <w:p>
      <w:pPr>
        <w:pStyle w:val="Heading1"/>
      </w:pPr>
      <w:r>
        <w:t xml:space="preserve">3. Asset Allocation Ranges and Sub-Strategy Detail</w:t>
      </w:r>
    </w:p>
    <w:p>
      <w:pPr>
        <w:pStyle w:val="Heading2"/>
      </w:pPr>
      <w:r>
        <w:t xml:space="preserve">3.1 Strategic Allocation Bands</w:t>
      </w:r>
    </w:p>
    <w:p>
      <w:pPr>
        <w:pStyle w:val="ListParagraph"/>
        <w:numPr>
          <w:ilvl w:val="0"/>
          <w:numId w:val="2"/>
        </w:numPr>
        <w:spacing w:after="80"/>
      </w:pPr>
      <w:r>
        <w:t xml:space="preserve">Global Equities (developed and emerging markets): 50% - 70%</w:t>
      </w:r>
    </w:p>
    <w:p>
      <w:pPr>
        <w:pStyle w:val="ListParagraph"/>
        <w:numPr>
          <w:ilvl w:val="0"/>
          <w:numId w:val="2"/>
        </w:numPr>
        <w:spacing w:after="80"/>
      </w:pPr>
      <w:r>
        <w:t xml:space="preserve">Investment-Grade Fixed Income: 25% - 40%</w:t>
      </w:r>
    </w:p>
    <w:p>
      <w:pPr>
        <w:pStyle w:val="ListParagraph"/>
        <w:numPr>
          <w:ilvl w:val="0"/>
          <w:numId w:val="2"/>
        </w:numPr>
        <w:spacing w:after="80"/>
      </w:pPr>
      <w:r>
        <w:t xml:space="preserve">High-Yield / Emerging Market Debt (satellite allocation): 0% - 10%</w:t>
      </w:r>
    </w:p>
    <w:p>
      <w:pPr>
        <w:pStyle w:val="ListParagraph"/>
        <w:numPr>
          <w:ilvl w:val="0"/>
          <w:numId w:val="2"/>
        </w:numPr>
        <w:spacing w:after="80"/>
      </w:pPr>
      <w:r>
        <w:t xml:space="preserve">Cash &amp; Cash Equivalents: 0% - 8%</w:t>
      </w:r>
    </w:p>
    <w:p>
      <w:pPr>
        <w:pStyle w:val="Heading2"/>
      </w:pPr>
      <w:r>
        <w:t xml:space="preserve">3.2 Equity Sleeve Regional Breakdown</w:t>
      </w:r>
    </w:p>
    <w:p>
      <w:pPr>
        <w:pStyle w:val="ListParagraph"/>
        <w:numPr>
          <w:ilvl w:val="0"/>
          <w:numId w:val="2"/>
        </w:numPr>
        <w:spacing w:after="80"/>
      </w:pPr>
      <w:r>
        <w:t xml:space="preserve">North America: 45-55% of equity sleeve</w:t>
      </w:r>
    </w:p>
    <w:p>
      <w:pPr>
        <w:pStyle w:val="ListParagraph"/>
        <w:numPr>
          <w:ilvl w:val="0"/>
          <w:numId w:val="2"/>
        </w:numPr>
        <w:spacing w:after="80"/>
      </w:pPr>
      <w:r>
        <w:t xml:space="preserve">Europe (developed): 18-25% of equity sleeve</w:t>
      </w:r>
    </w:p>
    <w:p>
      <w:pPr>
        <w:pStyle w:val="ListParagraph"/>
        <w:numPr>
          <w:ilvl w:val="0"/>
          <w:numId w:val="2"/>
        </w:numPr>
        <w:spacing w:after="80"/>
      </w:pPr>
      <w:r>
        <w:t xml:space="preserve">Asia-Pacific (developed): 10-15% of equity sleeve</w:t>
      </w:r>
    </w:p>
    <w:p>
      <w:pPr>
        <w:pStyle w:val="ListParagraph"/>
        <w:numPr>
          <w:ilvl w:val="0"/>
          <w:numId w:val="2"/>
        </w:numPr>
        <w:spacing w:after="80"/>
      </w:pPr>
      <w:r>
        <w:t xml:space="preserve">Emerging Markets (all regions): 12-20% of equity sleeve</w:t>
      </w:r>
    </w:p>
    <w:p>
      <w:pPr>
        <w:pStyle w:val="Heading2"/>
      </w:pPr>
      <w:r>
        <w:t xml:space="preserve">3.3 Equity Sleeve Sector Breakdown (Approximate, Subject to Active Management)</w:t>
      </w:r>
    </w:p>
    <w:p>
      <w:pPr>
        <w:pStyle w:val="ListParagraph"/>
        <w:numPr>
          <w:ilvl w:val="0"/>
          <w:numId w:val="2"/>
        </w:numPr>
        <w:spacing w:after="80"/>
      </w:pPr>
      <w:r>
        <w:t xml:space="preserve">Technology &amp; Applied AI Infrastructure: 18-24%</w:t>
      </w:r>
    </w:p>
    <w:p>
      <w:pPr>
        <w:pStyle w:val="ListParagraph"/>
        <w:numPr>
          <w:ilvl w:val="0"/>
          <w:numId w:val="2"/>
        </w:numPr>
        <w:spacing w:after="80"/>
      </w:pPr>
      <w:r>
        <w:t xml:space="preserve">Financials: 14-18%</w:t>
      </w:r>
    </w:p>
    <w:p>
      <w:pPr>
        <w:pStyle w:val="ListParagraph"/>
        <w:numPr>
          <w:ilvl w:val="0"/>
          <w:numId w:val="2"/>
        </w:numPr>
        <w:spacing w:after="80"/>
      </w:pPr>
      <w:r>
        <w:t xml:space="preserve">Healthcare: 11-15%</w:t>
      </w:r>
    </w:p>
    <w:p>
      <w:pPr>
        <w:pStyle w:val="ListParagraph"/>
        <w:numPr>
          <w:ilvl w:val="0"/>
          <w:numId w:val="2"/>
        </w:numPr>
        <w:spacing w:after="80"/>
      </w:pPr>
      <w:r>
        <w:t xml:space="preserve">Consumer Discretionary: 9-13%</w:t>
      </w:r>
    </w:p>
    <w:p>
      <w:pPr>
        <w:pStyle w:val="ListParagraph"/>
        <w:numPr>
          <w:ilvl w:val="0"/>
          <w:numId w:val="2"/>
        </w:numPr>
        <w:spacing w:after="80"/>
      </w:pPr>
      <w:r>
        <w:t xml:space="preserve">Industrials: 9-12%</w:t>
      </w:r>
    </w:p>
    <w:p>
      <w:pPr>
        <w:pStyle w:val="ListParagraph"/>
        <w:numPr>
          <w:ilvl w:val="0"/>
          <w:numId w:val="2"/>
        </w:numPr>
        <w:spacing w:after="80"/>
      </w:pPr>
      <w:r>
        <w:t xml:space="preserve">Consumer Staples: 7-10%</w:t>
      </w:r>
    </w:p>
    <w:p>
      <w:pPr>
        <w:pStyle w:val="ListParagraph"/>
        <w:numPr>
          <w:ilvl w:val="0"/>
          <w:numId w:val="2"/>
        </w:numPr>
        <w:spacing w:after="80"/>
      </w:pPr>
      <w:r>
        <w:t xml:space="preserve">Communication Services: 6-9%</w:t>
      </w:r>
    </w:p>
    <w:p>
      <w:pPr>
        <w:pStyle w:val="ListParagraph"/>
        <w:numPr>
          <w:ilvl w:val="0"/>
          <w:numId w:val="2"/>
        </w:numPr>
        <w:spacing w:after="80"/>
      </w:pPr>
      <w:r>
        <w:t xml:space="preserve">Energy, Materials, Utilities, Real Estate (combined): 10-15%</w:t>
      </w:r>
    </w:p>
    <w:p>
      <w:pPr>
        <w:pStyle w:val="Heading2"/>
      </w:pPr>
      <w:r>
        <w:t xml:space="preserve">3.4 Fixed Income Sleeve Breakdown</w:t>
      </w:r>
    </w:p>
    <w:p>
      <w:pPr>
        <w:pStyle w:val="ListParagraph"/>
        <w:numPr>
          <w:ilvl w:val="0"/>
          <w:numId w:val="2"/>
        </w:numPr>
        <w:spacing w:after="80"/>
      </w:pPr>
      <w:r>
        <w:t xml:space="preserve">Government &amp; Agency Bonds: 45-55% of fixed income sleeve</w:t>
      </w:r>
    </w:p>
    <w:p>
      <w:pPr>
        <w:pStyle w:val="ListParagraph"/>
        <w:numPr>
          <w:ilvl w:val="0"/>
          <w:numId w:val="2"/>
        </w:numPr>
        <w:spacing w:after="80"/>
      </w:pPr>
      <w:r>
        <w:t xml:space="preserve">Investment-Grade Corporate Bonds: 30-40% of fixed income sleeve</w:t>
      </w:r>
    </w:p>
    <w:p>
      <w:pPr>
        <w:pStyle w:val="ListParagraph"/>
        <w:numPr>
          <w:ilvl w:val="0"/>
          <w:numId w:val="2"/>
        </w:numPr>
        <w:spacing w:after="80"/>
      </w:pPr>
      <w:r>
        <w:t xml:space="preserve">Securitized / Mortgage-Backed Securities: 8-12% of fixed income sleeve</w:t>
      </w:r>
    </w:p>
    <w:p>
      <w:pPr>
        <w:pStyle w:val="ListParagraph"/>
        <w:numPr>
          <w:ilvl w:val="0"/>
          <w:numId w:val="2"/>
        </w:numPr>
        <w:spacing w:after="80"/>
      </w:pPr>
      <w:r>
        <w:t xml:space="preserve">High-Yield / Emerging Market Debt (within satellite allocation): up to 10% of fixed income sleeve</w:t>
      </w:r>
    </w:p>
    <w:p>
      <w:pPr>
        <w:pStyle w:val="Heading1"/>
      </w:pPr>
      <w:r>
        <w:t xml:space="preserve">4. Portfolio Management Process</w:t>
      </w:r>
    </w:p>
    <w:p>
      <w:pPr>
        <w:spacing w:after="140"/>
      </w:pPr>
      <w:r>
        <w:t xml:space="preserve">The fund is managed under a four-stage process consistent with the firm's broader multi-asset investment philosophy:</w:t>
      </w:r>
    </w:p>
    <w:p>
      <w:pPr>
        <w:pStyle w:val="Heading2"/>
      </w:pPr>
      <w:r>
        <w:t xml:space="preserve">4.1 Strategic Asset Allocation Review</w:t>
      </w:r>
    </w:p>
    <w:p>
      <w:pPr>
        <w:spacing w:after="140"/>
      </w:pPr>
      <w:r>
        <w:t xml:space="preserve">The investment committee reviews strategic allocation bands annually, informed by long-term capital markets assumptions developed by the firm's asset allocation research function. This annual review process incorporates a structured assessment of expected returns, volatility, and correlation assumptions across all major asset classes represented in the fund's mandate, drawing on both quantitative historical analysis and qualitative judgment from senior investment professionals regarding structural shifts in market dynamics that historical data alone may not fully capture. The committee documents its rationale for maintaining or adjusting strategic bands in a formal annual memorandum, which is available to RMs via the internal investment documentation portal for reference in sophisticated client conversations.</w:t>
      </w:r>
    </w:p>
    <w:p>
      <w:pPr>
        <w:pStyle w:val="Heading2"/>
      </w:pPr>
      <w:r>
        <w:t xml:space="preserve">4.2 Tactical Positioning</w:t>
      </w:r>
    </w:p>
    <w:p>
      <w:pPr>
        <w:spacing w:after="140"/>
      </w:pPr>
      <w:r>
        <w:t xml:space="preserve">The portfolio management team adjusts positioning within strategic bands on a monthly cycle, informed by the house macro view, with the flexibility to move more quickly in response to material market developments, subject to risk committee notification for any move exceeding defined thresholds. Tactical positioning decisions are informed by a structured framework that weighs valuation signals, momentum indicators, macroeconomic regime classification, and cross-asset correlation dynamics. The team maintains a documented decision log for all tactical positioning changes, recording the rationale, expected holding period for the tactical view, and a pre-defined review trigger at which the position will be reassessed regardless of performance, to guard against behavioral biases such as anchoring or loss aversion influencing the team's ongoing management of tactical positions.</w:t>
      </w:r>
    </w:p>
    <w:p>
      <w:pPr>
        <w:pStyle w:val="Heading2"/>
      </w:pPr>
      <w:r>
        <w:t xml:space="preserve">4.3 Security Selection</w:t>
      </w:r>
    </w:p>
    <w:p>
      <w:pPr>
        <w:spacing w:after="140"/>
      </w:pPr>
      <w:r>
        <w:t xml:space="preserve">Equity security selection combines quantitative factor screening with fundamental analysis from sector-specialist analysts; fixed income security selection follows the same independent credit research process used across the firm's fixed income strategies, as described in the Conservative Income Fund product guide (Document PG-002). The equity selection process begins with a broad quantitative screen across the fund's eligible investment universe, incorporating factors such as quality, valuation, momentum, and growth characteristics, calibrated to the fund's balanced risk classification. Securities passing the initial quantitative screen are then subject to fundamental review by sector-specialist analysts, who assess company-specific factors including competitive positioning, management quality, capital allocation discipline, and balance sheet strength before a security is approved for inclusion in the eligible buy list from which the portfolio management team constructs the actual portfolio.</w:t>
      </w:r>
    </w:p>
    <w:p>
      <w:pPr>
        <w:pStyle w:val="Heading2"/>
      </w:pPr>
      <w:r>
        <w:t xml:space="preserve">4.4 Risk Oversight</w:t>
      </w:r>
    </w:p>
    <w:p>
      <w:pPr>
        <w:spacing w:after="140"/>
      </w:pPr>
      <w:r>
        <w:t xml:space="preserve">An independent risk team monitors the fund's equity beta, sector concentration, duration, and currency exposure daily against policy limits, with escalation procedures for any sustained breach of soft limits. The risk team operates organizationally independent of the portfolio management function, reporting directly to the firm's Chief Risk Officer rather than through the investment management reporting line, specifically to preserve independence in risk oversight. Daily risk monitoring outputs are reviewed each morning ahead of market open, with any limit breach or near-breach flagged for same-day portfolio management team review and, where the breach exceeds a defined materiality threshold, escalated to the investment committee within one business day.</w:t>
      </w:r>
    </w:p>
    <w:p>
      <w:pPr>
        <w:pStyle w:val="Heading1"/>
      </w:pPr>
      <w:r>
        <w:t xml:space="preserve">5. Risk Characteristics</w:t>
      </w:r>
    </w:p>
    <w:p>
      <w:pPr>
        <w:spacing w:after="120"/>
      </w:pPr>
      <w:r>
        <w:rPr>
          <w:b/>
          <w:bCs/>
        </w:rPr>
        <w:t xml:space="preserve">Risk Rating: MODERATE TO MODERATELY HIGH (Internal Scale 3 of 5)</w:t>
      </w:r>
    </w:p>
    <w:p>
      <w:pPr>
        <w:pStyle w:val="ListParagraph"/>
        <w:numPr>
          <w:ilvl w:val="0"/>
          <w:numId w:val="2"/>
        </w:numPr>
        <w:spacing w:after="80"/>
      </w:pPr>
      <w:r>
        <w:t xml:space="preserve">Standard Deviation (3-yr trailing): 9.6%</w:t>
      </w:r>
    </w:p>
    <w:p>
      <w:pPr>
        <w:pStyle w:val="ListParagraph"/>
        <w:numPr>
          <w:ilvl w:val="0"/>
          <w:numId w:val="2"/>
        </w:numPr>
        <w:spacing w:after="80"/>
      </w:pPr>
      <w:r>
        <w:t xml:space="preserve">Standard Deviation (5-yr trailing): 10.4%</w:t>
      </w:r>
    </w:p>
    <w:p>
      <w:pPr>
        <w:pStyle w:val="ListParagraph"/>
        <w:numPr>
          <w:ilvl w:val="0"/>
          <w:numId w:val="2"/>
        </w:numPr>
        <w:spacing w:after="80"/>
      </w:pPr>
      <w:r>
        <w:t xml:space="preserve">Maximum Drawdown (5-yr lookback): -18.2% (Q1 2026 volatility event)</w:t>
      </w:r>
    </w:p>
    <w:p>
      <w:pPr>
        <w:pStyle w:val="ListParagraph"/>
        <w:numPr>
          <w:ilvl w:val="0"/>
          <w:numId w:val="2"/>
        </w:numPr>
        <w:spacing w:after="80"/>
      </w:pPr>
      <w:r>
        <w:t xml:space="preserve">Maximum Drawdown (10-yr lookback): -24.5% (2020 market dislocation)</w:t>
      </w:r>
    </w:p>
    <w:p>
      <w:pPr>
        <w:pStyle w:val="ListParagraph"/>
        <w:numPr>
          <w:ilvl w:val="0"/>
          <w:numId w:val="2"/>
        </w:numPr>
        <w:spacing w:after="80"/>
      </w:pPr>
      <w:r>
        <w:t xml:space="preserve">Equity Beta (vs. MSCI World): 0.92</w:t>
      </w:r>
    </w:p>
    <w:p>
      <w:pPr>
        <w:pStyle w:val="ListParagraph"/>
        <w:numPr>
          <w:ilvl w:val="0"/>
          <w:numId w:val="2"/>
        </w:numPr>
        <w:spacing w:after="80"/>
      </w:pPr>
      <w:r>
        <w:t xml:space="preserve">Sharpe Ratio (5-yr trailing, illustrative): 0.68</w:t>
      </w:r>
    </w:p>
    <w:p>
      <w:pPr>
        <w:pStyle w:val="ListParagraph"/>
        <w:numPr>
          <w:ilvl w:val="0"/>
          <w:numId w:val="2"/>
        </w:numPr>
        <w:spacing w:after="80"/>
      </w:pPr>
      <w:r>
        <w:t xml:space="preserve">Sortino Ratio (5-yr trailing, illustrative): 0.91</w:t>
      </w:r>
    </w:p>
    <w:p>
      <w:pPr>
        <w:spacing w:after="140"/>
      </w:pPr>
      <w:r>
        <w:t xml:space="preserve">This fund carries equity market risk, interest rate risk, currency risk (for non-USD holdings), and credit risk within the fixed income sleeve. The unit value will fluctuate and is not principal-protected.</w:t>
      </w:r>
    </w:p>
    <w:p>
      <w:pPr>
        <w:pStyle w:val="Heading2"/>
      </w:pPr>
      <w:r>
        <w:t xml:space="preserve">5.1 Factor Exposure Detail</w:t>
      </w:r>
    </w:p>
    <w:p>
      <w:pPr>
        <w:spacing w:after="140"/>
      </w:pPr>
      <w:r>
        <w:t xml:space="preserve">Beyond the headline statistics above, the portfolio risk team monitors the fund's exposure across standard equity risk factors, including value, growth, quality, momentum, and size, to ensure the fund's active positioning does not drift unintentionally toward unrewarded factor bets. The fund's strategic mandate targets a broadly factor-neutral stance relative to its benchmark, with modest, deliberate tilts permitted within tactical positioning bands toward quality and lower-volatility characteristics within the equity sleeve, reflecting the fund's balanced risk classification relative to the firm's more growth-oriented offerings.</w:t>
      </w:r>
    </w:p>
    <w:p>
      <w:pPr>
        <w:spacing w:after="140"/>
      </w:pPr>
      <w:r>
        <w:t xml:space="preserve">Within the fixed income sleeve, the risk team separately monitors duration exposure, credit spread duration, and curve positioning (the relative weighting of short, intermediate, and long maturities), to ensure the sleeve's risk contribution to the overall fund remains consistent with the fund's stated risk classification, independent of the headline asset allocation percentages described in Section 3.</w:t>
      </w:r>
    </w:p>
    <w:p>
      <w:pPr>
        <w:pStyle w:val="Heading2"/>
      </w:pPr>
      <w:r>
        <w:t xml:space="preserve">5.2 Currency Risk Management</w:t>
      </w:r>
    </w:p>
    <w:p>
      <w:pPr>
        <w:spacing w:after="140"/>
      </w:pPr>
      <w:r>
        <w:t xml:space="preserve">The fund's equity sleeve includes meaningful non-USD currency exposure, given its global mandate. The portfolio management team applies selective currency hedging on a tactical basis, generally hedging a portion of developed market currency exposure where the team's house view favors USD strength, while typically leaving emerging market currency exposure unhedged given the higher cost and lower liquidity of emerging market currency hedging instruments. The fixed income sleeve's limited non-USD exposure is generally hedged back to USD as a matter of standing policy, to avoid currency risk compounding interest rate risk within the bond sleeve.</w:t>
      </w:r>
    </w:p>
    <w:p>
      <w:pPr>
        <w:pStyle w:val="Heading1"/>
      </w:pPr>
      <w:r>
        <w:t xml:space="preserve">6. Historical Performance Commentary (Illustrative, by Period)</w:t>
      </w:r>
    </w:p>
    <w:p>
      <w:pPr>
        <w:spacing w:after="140"/>
      </w:pPr>
      <w:r>
        <w:t xml:space="preserve">The following commentary describes illustrative historical performance periods for RM context. All figures are historical and are not indicative of future results.</w:t>
      </w:r>
    </w:p>
    <w:p>
      <w:pPr>
        <w:pStyle w:val="Heading2"/>
      </w:pPr>
      <w:r>
        <w:t xml:space="preserve">6.1 Period A — Extended Bull Market Phase (Illustrative)</w:t>
      </w:r>
    </w:p>
    <w:p>
      <w:pPr>
        <w:spacing w:after="140"/>
      </w:pPr>
      <w:r>
        <w:t xml:space="preserve">During extended periods of broad market appreciation, the fund's equity-heavy strategic allocation has historically allowed meaningful participation in market gains, generally tracking close to its blended benchmark with modest variance attributable to active sector and security selection.</w:t>
      </w:r>
    </w:p>
    <w:p>
      <w:pPr>
        <w:pStyle w:val="Heading2"/>
      </w:pPr>
      <w:r>
        <w:t xml:space="preserve">6.2 Period B — Market Dislocation Event (Illustrative)</w:t>
      </w:r>
    </w:p>
    <w:p>
      <w:pPr>
        <w:spacing w:after="140"/>
      </w:pPr>
      <w:r>
        <w:t xml:space="preserve">During the Q1 2026 volatility event, the fund's diversified multi-asset structure helped moderate, though did not eliminate, downside relative to a pure global equity allocation, consistent with the fund's balanced risk classification.</w:t>
      </w:r>
    </w:p>
    <w:p>
      <w:pPr>
        <w:pStyle w:val="Heading2"/>
      </w:pPr>
      <w:r>
        <w:t xml:space="preserve">6.3 Period C — Recovery Phase (Illustrative)</w:t>
      </w:r>
    </w:p>
    <w:p>
      <w:pPr>
        <w:spacing w:after="140"/>
      </w:pPr>
      <w:r>
        <w:t xml:space="preserve">Following periods of market stress, the fund has historically participated meaningfully in subsequent recoveries given its substantial equity allocation, while the fixed income sleeve has provided a moderating influence on overall portfolio volatility throughout the cycle.</w:t>
      </w:r>
    </w:p>
    <w:p>
      <w:pPr>
        <w:pStyle w:val="Heading1"/>
      </w:pPr>
      <w:r>
        <w:t xml:space="preserve">7. Suitability Guidance</w:t>
      </w:r>
    </w:p>
    <w:p>
      <w:pPr>
        <w:spacing w:after="80"/>
      </w:pPr>
      <w:r>
        <w:rPr>
          <w:b/>
          <w:bCs/>
        </w:rPr>
        <w:t xml:space="preserve">Recommended Investor Risk Profile: </w:t>
      </w:r>
      <w:r>
        <w:t xml:space="preserve">Balanced or Growth</w:t>
      </w:r>
    </w:p>
    <w:p>
      <w:pPr>
        <w:spacing w:after="80"/>
      </w:pPr>
      <w:r>
        <w:rPr>
          <w:b/>
          <w:bCs/>
        </w:rPr>
        <w:t xml:space="preserve">Recommended Holding Period: </w:t>
      </w:r>
      <w:r>
        <w:t xml:space="preserve">Minimum 5 years</w:t>
      </w:r>
    </w:p>
    <w:p>
      <w:pPr>
        <w:spacing w:after="60"/>
      </w:pPr>
      <w:r>
        <w:rPr>
          <w:b/>
          <w:bCs/>
        </w:rPr>
        <w:t xml:space="preserve">NOT suitable for: </w:t>
      </w:r>
    </w:p>
    <w:p>
      <w:pPr>
        <w:pStyle w:val="ListParagraph"/>
        <w:numPr>
          <w:ilvl w:val="0"/>
          <w:numId w:val="2"/>
        </w:numPr>
        <w:spacing w:after="80"/>
      </w:pPr>
      <w:r>
        <w:t xml:space="preserve">Conservative-profile clients prioritizing capital preservation over growth</w:t>
      </w:r>
    </w:p>
    <w:p>
      <w:pPr>
        <w:pStyle w:val="ListParagraph"/>
        <w:numPr>
          <w:ilvl w:val="0"/>
          <w:numId w:val="2"/>
        </w:numPr>
        <w:spacing w:after="80"/>
      </w:pPr>
      <w:r>
        <w:t xml:space="preserve">Clients with a holding horizon under 5 years</w:t>
      </w:r>
    </w:p>
    <w:p>
      <w:pPr>
        <w:pStyle w:val="ListParagraph"/>
        <w:numPr>
          <w:ilvl w:val="0"/>
          <w:numId w:val="2"/>
        </w:numPr>
        <w:spacing w:after="80"/>
      </w:pPr>
      <w:r>
        <w:t xml:space="preserve">Clients requiring guaranteed income or principal protection</w:t>
      </w:r>
    </w:p>
    <w:p>
      <w:pPr>
        <w:spacing w:after="60"/>
      </w:pPr>
      <w:r>
        <w:rPr>
          <w:b/>
          <w:bCs/>
        </w:rPr>
        <w:t xml:space="preserve">Generally suitable for: </w:t>
      </w:r>
    </w:p>
    <w:p>
      <w:pPr>
        <w:pStyle w:val="ListParagraph"/>
        <w:numPr>
          <w:ilvl w:val="0"/>
          <w:numId w:val="2"/>
        </w:numPr>
        <w:spacing w:after="80"/>
      </w:pPr>
      <w:r>
        <w:t xml:space="preserve">Balanced clients seeking a core multi-asset holding</w:t>
      </w:r>
    </w:p>
    <w:p>
      <w:pPr>
        <w:pStyle w:val="ListParagraph"/>
        <w:numPr>
          <w:ilvl w:val="0"/>
          <w:numId w:val="2"/>
        </w:numPr>
        <w:spacing w:after="80"/>
      </w:pPr>
      <w:r>
        <w:t xml:space="preserve">Growth clients seeking a less concentrated alternative to single-sector equity exposure</w:t>
      </w:r>
    </w:p>
    <w:p>
      <w:pPr>
        <w:pStyle w:val="Heading2"/>
      </w:pPr>
      <w:r>
        <w:t xml:space="preserve">7.1 Illustrative Suitability Scenarios</w:t>
      </w:r>
    </w:p>
    <w:p>
      <w:pPr>
        <w:spacing w:after="140"/>
      </w:pPr>
      <w:r>
        <w:t xml:space="preserve">Scenario A: A Balanced-profile client aged 50 with a 10-year horizon seeking a single core holding that balances growth participation with moderated volatility. HBGF's strategic allocation bands are designed for exactly this use case, subject to the standard suitability check against the client's full RPQ. In this scenario, the RM should walk the client through the fund's historical drawdown statistics from Section 5 alongside its long-term growth objective, ensuring the client understands that the fund's moderate volatility classification still permits meaningful short-term fluctuation in unit value, even though the fund is designed to moderate the more severe drawdowns associated with a pure equity allocation.</w:t>
      </w:r>
    </w:p>
    <w:p>
      <w:pPr>
        <w:spacing w:after="140"/>
      </w:pPr>
      <w:r>
        <w:t xml:space="preserve">Scenario B: A Growth-profile client aged 35 seeking to consolidate several scattered holdings into fewer, more efficiently managed core positions. HBGF may serve as an appropriate core holding, potentially complemented by a smaller satellite allocation to HAEF for additional growth tilt, subject to combined concentration limit checks. In this scenario, the RM should assess the client's existing holdings for any overlap with HBGF's underlying exposures before finalizing a consolidation recommendation, to avoid inadvertently creating unintended concentration in any single sector or geography across the client's full portfolio.</w:t>
      </w:r>
    </w:p>
    <w:p>
      <w:pPr>
        <w:spacing w:after="140"/>
      </w:pPr>
      <w:r>
        <w:t xml:space="preserve">Scenario C: A Conservative-profile client asking about HBGF due to its strong recent relative performance. This is a scenario requiring RM caution — recent performance should never override a documented risk profile; the RM should not recommend HBGF to a Conservative client without a formal re-assessment of the client's risk tolerance. RMs should use this type of inquiry as an opportunity to revisit the client's documented risk profile and confirm it still accurately reflects their circumstances, rather than treating the client's interest in a specific fund as grounds to bypass the suitability process.</w:t>
      </w:r>
    </w:p>
    <w:p>
      <w:pPr>
        <w:spacing w:after="140"/>
      </w:pPr>
      <w:r>
        <w:t xml:space="preserve">Scenario D: A Balanced-profile client nearing a 5-year horizon for a specific goal, such as a planned major purchase, who currently holds HBGF as part of a longer-term allocation. As the time horizon for that specific goal shortens, the RM should proactively discuss whether the allocation supporting that goal remains appropriate, potentially recommending a gradual transition toward lower-volatility holdings such as HCIF or the bond ladder products as the goal date approaches, consistent with standard time-horizon-based suitability practice.</w:t>
      </w:r>
    </w:p>
    <w:p>
      <w:pPr>
        <w:pStyle w:val="Heading1"/>
      </w:pPr>
      <w:r>
        <w:t xml:space="preserve">8. Fees &amp; Charges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395" w:val="clear"/>
            <w:tcMar>
              <w:top w:type="dxa" w:w="80"/>
              <w:left w:type="dxa" w:w="120"/>
              <w:bottom w:type="dxa" w:w="80"/>
              <w:right w:type="dxa" w:w="120"/>
            </w:tcMar>
          </w:tcPr>
          <w:p>
            <w:r>
              <w:rPr>
                <w:b/>
                <w:bCs/>
                <w:color w:val="FFFFFF"/>
                <w:sz w:val="20"/>
                <w:szCs w:val="20"/>
              </w:rPr>
              <w:t xml:space="preserve">Fee Type</w:t>
            </w:r>
          </w:p>
        </w:tc>
        <w:tc>
          <w:tcPr>
            <w:tcW w:type="dxa" w:w="4680"/>
            <w:tcBorders>
              <w:top w:val="single" w:color="CCCCCC" w:sz="1"/>
              <w:left w:val="single" w:color="CCCCCC" w:sz="1"/>
              <w:bottom w:val="single" w:color="CCCCCC" w:sz="1"/>
              <w:right w:val="single" w:color="CCCCCC" w:sz="1"/>
            </w:tcBorders>
            <w:shd w:fill="2E5395" w:val="clear"/>
            <w:tcMar>
              <w:top w:type="dxa" w:w="80"/>
              <w:left w:type="dxa" w:w="120"/>
              <w:bottom w:type="dxa" w:w="80"/>
              <w:right w:type="dxa" w:w="120"/>
            </w:tcMar>
          </w:tcPr>
          <w:p>
            <w:r>
              <w:rPr>
                <w:b/>
                <w:bCs/>
                <w:color w:val="FFFFFF"/>
                <w:sz w:val="20"/>
                <w:szCs w:val="20"/>
              </w:rPr>
              <w:t xml:space="preserve">Amount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Management Fee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1.05% per annum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Entry Load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Nil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Exit Load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1.5% if redeemed within 365 days; Nil thereafter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Total Expense Ratio (TER)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1.34%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Performance Fee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None</w:t>
            </w:r>
          </w:p>
        </w:tc>
      </w:tr>
    </w:tbl>
    <w:p/>
    <w:p>
      <w:pPr>
        <w:pStyle w:val="Heading1"/>
      </w:pPr>
      <w:r>
        <w:t xml:space="preserve">9. Distribution Policy</w:t>
      </w:r>
    </w:p>
    <w:p>
      <w:pPr>
        <w:spacing w:after="140"/>
      </w:pPr>
      <w:r>
        <w:t xml:space="preserve">HBGF declares distributions semi-annually, reflecting its growth-oriented mandate relative to the monthly distribution cycle used by the firm's income-focused Conservative Income Fund. Distribution Reinvestment Plan (DRIP) is available at no additional charge and is the default election for clients who do not specify a cash distribution preference.</w:t>
      </w:r>
    </w:p>
    <w:p>
      <w:pPr>
        <w:pStyle w:val="Heading1"/>
      </w:pPr>
      <w:r>
        <w:t xml:space="preserve">10. Liquidity &amp; Redemption</w:t>
      </w:r>
    </w:p>
    <w:p>
      <w:pPr>
        <w:spacing w:after="140"/>
      </w:pPr>
      <w:r>
        <w:t xml:space="preserve">Redemption Frequency: Daily (on business days). Settlement: Trade Date + 3 Business Days (T+3). The fund reserves the right to limit redemptions to 10% of NAV per dealing day during periods of severe market stress, per the Fund's offering memorandum section 8.4.</w:t>
      </w:r>
    </w:p>
    <w:p>
      <w:pPr>
        <w:pStyle w:val="Heading1"/>
      </w:pPr>
      <w:r>
        <w:t xml:space="preserve">11. Comparison to Related Horizon Products</w:t>
      </w:r>
    </w:p>
    <w:p>
      <w:pPr>
        <w:spacing w:after="140"/>
      </w:pPr>
      <w:r>
        <w:t xml:space="preserve">HBGF vs. Horizon Conservative Income Fund (HCIF): HBGF carries a materially higher equity allocation, higher historical volatility, and higher historical maximum drawdown, but correspondingly higher long-term expected return. HCIF is appropriate for Conservative or Balanced profile clients prioritizing capital preservation; HBGF is appropriate for Balanced or Growth profile clients with a longer horizon.</w:t>
      </w:r>
    </w:p>
    <w:p>
      <w:pPr>
        <w:spacing w:after="140"/>
      </w:pPr>
      <w:r>
        <w:t xml:space="preserve">HBGF vs. Horizon Aggressive Equity Fund (HAEF): HAEF carries a materially more concentrated, growth-tilted equity-only mandate with no fixed income ballast, resulting in higher expected volatility and drawdown than HBGF. HBGF's blended multi-asset structure makes it more appropriate as a core holding, while HAEF is generally more appropriate as a satellite allocation for clients seeking additional growth tilt.</w:t>
      </w:r>
    </w:p>
    <w:p>
      <w:pPr>
        <w:spacing w:after="140"/>
      </w:pPr>
      <w:r>
        <w:t xml:space="preserve">HBGF vs. Fixed Deposits and Bond Ladder Products (Document PG-004): These products offer principal protection (subject to issuer risk) or granular duration control, but lack equity market participation entirely. RMs combining HBGF with fixed income products from PG-004 within a single client portfolio should ensure the client's overall asset allocation, inclusive of HBGF's own internal fixed income sleeve, remains consistent with the client's documented risk profile and is not inadvertently double-counted or under-counted during portfolio-level suitability review.</w:t>
      </w:r>
    </w:p>
    <w:p>
      <w:pPr>
        <w:pStyle w:val="Heading1"/>
      </w:pPr>
      <w:r>
        <w:t xml:space="preserve">12. Frequently Asked Client Questions (RM Reference)</w:t>
      </w:r>
    </w:p>
    <w:p>
      <w:pPr>
        <w:spacing w:after="140"/>
      </w:pPr>
      <w:r>
        <w:t xml:space="preserve">Q: “Why does the equity-to-bond ratio change over time?” — A: The fund's mandate permits tactical positioning within strategic bands in response to the portfolio management team's house view; RMs should clarify that this flexibility is a designed feature intended to support the fund's objective, not a sign of strategy drift.</w:t>
      </w:r>
    </w:p>
    <w:p>
      <w:pPr>
        <w:spacing w:after="140"/>
      </w:pPr>
      <w:r>
        <w:t xml:space="preserve">Q: “How does this fund manage downside risk compared to a pure equity fund?” — A: The fixed income sleeve and diversification across asset classes are designed to moderate, though not eliminate, downside relative to a pure equity allocation, consistent with the fund's Moderate to Moderately High risk rating.</w:t>
      </w:r>
    </w:p>
    <w:p>
      <w:pPr>
        <w:spacing w:after="140"/>
      </w:pPr>
      <w:r>
        <w:t xml:space="preserve">Q: “Can I add this fund to a portfolio that already holds individual technology stocks?” — A: Yes, subject to aggregating the client's total technology sector exposure across all holdings against the 25% single-sector concentration limit described in the Restricted List (Document CMP-002, Rule-002).</w:t>
      </w:r>
    </w:p>
    <w:p>
      <w:pPr>
        <w:spacing w:after="140"/>
      </w:pPr>
      <w:r>
        <w:t xml:space="preserve">Q: “How often is the portfolio rebalanced?” — A: Tactical positioning is reviewed monthly by the portfolio management team, with the flexibility to act more quickly in response to material market developments, subject to risk committee notification thresholds described in Section 4.2.</w:t>
      </w:r>
    </w:p>
    <w:p>
      <w:pPr>
        <w:spacing w:after="140"/>
      </w:pPr>
      <w:r>
        <w:t xml:space="preserve">Q: “What happens to my investment during a market downturn?” — A: RMs should reference the fund's historical drawdown statistics in Section 5 factually, while being clear that past drawdowns do not predict future ones, and that the fund's multi-asset structure is designed to moderate, not eliminate, downside participation.</w:t>
      </w:r>
    </w:p>
    <w:p>
      <w:pPr>
        <w:spacing w:after="140"/>
      </w:pPr>
      <w:r>
        <w:t xml:space="preserve">Q: “Why is this fund's minimum investment higher than the Conservative Income Fund?” — A: Minimum investment thresholds are set independently for each fund based on the fund's target client segment and operational considerations, and do not reflect a judgment about the relative quality of either fund.</w:t>
      </w:r>
    </w:p>
    <w:p>
      <w:pPr>
        <w:pStyle w:val="Heading1"/>
      </w:pPr>
      <w:r>
        <w:t xml:space="preserve">13. Operational Due Diligence Summary</w:t>
      </w:r>
    </w:p>
    <w:p>
      <w:pPr>
        <w:spacing w:after="140"/>
      </w:pPr>
      <w:r>
        <w:t xml:space="preserve">The following operational due diligence points are maintained for RM reference and may be shared with institutional or sophisticated clients upon request, subject to Compliance pre-clearance for any non-standard disclosure.</w:t>
      </w:r>
    </w:p>
    <w:p>
      <w:pPr>
        <w:pStyle w:val="Heading2"/>
      </w:pPr>
      <w:r>
        <w:t xml:space="preserve">13.1 Valuation Policy</w:t>
      </w:r>
    </w:p>
    <w:p>
      <w:pPr>
        <w:spacing w:after="140"/>
      </w:pPr>
      <w:r>
        <w:t xml:space="preserve">The fund is priced daily using independent third-party pricing sources for all fixed income holdings; equities are priced using exchange closing prices in their primary listing market. Any security lacking a reliable third-party price is subject to a documented fair value determination by the fund's independent valuation committee.</w:t>
      </w:r>
    </w:p>
    <w:p>
      <w:pPr>
        <w:pStyle w:val="Heading2"/>
      </w:pPr>
      <w:r>
        <w:t xml:space="preserve">13.2 Counterparty Risk Management</w:t>
      </w:r>
    </w:p>
    <w:p>
      <w:pPr>
        <w:spacing w:after="140"/>
      </w:pPr>
      <w:r>
        <w:t xml:space="preserve">The fund's custodian, Northbridge Trust &amp; Custody Bank, is subject to annual independent review by the fund's Operational Risk Committee. Limited derivative usage for currency and duration hedging purposes only (not for leverage) is subject to counterparty exposure limits and daily collateral monitoring.</w:t>
      </w:r>
    </w:p>
    <w:p>
      <w:pPr>
        <w:pStyle w:val="Heading2"/>
      </w:pPr>
      <w:r>
        <w:t xml:space="preserve">13.3 Business Continuity and Regulatory Status</w:t>
      </w:r>
    </w:p>
    <w:p>
      <w:pPr>
        <w:spacing w:after="140"/>
      </w:pPr>
      <w:r>
        <w:t xml:space="preserve">The fund's administrator maintains a tested business continuity plan with documented recovery time objectives. The fund operates under UCITS regulations in its Luxembourg domicile and is registered for distribution in multiple jurisdictions; RMs must confirm the fund is registered for distribution in the client's jurisdiction of residence before recommending it, as registration status varies by jurisdiction and is maintained centrally by the Product Governance team.</w:t>
      </w:r>
    </w:p>
    <w:p>
      <w:pPr>
        <w:pStyle w:val="Heading1"/>
      </w:pPr>
      <w:r>
        <w:t xml:space="preserve">14. Scenario Stress Testing Summary (Illustrative)</w:t>
      </w:r>
    </w:p>
    <w:p>
      <w:pPr>
        <w:spacing w:after="140"/>
      </w:pPr>
      <w:r>
        <w:t xml:space="preserve">The portfolio risk team conducts periodic stress testing against illustrative macroeconomic scenarios to support ongoing risk oversight. The following scenario summaries are illustrative modeling exercises, not predictions or guarantees of actual future fund performance, and must never be presented to clients as forecasts.</w:t>
      </w:r>
    </w:p>
    <w:p>
      <w:pPr>
        <w:pStyle w:val="Heading2"/>
      </w:pPr>
      <w:r>
        <w:t xml:space="preserve">14.1 Scenario: Broad Equity Market Decline (-20%)</w:t>
      </w:r>
    </w:p>
    <w:p>
      <w:pPr>
        <w:spacing w:after="140"/>
      </w:pPr>
      <w:r>
        <w:t xml:space="preserve">Given the fund's equity beta of approximately 0.92 relative to broad developed market equities and its 50-70% equity allocation range, illustrative modeled impact to the fund is a decline in the range of -9% to -13%, before considering any offsetting contribution from the fixed income sleeve or active management response.</w:t>
      </w:r>
    </w:p>
    <w:p>
      <w:pPr>
        <w:pStyle w:val="Heading2"/>
      </w:pPr>
      <w:r>
        <w:t xml:space="preserve">14.2 Scenario: Parallel Rate Shock (+150bps)</w:t>
      </w:r>
    </w:p>
    <w:p>
      <w:pPr>
        <w:spacing w:after="140"/>
      </w:pPr>
      <w:r>
        <w:t xml:space="preserve">Illustrative modeled impact to the fixed income sleeve is a decline of approximately 5-6%, with a smaller blended fund impact of approximately -1.5% to -2% given the fixed income sleeve's 25-40% weight within the fund.</w:t>
      </w:r>
    </w:p>
    <w:p>
      <w:pPr>
        <w:pStyle w:val="Heading2"/>
      </w:pPr>
      <w:r>
        <w:t xml:space="preserve">14.3 Scenario: Combined Equity and Rate Stress</w:t>
      </w:r>
    </w:p>
    <w:p>
      <w:pPr>
        <w:spacing w:after="140"/>
      </w:pPr>
      <w:r>
        <w:t xml:space="preserve">A combined scenario incorporating both equity market decline and rate shock represents the more severe illustrative stress case and produces a blended fund impact broadly consistent with, though not identical to, the fund's historical maximum drawdown figures cited in Section 5. RMs should never present these modeled figures to clients as predictions of future performance; they are internal risk management tools used to validate that the fund's actual risk exposure remains consistent with its stated risk rating.</w:t>
      </w:r>
    </w:p>
    <w:p>
      <w:pPr>
        <w:pStyle w:val="Heading1"/>
      </w:pPr>
      <w:r>
        <w:t xml:space="preserve">15. Underlying Holdings Composition (Illustrative Snapshot)</w:t>
      </w:r>
    </w:p>
    <w:p>
      <w:pPr>
        <w:spacing w:after="140"/>
      </w:pPr>
      <w:r>
        <w:t xml:space="preserve">The following is an illustrative snapshot of the fund's holding composition style for RM reference. Actual holdings change over time and the authoritative current holdings list is published in the fund's monthly factsheet, not in this product guide.</w:t>
      </w:r>
    </w:p>
    <w:p>
      <w:pPr>
        <w:pStyle w:val="ListParagraph"/>
        <w:numPr>
          <w:ilvl w:val="0"/>
          <w:numId w:val="2"/>
        </w:numPr>
        <w:spacing w:after="80"/>
      </w:pPr>
      <w:r>
        <w:t xml:space="preserve">Large-cap developed market equities across technology, financials, healthcare, and industrials sectors</w:t>
      </w:r>
    </w:p>
    <w:p>
      <w:pPr>
        <w:pStyle w:val="ListParagraph"/>
        <w:numPr>
          <w:ilvl w:val="0"/>
          <w:numId w:val="2"/>
        </w:numPr>
        <w:spacing w:after="80"/>
      </w:pPr>
      <w:r>
        <w:t xml:space="preserve">Selective emerging market equity exposure, primarily large-cap names with established market positions</w:t>
      </w:r>
    </w:p>
    <w:p>
      <w:pPr>
        <w:pStyle w:val="ListParagraph"/>
        <w:numPr>
          <w:ilvl w:val="0"/>
          <w:numId w:val="2"/>
        </w:numPr>
        <w:spacing w:after="80"/>
      </w:pPr>
      <w:r>
        <w:t xml:space="preserve">Developed market sovereign and agency bonds across short, intermediate, and long maturities</w:t>
      </w:r>
    </w:p>
    <w:p>
      <w:pPr>
        <w:pStyle w:val="ListParagraph"/>
        <w:numPr>
          <w:ilvl w:val="0"/>
          <w:numId w:val="2"/>
        </w:numPr>
        <w:spacing w:after="80"/>
      </w:pPr>
      <w:r>
        <w:t xml:space="preserve">Investment-grade corporate bonds across financial, industrial, and utility sectors</w:t>
      </w:r>
    </w:p>
    <w:p>
      <w:pPr>
        <w:pStyle w:val="ListParagraph"/>
        <w:numPr>
          <w:ilvl w:val="0"/>
          <w:numId w:val="2"/>
        </w:numPr>
        <w:spacing w:after="80"/>
      </w:pPr>
      <w:r>
        <w:t xml:space="preserve">Limited satellite allocation to high-yield and emerging market debt for incremental yield</w:t>
      </w:r>
    </w:p>
    <w:p>
      <w:pPr>
        <w:pStyle w:val="ListParagraph"/>
        <w:numPr>
          <w:ilvl w:val="0"/>
          <w:numId w:val="2"/>
        </w:numPr>
        <w:spacing w:after="80"/>
      </w:pPr>
      <w:r>
        <w:t xml:space="preserve">Agency mortgage-backed securities for diversification within the fixed income sleeve</w:t>
      </w:r>
    </w:p>
    <w:p>
      <w:pPr>
        <w:spacing w:after="140"/>
      </w:pPr>
      <w:r>
        <w:t xml:space="preserve">Number of underlying holdings (illustrative range): 250-320 equity positions and 150-200 fixed income positions, reflecting the fund's diversified approach to risk management at the security level across both asset classes.</w:t>
      </w:r>
    </w:p>
    <w:p>
      <w:pPr>
        <w:pStyle w:val="Heading1"/>
      </w:pPr>
      <w:r>
        <w:t xml:space="preserve">16. Frequently Confused Products — Disambiguation Guide</w:t>
      </w:r>
    </w:p>
    <w:p>
      <w:pPr>
        <w:spacing w:after="140"/>
      </w:pPr>
      <w:r>
        <w:t xml:space="preserve">RMs occasionally field client questions that conflate HBGF with other Horizon products. The following disambiguation points may help clarify common points of confusion:</w:t>
      </w:r>
    </w:p>
    <w:p>
      <w:pPr>
        <w:pStyle w:val="ListParagraph"/>
        <w:numPr>
          <w:ilvl w:val="0"/>
          <w:numId w:val="2"/>
        </w:numPr>
        <w:spacing w:after="80"/>
      </w:pPr>
      <w:r>
        <w:t xml:space="preserve">HBGF is not a pure equity fund; its fixed income sleeve is a core structural component, not an incidental allocation.</w:t>
      </w:r>
    </w:p>
    <w:p>
      <w:pPr>
        <w:pStyle w:val="ListParagraph"/>
        <w:numPr>
          <w:ilvl w:val="0"/>
          <w:numId w:val="2"/>
        </w:numPr>
        <w:spacing w:after="80"/>
      </w:pPr>
      <w:r>
        <w:t xml:space="preserve">HBGF is not the same as a target-date or lifecycle fund; its strategic allocation bands do not automatically shift based on a stated retirement date, and any allocation changes reflect tactical positioning within fixed bands, not a glide path.</w:t>
      </w:r>
    </w:p>
    <w:p>
      <w:pPr>
        <w:pStyle w:val="ListParagraph"/>
        <w:numPr>
          <w:ilvl w:val="0"/>
          <w:numId w:val="2"/>
        </w:numPr>
        <w:spacing w:after="80"/>
      </w:pPr>
      <w:r>
        <w:t xml:space="preserve">HBGF's tactical flexibility within bands should not be confused with an unconstrained or go-anywhere mandate; the strategic bands described in Section 3.1 represent hard constraints that the portfolio management team operates within at all times.</w:t>
      </w:r>
    </w:p>
    <w:p>
      <w:pPr>
        <w:pStyle w:val="Heading1"/>
      </w:pPr>
      <w:r>
        <w:t xml:space="preserve">17. Tax Considerations (General, Not Advice)</w:t>
      </w:r>
    </w:p>
    <w:p>
      <w:pPr>
        <w:spacing w:after="140"/>
      </w:pPr>
      <w:r>
        <w:t xml:space="preserve">Distributions may be taxed as income in the investor's jurisdiction of residence, and capital gains realized within the fund's underlying portfolio turnover may have tax implications depending on the client's jurisdiction and account structure. RMs must direct clients to a qualified tax advisor for jurisdiction-specific guidance; RMs are not authorized to provide tax advice.</w:t>
      </w:r>
    </w:p>
    <w:p>
      <w:pPr>
        <w:spacing w:after="140"/>
      </w:pPr>
      <w:r>
        <w:t xml:space="preserve">General considerations RMs may reference at a high level, subject to the licensing gate in the Suitability &amp; Compliance Policy, include the fact that the fund's Luxembourg UCITS domicile may have different withholding tax implications than a domestically-domiciled fund, depending on the client's tax residency and any applicable tax treaty, and that reinvested distributions under the DRIP election are generally still treated as taxable income in most jurisdictions in the year declared, notwithstanding that no cash was received by the client.</w:t>
      </w:r>
    </w:p>
    <w:p>
      <w:pPr>
        <w:pStyle w:val="Heading1"/>
      </w:pPr>
      <w:r>
        <w:t xml:space="preserve">18. Client Communication Best Practices</w:t>
      </w:r>
    </w:p>
    <w:p>
      <w:pPr>
        <w:spacing w:after="140"/>
      </w:pPr>
      <w:r>
        <w:t xml:space="preserve">Given HBGF's role as a frequently recommended core holding, RMs are encouraged to observe the following best practices when discussing the fund with clients:</w:t>
      </w:r>
    </w:p>
    <w:p>
      <w:pPr>
        <w:pStyle w:val="ListParagraph"/>
        <w:numPr>
          <w:ilvl w:val="0"/>
          <w:numId w:val="2"/>
        </w:numPr>
        <w:spacing w:after="80"/>
      </w:pPr>
      <w:r>
        <w:t xml:space="preserve">Always anchor the conversation in the client's documented risk profile and time horizon before discussing specific fund mechanics.</w:t>
      </w:r>
    </w:p>
    <w:p>
      <w:pPr>
        <w:pStyle w:val="ListParagraph"/>
        <w:numPr>
          <w:ilvl w:val="0"/>
          <w:numId w:val="2"/>
        </w:numPr>
        <w:spacing w:after="80"/>
      </w:pPr>
      <w:r>
        <w:t xml:space="preserve">When discussing historical performance or drawdown statistics, always pair the figure with the standard historical-performance-is-not-indicative-of-future-results disclosure.</w:t>
      </w:r>
    </w:p>
    <w:p>
      <w:pPr>
        <w:pStyle w:val="ListParagraph"/>
        <w:numPr>
          <w:ilvl w:val="0"/>
          <w:numId w:val="2"/>
        </w:numPr>
        <w:spacing w:after="80"/>
      </w:pPr>
      <w:r>
        <w:t xml:space="preserve">When a client asks about recent short-term performance, redirect the conversation toward the fund's stated 5-year minimum holding period and long-term objective, consistent with the fund's mandate.</w:t>
      </w:r>
    </w:p>
    <w:p>
      <w:pPr>
        <w:pStyle w:val="ListParagraph"/>
        <w:numPr>
          <w:ilvl w:val="0"/>
          <w:numId w:val="2"/>
        </w:numPr>
        <w:spacing w:after="80"/>
      </w:pPr>
      <w:r>
        <w:t xml:space="preserve">Document every substantive product discussion in the client's file, including which sections of this guide were referenced, consistent with the audit and logging requirements in the Suitability &amp; Compliance Policy.</w:t>
      </w:r>
    </w:p>
    <w:p>
      <w:pPr>
        <w:pStyle w:val="Heading1"/>
      </w:pPr>
      <w:r>
        <w:t xml:space="preserve">19. RM Talking Points (Pre-Approved)</w:t>
      </w:r>
    </w:p>
    <w:p>
      <w:pPr>
        <w:pStyle w:val="ListParagraph"/>
        <w:numPr>
          <w:ilvl w:val="0"/>
          <w:numId w:val="2"/>
        </w:numPr>
        <w:spacing w:after="80"/>
      </w:pPr>
      <w:r>
        <w:t xml:space="preserve">“HBGF offers diversified global exposure across equities and fixed income, designed for clients comfortable with moderate volatility in pursuit of long-term growth.”</w:t>
      </w:r>
    </w:p>
    <w:p>
      <w:pPr>
        <w:pStyle w:val="ListParagraph"/>
        <w:numPr>
          <w:ilvl w:val="0"/>
          <w:numId w:val="2"/>
        </w:numPr>
        <w:spacing w:after="80"/>
      </w:pPr>
      <w:r>
        <w:t xml:space="preserve">“The fund's 5-year recommended holding period reflects its equity-heavy allocation and the time needed to ride out market cycles.”</w:t>
      </w:r>
    </w:p>
    <w:p>
      <w:pPr>
        <w:pStyle w:val="ListParagraph"/>
        <w:numPr>
          <w:ilvl w:val="0"/>
          <w:numId w:val="2"/>
        </w:numPr>
        <w:spacing w:after="80"/>
      </w:pPr>
      <w:r>
        <w:t xml:space="preserve">“Past performance and drawdown figures are historical and do not guarantee future results.”</w:t>
      </w:r>
    </w:p>
    <w:p>
      <w:pPr>
        <w:pStyle w:val="ListParagraph"/>
        <w:numPr>
          <w:ilvl w:val="0"/>
          <w:numId w:val="2"/>
        </w:numPr>
        <w:spacing w:after="80"/>
      </w:pPr>
      <w:r>
        <w:t xml:space="preserve">“The fund's tactical allocation flexibility within strategic bands is a designed feature, allowing the team to lean more defensively or more aggressively depending on market conditions, while remaining within the fund's core risk classification.”</w:t>
      </w:r>
    </w:p>
    <w:p>
      <w:pPr>
        <w:spacing w:after="140"/>
      </w:pPr>
      <w:r>
        <w:t xml:space="preserve">Any talking point outside this pre-approved list must be validated against the Suitability &amp; Compliance Policy (Document CMP-001) before use with a client.</w:t>
      </w:r>
    </w:p>
    <w:p>
      <w:pPr>
        <w:pStyle w:val="Heading1"/>
      </w:pPr>
      <w:r>
        <w:t xml:space="preserve">20. Document Control and Revision History</w:t>
      </w:r>
    </w:p>
    <w:p>
      <w:pPr>
        <w:spacing w:after="140"/>
      </w:pPr>
      <w:r>
        <w:t xml:space="preserve">Version 1.0 — 2011-09-12 — Initial publication at fund launch</w:t>
      </w:r>
    </w:p>
    <w:p>
      <w:pPr>
        <w:spacing w:after="140"/>
      </w:pPr>
      <w:r>
        <w:t xml:space="preserve">Version 2.0 — 2020-04-01 — Updated post-2020 market dislocation risk statistics</w:t>
      </w:r>
    </w:p>
    <w:p>
      <w:pPr>
        <w:spacing w:after="140"/>
      </w:pPr>
      <w:r>
        <w:t xml:space="preserve">Version 3.0 — 2026-01-15 — Expanded edition; added detailed sub-strategy breakdowns, portfolio management process detail, historical performance commentary, and expanded suitability scenarios</w:t>
      </w:r>
    </w:p>
    <w:p>
      <w:pPr>
        <w:spacing w:after="140"/>
      </w:pPr>
      <w:r>
        <w:t xml:space="preserve">This document is reviewed at minimum annually by the Product Governance team. RMs should always confirm they are referencing the current version via the internal fund documentation portal before a client meeting, as product terms are subject to change.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2E5395"/>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44607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2026-06-20T21:48:29.528Z</dcterms:created>
  <dcterms:modified xsi:type="dcterms:W3CDTF">2026-06-20T21:48:29.528Z</dcterms:modified>
</cp:coreProperties>
</file>

<file path=docProps/custom.xml><?xml version="1.0" encoding="utf-8"?>
<Properties xmlns="http://schemas.openxmlformats.org/officeDocument/2006/custom-properties" xmlns:vt="http://schemas.openxmlformats.org/officeDocument/2006/docPropsVTypes"/>
</file>