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36"/>
          <w:szCs w:val="36"/>
        </w:rPr>
        <w:t xml:space="preserve">SUITABILITY &amp; COMPLIANCE POLICY</w:t>
      </w:r>
    </w:p>
    <w:p>
      <w:r>
        <w:rPr>
          <w:i/>
          <w:iCs/>
          <w:color w:val="555555"/>
          <w:sz w:val="20"/>
          <w:szCs w:val="20"/>
        </w:rPr>
        <w:t xml:space="preserve">Document ID: CMP-001   |   Version 4.0 (Expanded Edition)   |   Effective: 2026-01-01</w:t>
      </w:r>
    </w:p>
    <w:p>
      <w:r>
        <w:rPr>
          <w:i/>
          <w:iCs/>
          <w:color w:val="555555"/>
          <w:sz w:val="20"/>
          <w:szCs w:val="20"/>
        </w:rPr>
        <w:t xml:space="preserve">Sensitivity: Internal — Relationship Manager Mandatory Reading</w:t>
      </w:r>
    </w:p>
    <w:p>
      <w:pPr>
        <w:pBdr>
          <w:bottom w:val="single" w:color="1F3864" w:sz="6" w:space="4"/>
        </w:pBdr>
      </w:pPr>
    </w:p>
    <w:p>
      <w:pPr>
        <w:pStyle w:val="Heading1"/>
      </w:pPr>
      <w:r>
        <w:t xml:space="preserve">1. Purpose and Scope</w:t>
      </w:r>
    </w:p>
    <w:p>
      <w:pPr>
        <w:spacing w:after="140"/>
      </w:pPr>
      <w:r>
        <w:t xml:space="preserve">This policy governs how Relationship Managers (RMs) at Horizon Wealth Management assess client suitability and apply compliance gates before surfacing any product idea, talking point, or recommendation to a client. It applies to all client-facing interactions, including those prepared with the assistance of the RM Copilot agentic system, and to all product categories on the approved shelf.</w:t>
      </w:r>
    </w:p>
    <w:p>
      <w:pPr>
        <w:spacing w:after="140"/>
      </w:pPr>
      <w:r>
        <w:t xml:space="preserve">This policy does not replace the firm's full Compliance Manual. Where a conflict exists, the Compliance Manual controls, and the discrepancy must be reported to the Compliance Office within one business day.</w:t>
      </w:r>
    </w:p>
    <w:p>
      <w:pPr>
        <w:spacing w:after="140"/>
      </w:pPr>
      <w:r>
        <w:t xml:space="preserve">This policy reflects the firm's overarching commitment to placing client interests at the center of every recommendation, consistent with both regulatory expectations and the firm's own internal standards of conduct. It is designed to be read and applied as a complete framework rather than as a checklist of isolated rules; RMs are expected to understand the underlying rationale for each requirement described in this document, since novel scenarios not explicitly addressed by a specific rule should still be resolved in a manner consistent with the policy's overall purpose of ensuring suitable, well-documented, and appropriately escalated client recommendations.</w:t>
      </w:r>
    </w:p>
    <w:p>
      <w:pPr>
        <w:spacing w:after="140"/>
      </w:pPr>
      <w:r>
        <w:t xml:space="preserve">This policy applies equally to recommendations generated through direct RM judgment and recommendations generated or assisted by the RM Copilot system. The use of an AI-assisted tool does not relax any suitability, compliance, or disclosure obligation described in this policy; rather, the system is designed to operationalize this policy's requirements consistently across every client interaction, reducing the risk of inadvertent human oversight while preserving the RM's ultimate professional responsibility for every recommendation delivered to a client.</w:t>
      </w:r>
    </w:p>
    <w:p>
      <w:pPr>
        <w:pStyle w:val="Heading2"/>
      </w:pPr>
      <w:r>
        <w:t xml:space="preserve">1.1 Applicability Across Channels</w:t>
      </w:r>
    </w:p>
    <w:p>
      <w:pPr>
        <w:spacing w:after="140"/>
      </w:pPr>
      <w:r>
        <w:t xml:space="preserve">This policy applies regardless of the channel through which the RM interacts with the client, including in-person meetings, video calls, telephone conversations, and written correspondence such as email. Where a recommendation is prepared in advance of a client interaction using the RM Copilot system, the same suitability and compliance gates described in this policy apply at the point the brief is generated, and again at the point the RM actually delivers the recommendation, since material time may have elapsed between brief generation and client delivery, during which the client's circumstances or the product's status may have changed.</w:t>
      </w:r>
    </w:p>
    <w:p>
      <w:pPr>
        <w:pStyle w:val="Heading2"/>
      </w:pPr>
      <w:r>
        <w:t xml:space="preserve">1.2 Roles and Responsibilities</w:t>
      </w:r>
    </w:p>
    <w:p>
      <w:pPr>
        <w:spacing w:after="140"/>
      </w:pPr>
      <w:r>
        <w:t xml:space="preserve">The RM bears ultimate responsibility for ensuring any recommendation delivered to a client is suitable and compliant, regardless of whether the recommendation originated from the RM's own analysis or was generated with the assistance of the RM Copilot system. The Compliance Office is responsible for maintaining and updating this policy, the Restricted List (Document CMP-002), and the Client Risk Profiling Methodology (Document CMP-003). The DH2-level reviewer is responsible for providing timely sign-off on any recommendation flagged as Needs Review. Licensed Advisors are responsible for providing sign-off on any recommendation or client request that falls within a licensed-advice escalation trigger described in Section 6.</w:t>
      </w:r>
    </w:p>
    <w:p>
      <w:pPr>
        <w:pStyle w:val="Heading1"/>
      </w:pPr>
      <w:r>
        <w:t xml:space="preserve">2. Risk Profile Classification</w:t>
      </w:r>
    </w:p>
    <w:p>
      <w:pPr>
        <w:spacing w:after="140"/>
      </w:pPr>
      <w:r>
        <w:t xml:space="preserve">Every client must have a current, signed Risk Profile Questionnaire (RPQ) on file, refreshed at minimum every 24 months or upon any material change in the client's financial circumstances. The firm recognizes four risk profile tiers, each derived through the methodology described in the Client Risk Profiling Methodology (Document CMP-003):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Risk Tier</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Typical Time Horizon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Conservative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Capital preservation is the primary objective; limited tolerance for drawdown.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0-3 years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Balanced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Moderate growth with income; willing to accept moderate volatility for moderate return.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3-7 years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Growth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Capital appreciation is primary; comfortable with above-average volatility.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7-15 years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Aggressive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Maximum capital appreciation; high tolerance for drawdown and concentration.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 years</w:t>
            </w:r>
          </w:p>
        </w:tc>
      </w:tr>
    </w:tbl>
    <w:p/>
    <w:p>
      <w:pPr>
        <w:pStyle w:val="Heading2"/>
      </w:pPr>
      <w:r>
        <w:t xml:space="preserve">2.1 Tier Stability and Drift</w:t>
      </w:r>
    </w:p>
    <w:p>
      <w:pPr>
        <w:spacing w:after="140"/>
      </w:pPr>
      <w:r>
        <w:t xml:space="preserve">RMs must treat a client's documented risk tier as the operative classification for all suitability purposes until it is formally re-assessed through the process described in Document CMP-003. RMs must not informally adjust their treatment of a client's tier based on conversational cues, recent market performance, or the client's enthusiasm for a particular product, as doing so undermines the integrity of the entire suitability framework. Any apparent mismatch between a client's documented tier and their expressed preferences during a conversation should be treated as a trigger for formal re-assessment, not as grounds for an informal RM judgment call to proceed outside the documented tier.</w:t>
      </w:r>
    </w:p>
    <w:p>
      <w:pPr>
        <w:pStyle w:val="Heading1"/>
      </w:pPr>
      <w:r>
        <w:t xml:space="preserve">3. Suitability Assessment Workflow</w:t>
      </w:r>
    </w:p>
    <w:p>
      <w:pPr>
        <w:spacing w:after="140"/>
      </w:pPr>
      <w:r>
        <w:t xml:space="preserve">Before any product idea is surfaced to a client, whether by an RM directly or generated through the RM Copilot system, the following sequence must be completed and logged:</w:t>
      </w:r>
    </w:p>
    <w:p>
      <w:pPr>
        <w:pStyle w:val="ListParagraph"/>
        <w:numPr>
          <w:ilvl w:val="0"/>
          <w:numId w:val="2"/>
        </w:numPr>
        <w:spacing w:after="80"/>
      </w:pPr>
      <w:r>
        <w:t xml:space="preserve">Confirm the client's current risk profile tier is on file and not expired.</w:t>
      </w:r>
    </w:p>
    <w:p>
      <w:pPr>
        <w:pStyle w:val="ListParagraph"/>
        <w:numPr>
          <w:ilvl w:val="0"/>
          <w:numId w:val="2"/>
        </w:numPr>
        <w:spacing w:after="80"/>
      </w:pPr>
      <w:r>
        <w:t xml:space="preserve">Cross-reference the proposed product against the product's stated suitable risk profiles in its Product Guide.</w:t>
      </w:r>
    </w:p>
    <w:p>
      <w:pPr>
        <w:pStyle w:val="ListParagraph"/>
        <w:numPr>
          <w:ilvl w:val="0"/>
          <w:numId w:val="2"/>
        </w:numPr>
        <w:spacing w:after="80"/>
      </w:pPr>
      <w:r>
        <w:t xml:space="preserve">Check the proposed allocation against concentration limits (see Section 5).</w:t>
      </w:r>
    </w:p>
    <w:p>
      <w:pPr>
        <w:pStyle w:val="ListParagraph"/>
        <w:numPr>
          <w:ilvl w:val="0"/>
          <w:numId w:val="2"/>
        </w:numPr>
        <w:spacing w:after="80"/>
      </w:pPr>
      <w:r>
        <w:t xml:space="preserve">Check the product against the Restricted List and Entitlement Rules (Document CMP-002).</w:t>
      </w:r>
    </w:p>
    <w:p>
      <w:pPr>
        <w:pStyle w:val="ListParagraph"/>
        <w:numPr>
          <w:ilvl w:val="0"/>
          <w:numId w:val="2"/>
        </w:numPr>
        <w:spacing w:after="80"/>
      </w:pPr>
      <w:r>
        <w:t xml:space="preserve">Assign a compliance_status of Cleared, Needs Review, or Blocked, with rationale.</w:t>
      </w:r>
    </w:p>
    <w:p>
      <w:pPr>
        <w:pStyle w:val="ListParagraph"/>
        <w:numPr>
          <w:ilvl w:val="0"/>
          <w:numId w:val="2"/>
        </w:numPr>
        <w:spacing w:after="80"/>
      </w:pPr>
      <w:r>
        <w:t xml:space="preserve">Any status other than Cleared must route to the review_gate for human sign-off before client delivery.</w:t>
      </w:r>
    </w:p>
    <w:p>
      <w:pPr>
        <w:pStyle w:val="Heading2"/>
      </w:pPr>
      <w:r>
        <w:t xml:space="preserve">3.1 Workflow Application to Multi-Product Recommendations</w:t>
      </w:r>
    </w:p>
    <w:p>
      <w:pPr>
        <w:spacing w:after="140"/>
      </w:pPr>
      <w:r>
        <w:t xml:space="preserve">Where a single client interaction involves multiple product recommendations, such as a portfolio rebalancing discussion spanning several funds, each individual product recommendation must pass through the full suitability assessment workflow independently. In addition, the RM Copilot system must assess the combined effect of all recommendations together against portfolio-level concentration limits, since a set of individually compliant recommendations could collectively breach a concentration limit when implemented together. This combined assessment must be documented as a distinct step in the audit log, separate from the individual product-level assessments.</w:t>
      </w:r>
    </w:p>
    <w:p>
      <w:pPr>
        <w:pStyle w:val="Heading2"/>
      </w:pPr>
      <w:r>
        <w:t xml:space="preserve">3.2 Workflow Application to Switches and Redemptions</w:t>
      </w:r>
    </w:p>
    <w:p>
      <w:pPr>
        <w:spacing w:after="140"/>
      </w:pPr>
      <w:r>
        <w:t xml:space="preserve">A recommendation to switch from one product to another, or to redeem a holding without reinvestment, is subject to the same suitability assessment workflow as a new purchase recommendation. RMs must specifically evaluate whether a proposed switch is consistent with the client's documented risk profile and time horizon, and must additionally consider whether the switch triggers any exit load, tax event, or short-term trading flag described in the relevant Product Guide or in the Restricted List's operational control rules.</w:t>
      </w:r>
    </w:p>
    <w:p>
      <w:pPr>
        <w:pStyle w:val="Heading1"/>
      </w:pPr>
      <w:r>
        <w:t xml:space="preserve">4. Compliance Status Definitions</w:t>
      </w:r>
    </w:p>
    <w:p>
      <w:pPr>
        <w:pStyle w:val="ListParagraph"/>
        <w:numPr>
          <w:ilvl w:val="0"/>
          <w:numId w:val="3"/>
        </w:numPr>
        <w:spacing w:after="80"/>
      </w:pPr>
      <w:r>
        <w:t xml:space="preserve">Cleared: The recommendation matches the client's documented risk profile, complies with concentration limits, and involves no restricted or licensing-gated product. May be surfaced directly to the RM for client discussion.</w:t>
      </w:r>
    </w:p>
    <w:p>
      <w:pPr>
        <w:pStyle w:val="ListParagraph"/>
        <w:numPr>
          <w:ilvl w:val="0"/>
          <w:numId w:val="3"/>
        </w:numPr>
        <w:spacing w:after="80"/>
      </w:pPr>
      <w:r>
        <w:t xml:space="preserve">Needs Review: The recommendation involves a borderline allocation, a recently launched product subject to a cooling-off period, or a concentration limit override request. Requires DH2-level (or above) human review before delivery.</w:t>
      </w:r>
    </w:p>
    <w:p>
      <w:pPr>
        <w:pStyle w:val="ListParagraph"/>
        <w:numPr>
          <w:ilvl w:val="0"/>
          <w:numId w:val="3"/>
        </w:numPr>
        <w:spacing w:after="80"/>
      </w:pPr>
      <w:r>
        <w:t xml:space="preserve">Blocked: The recommendation conflicts with the client's risk profile, involves a product restricted for that profile tier, or requires a license the RM does not hold. Must NOT be surfaced to the client under any circumstances. The system must instead generate an escalation note for a Licensed Advisor.</w:t>
      </w:r>
    </w:p>
    <w:p>
      <w:pPr>
        <w:pStyle w:val="Heading2"/>
      </w:pPr>
      <w:r>
        <w:t xml:space="preserve">4.1 Status Transition Rules</w:t>
      </w:r>
    </w:p>
    <w:p>
      <w:pPr>
        <w:spacing w:after="140"/>
      </w:pPr>
      <w:r>
        <w:t xml:space="preserve">A recommendation's compliance status may only move from Needs Review to Cleared following documented sign-off from a DH2-level or above reviewer; the system must not auto-clear a Needs Review status based solely on the passage of time or repeated submission. A recommendation's compliance status may never move from Blocked to Cleared or Needs Review without first addressing the specific blocking condition identified — for example, if a recommendation is Blocked due to a profile mismatch, it may only be reconsidered following a formal risk profile re-assessment that changes the client's documented tier, not through an override of the blocking rule itself.</w:t>
      </w:r>
    </w:p>
    <w:p>
      <w:pPr>
        <w:pStyle w:val="Heading2"/>
      </w:pPr>
      <w:r>
        <w:t xml:space="preserve">4.2 Status Persistence and Re-Evaluation</w:t>
      </w:r>
    </w:p>
    <w:p>
      <w:pPr>
        <w:spacing w:after="140"/>
      </w:pPr>
      <w:r>
        <w:t xml:space="preserve">A compliance status determination is valid only for the specific client, product, and proposed allocation amount evaluated at the time of determination. Any material change to the proposed allocation amount, or the passage of more than 5 business days since the original determination, requires a fresh suitability assessment rather than reliance on the prior determination, given that market conditions, product status, and client circumstances can change materially over even short periods.</w:t>
      </w:r>
    </w:p>
    <w:p>
      <w:pPr>
        <w:pStyle w:val="Heading1"/>
      </w:pPr>
      <w:r>
        <w:t xml:space="preserve">5. Concentration and Exposure Limits</w:t>
      </w:r>
    </w:p>
    <w:p>
      <w:pPr>
        <w:spacing w:after="140"/>
      </w:pPr>
      <w:r>
        <w:t xml:space="preserve">Standard concentration limits apply absent a documented and approved override:</w:t>
      </w:r>
    </w:p>
    <w:p>
      <w:pPr>
        <w:pStyle w:val="ListParagraph"/>
        <w:numPr>
          <w:ilvl w:val="0"/>
          <w:numId w:val="3"/>
        </w:numPr>
        <w:spacing w:after="80"/>
      </w:pPr>
      <w:r>
        <w:t xml:space="preserve">Single issuer equity position: maximum 10% of total portfolio value.</w:t>
      </w:r>
    </w:p>
    <w:p>
      <w:pPr>
        <w:pStyle w:val="ListParagraph"/>
        <w:numPr>
          <w:ilvl w:val="0"/>
          <w:numId w:val="3"/>
        </w:numPr>
        <w:spacing w:after="80"/>
      </w:pPr>
      <w:r>
        <w:t xml:space="preserve">Single sector allocation: maximum 25% of the equity sleeve.</w:t>
      </w:r>
    </w:p>
    <w:p>
      <w:pPr>
        <w:pStyle w:val="ListParagraph"/>
        <w:numPr>
          <w:ilvl w:val="0"/>
          <w:numId w:val="3"/>
        </w:numPr>
        <w:spacing w:after="80"/>
      </w:pPr>
      <w:r>
        <w:t xml:space="preserve">Single structured product issuer (counterparty exposure): maximum 15% of total portfolio value.</w:t>
      </w:r>
    </w:p>
    <w:p>
      <w:pPr>
        <w:pStyle w:val="ListParagraph"/>
        <w:numPr>
          <w:ilvl w:val="0"/>
          <w:numId w:val="3"/>
        </w:numPr>
        <w:spacing w:after="80"/>
      </w:pPr>
      <w:r>
        <w:t xml:space="preserve">Illiquid or lock-up products: maximum 20% of total portfolio value, and only for Growth or Aggressive profiles.</w:t>
      </w:r>
    </w:p>
    <w:p>
      <w:pPr>
        <w:pStyle w:val="Heading2"/>
      </w:pPr>
      <w:r>
        <w:t xml:space="preserve">5.1 Aggregation Methodology</w:t>
      </w:r>
    </w:p>
    <w:p>
      <w:pPr>
        <w:spacing w:after="140"/>
      </w:pPr>
      <w:r>
        <w:t xml:space="preserve">Concentration limits must be assessed on an aggregated basis across the client's entire portfolio, including both direct holdings and look-through exposure from fund holdings. For example, when assessing a client's technology sector concentration, the RM Copilot system must combine any direct technology equity holdings with the technology sector weight embedded within fund holdings such as HBGF or HAEF, using each fund's published sector breakdown from its Product Guide. A failure to aggregate look-through exposure correctly is considered a material suitability assessment error and must be reported to Compliance if discovered after the fact.</w:t>
      </w:r>
    </w:p>
    <w:p>
      <w:pPr>
        <w:pStyle w:val="Heading2"/>
      </w:pPr>
      <w:r>
        <w:t xml:space="preserve">5.2 Override Documentation Requirements</w:t>
      </w:r>
    </w:p>
    <w:p>
      <w:pPr>
        <w:spacing w:after="140"/>
      </w:pPr>
      <w:r>
        <w:t xml:space="preserve">Any request to exceed a standard concentration limit requires a written override request documenting: the specific limit being exceeded, the proposed exposure level, the client's stated rationale for accepting the elevated concentration, and the DH2-level reviewer's assessment of whether the override remains consistent with the client's overall risk profile and objectives despite the elevated concentration in the specific position. Override requests are valid for a single transaction only and do not establish a standing exception for future recommendations to the same client.</w:t>
      </w:r>
    </w:p>
    <w:p>
      <w:pPr>
        <w:pStyle w:val="Heading1"/>
      </w:pPr>
      <w:r>
        <w:t xml:space="preserve">6. Licensed Advice Escalation Triggers</w:t>
      </w:r>
    </w:p>
    <w:p>
      <w:pPr>
        <w:spacing w:after="140"/>
      </w:pPr>
      <w:r>
        <w:t xml:space="preserve">RMs operating the Copilot system are not licensed to provide personalized investment advice, discretionary trade execution, or specific tax guidance unless they hold the relevant credential on file with Compliance. The following request types must always escalate to a Licensed Advisor rather than produce a direct recommendation:</w:t>
      </w:r>
    </w:p>
    <w:p>
      <w:pPr>
        <w:pStyle w:val="ListParagraph"/>
        <w:numPr>
          <w:ilvl w:val="0"/>
          <w:numId w:val="3"/>
        </w:numPr>
        <w:spacing w:after="80"/>
      </w:pPr>
      <w:r>
        <w:t xml:space="preserve">Any request for a specific buy/sell/hold instruction on a named security beyond the approved fund shelf.</w:t>
      </w:r>
    </w:p>
    <w:p>
      <w:pPr>
        <w:pStyle w:val="ListParagraph"/>
        <w:numPr>
          <w:ilvl w:val="0"/>
          <w:numId w:val="3"/>
        </w:numPr>
        <w:spacing w:after="80"/>
      </w:pPr>
      <w:r>
        <w:t xml:space="preserve">Any request involving discretionary portfolio management or trade authorization without explicit per-trade client instruction.</w:t>
      </w:r>
    </w:p>
    <w:p>
      <w:pPr>
        <w:pStyle w:val="ListParagraph"/>
        <w:numPr>
          <w:ilvl w:val="0"/>
          <w:numId w:val="3"/>
        </w:numPr>
        <w:spacing w:after="80"/>
      </w:pPr>
      <w:r>
        <w:t xml:space="preserve">Any request for personalized tax, estate, or legal structuring advice.</w:t>
      </w:r>
    </w:p>
    <w:p>
      <w:pPr>
        <w:pStyle w:val="ListParagraph"/>
        <w:numPr>
          <w:ilvl w:val="0"/>
          <w:numId w:val="3"/>
        </w:numPr>
        <w:spacing w:after="80"/>
      </w:pPr>
      <w:r>
        <w:t xml:space="preserve">Any recommendation that would breach a concentration or product restriction limit even with override, without senior sign-off.</w:t>
      </w:r>
    </w:p>
    <w:p>
      <w:pPr>
        <w:pStyle w:val="Heading2"/>
      </w:pPr>
      <w:r>
        <w:t xml:space="preserve">6.1 Escalation Handling Process</w:t>
      </w:r>
    </w:p>
    <w:p>
      <w:pPr>
        <w:spacing w:after="140"/>
      </w:pPr>
      <w:r>
        <w:t xml:space="preserve">When the RM Copilot system identifies a request matching an escalation trigger, it must not attempt to partially answer the request before escalating; rather, the system should clearly inform the RM that the request requires Licensed Advisor involvement, generate a structured escalation note summarizing the client's request and relevant context, and route the note to the appropriate Licensed Advisor queue. The RM remains responsible for communicating to the client that their request requires additional specialist input, and for managing the client relationship during the escalation period, even though the substantive response will come from the Licensed Advisor.</w:t>
      </w:r>
    </w:p>
    <w:p>
      <w:pPr>
        <w:pStyle w:val="Heading2"/>
      </w:pPr>
      <w:r>
        <w:t xml:space="preserve">6.2 Escalation Response Time Expectations</w:t>
      </w:r>
    </w:p>
    <w:p>
      <w:pPr>
        <w:spacing w:after="140"/>
      </w:pPr>
      <w:r>
        <w:t xml:space="preserve">Licensed Advisor escalations are expected to receive an initial response within 2 business days under normal circumstances. Where a client's request carries time sensitivity — for example, a request connected to an approaching transaction deadline — the RM should flag the escalation as time-sensitive, which routes it to an expedited Licensed Advisor review queue with a target initial response time of same business day where operationally feasible.</w:t>
      </w:r>
    </w:p>
    <w:p>
      <w:pPr>
        <w:pStyle w:val="Heading1"/>
      </w:pPr>
      <w:r>
        <w:t xml:space="preserve">7. Entitlement and Data Access Controls</w:t>
      </w:r>
    </w:p>
    <w:p>
      <w:pPr>
        <w:spacing w:after="140"/>
      </w:pPr>
      <w:r>
        <w:t xml:space="preserve">Knowledge base content is tagged with a sensitivity attribute (Public, Internal, Restricted) and, where applicable, a minimum research entitlement tier. The retrieval layer must filter results so that an RM never receives content above their entitlement tier in a generated brief, regardless of the relevance score returned by the retriever. Attempted access to unentitled content must be logged and surfaced to the RM as a filtered notice, not silently dropped, so the gap is auditable.</w:t>
      </w:r>
    </w:p>
    <w:p>
      <w:pPr>
        <w:pStyle w:val="Heading2"/>
      </w:pPr>
      <w:r>
        <w:t xml:space="preserve">7.1 Entitlement Tier Structure</w:t>
      </w:r>
    </w:p>
    <w:p>
      <w:pPr>
        <w:spacing w:after="140"/>
      </w:pPr>
      <w:r>
        <w:t xml:space="preserve">The firm maintains three research entitlement tiers. Tier 1 access is granted to all active RMs upon onboarding and covers general market outlook and core product guide content. Tier 2 access requires completion of an advanced product knowledge certification and covers sector-specific deep-dive research and more granular product analysis. Tier 3 access is restricted to Senior RMs and Portfolio Managers and covers embargoed or pre-publication research. Entitlement tier assignments are maintained centrally by the Compliance Office and are reviewed annually alongside the RM's broader licensing and certification status.</w:t>
      </w:r>
    </w:p>
    <w:p>
      <w:pPr>
        <w:pStyle w:val="Heading2"/>
      </w:pPr>
      <w:r>
        <w:t xml:space="preserve">7.2 Client Data Access Boundaries</w:t>
      </w:r>
    </w:p>
    <w:p>
      <w:pPr>
        <w:spacing w:after="140"/>
      </w:pPr>
      <w:r>
        <w:t xml:space="preserve">In addition to research entitlement, RMs are restricted to accessing portfolio and personal data only for clients formally assigned to their book of business within the firm's client relationship management system. The RM Copilot system must enforce this boundary at the data retrieval layer, not merely as a downstream display filter, to prevent any inadvertent exposure of one RM's client data to another RM, even temporarily during agent processing.</w:t>
      </w:r>
    </w:p>
    <w:p>
      <w:pPr>
        <w:pStyle w:val="Heading1"/>
      </w:pPr>
      <w:r>
        <w:t xml:space="preserve">8. Mandatory Disclaimers</w:t>
      </w:r>
    </w:p>
    <w:p>
      <w:pPr>
        <w:spacing w:after="140"/>
      </w:pPr>
      <w:r>
        <w:t xml:space="preserve">Every ClientBrief generated by the system, regardless of compliance status, must include the following disclosure verbatim or in substantively equivalent language: “This material is decision support prepared for the Relationship Manager and does not constitute personalized investment advice. Any recommendation requires RM judgment and, where applicable, Licensed Advisor sign-off before being presented to the client as formal advice.”</w:t>
      </w:r>
    </w:p>
    <w:p>
      <w:pPr>
        <w:pStyle w:val="Heading2"/>
      </w:pPr>
      <w:r>
        <w:t xml:space="preserve">8.1 Additional Context-Specific Disclaimers</w:t>
      </w:r>
    </w:p>
    <w:p>
      <w:pPr>
        <w:spacing w:after="140"/>
      </w:pPr>
      <w:r>
        <w:t xml:space="preserve">Beyond the standard disclaimer above, certain content categories require additional disclosure. Any brief referencing historical performance or stress test figures must include language clarifying that past performance and modeled scenarios are not indicative of future results. Any brief referencing a product with a recent rating change, regulatory inquiry, or other material development must include a clear flag of that development, rather than presenting the product's standard characteristics as though the development had not occurred.</w:t>
      </w:r>
    </w:p>
    <w:p>
      <w:pPr>
        <w:pStyle w:val="Heading1"/>
      </w:pPr>
      <w:r>
        <w:t xml:space="preserve">9. Audit and Logging Requirements</w:t>
      </w:r>
    </w:p>
    <w:p>
      <w:pPr>
        <w:spacing w:after="140"/>
      </w:pPr>
      <w:r>
        <w:t xml:space="preserve">Every suitability check, compliance gate decision, and escalation event must be logged with a timestamp, the RM identifier, the client identifier, the products evaluated, the decision rationale, and the citation sources used. Logs must be retained for a minimum of seven years and must be made available to Compliance and Internal Audit upon request without modification.</w:t>
      </w:r>
    </w:p>
    <w:p>
      <w:pPr>
        <w:pStyle w:val="Heading2"/>
      </w:pPr>
      <w:r>
        <w:t xml:space="preserve">9.1 Log Integrity Requirements</w:t>
      </w:r>
    </w:p>
    <w:p>
      <w:pPr>
        <w:spacing w:after="140"/>
      </w:pPr>
      <w:r>
        <w:t xml:space="preserve">Audit logs must be write-once and immutable following creation; no RM, including senior RMs or Compliance personnel, may modify or delete an existing log entry. Any correction to a previously logged decision must be recorded as a new, separately timestamped entry that references the original entry, preserving a complete and unaltered history of all suitability and compliance decisions for regulatory and internal audit purposes.</w:t>
      </w:r>
    </w:p>
    <w:p>
      <w:pPr>
        <w:pStyle w:val="Heading2"/>
      </w:pPr>
      <w:r>
        <w:t xml:space="preserve">9.2 Periodic Audit Review</w:t>
      </w:r>
    </w:p>
    <w:p>
      <w:pPr>
        <w:spacing w:after="140"/>
      </w:pPr>
      <w:r>
        <w:t xml:space="preserve">The Compliance Office conducts a structured sample-based review of audit logs on a monthly cycle, examining a statistically representative sample of suitability determinations across RMs and product categories to identify any systemic gaps or inconsistencies in the application of this policy. Findings from this periodic review inform both individual RM coaching and, where appropriate, policy refinement.</w:t>
      </w:r>
    </w:p>
    <w:p>
      <w:pPr>
        <w:pStyle w:val="Heading1"/>
      </w:pPr>
      <w:r>
        <w:t xml:space="preserve">10. Policy Review</w:t>
      </w:r>
    </w:p>
    <w:p>
      <w:pPr>
        <w:spacing w:after="140"/>
      </w:pPr>
      <w:r>
        <w:t xml:space="preserve">This policy is reviewed at minimum annually by the Compliance Office and the Head of Wealth Management, and on an ad hoc basis following any material regulatory change or internal incident. The version history is maintained centrally; RMs must confirm acknowledgment of each new version within 10 business days of publication.</w:t>
      </w:r>
    </w:p>
    <w:p>
      <w:pPr>
        <w:pStyle w:val="Heading2"/>
      </w:pPr>
      <w:r>
        <w:t xml:space="preserve">10.1 Interim Updates and Urgent Notices</w:t>
      </w:r>
    </w:p>
    <w:p>
      <w:pPr>
        <w:spacing w:after="140"/>
      </w:pPr>
      <w:r>
        <w:t xml:space="preserve">In circumstances requiring an urgent policy update outside the standard annual review cycle — for example, following a regulatory enforcement action affecting the industry or an internal incident revealing a gap in existing controls — the Compliance Office may issue an interim policy notice with immediate effect, pending formal incorporation into the next full version of this document. RMs are required to acknowledge interim notices within 2 business days, given their typically time-sensitive nature.</w:t>
      </w:r>
    </w:p>
    <w:p>
      <w:pPr>
        <w:pStyle w:val="Heading1"/>
      </w:pPr>
      <w:r>
        <w:t xml:space="preserve">11. Common Suitability Scenarios — Worked Examples</w:t>
      </w:r>
    </w:p>
    <w:p>
      <w:pPr>
        <w:spacing w:after="140"/>
      </w:pPr>
      <w:r>
        <w:t xml:space="preserve">This section provides worked examples to support consistent application of this policy across common scenarios encountered by RMs.</w:t>
      </w:r>
    </w:p>
    <w:p>
      <w:pPr>
        <w:pStyle w:val="Heading2"/>
      </w:pPr>
      <w:r>
        <w:t xml:space="preserve">11.1 Example: Structured Note Request from a Balanced Client</w:t>
      </w:r>
    </w:p>
    <w:p>
      <w:pPr>
        <w:spacing w:after="140"/>
      </w:pPr>
      <w:r>
        <w:t xml:space="preserve">A Balanced-profile client requests information about a Structured Capital Note (SCN series, Document PG-004), attracted by a recent conversation with a friend about its return potential. Per Restricted List Rule-003 (Document CMP-002), structured capital notes require a Growth or Aggressive profile and a signed complex-product disclosure. The correct compliance status for this scenario is Blocked, and the RM should not present specific SCN terms to the client. Instead, the RM should explain that the product requires a different risk profile tier than the client's current documented classification, and, if the client believes their risk tolerance has genuinely changed, offer to initiate a formal risk profile re-assessment per Document CMP-003.</w:t>
      </w:r>
    </w:p>
    <w:p>
      <w:pPr>
        <w:pStyle w:val="Heading2"/>
      </w:pPr>
      <w:r>
        <w:t xml:space="preserve">11.2 Example: Sector Concentration Near the Limit</w:t>
      </w:r>
    </w:p>
    <w:p>
      <w:pPr>
        <w:spacing w:after="140"/>
      </w:pPr>
      <w:r>
        <w:t xml:space="preserve">A Growth-profile client's current portfolio includes 19% aggregate technology sector exposure (combining direct holdings and look-through fund exposure per Section 5.1). The client requests an additional direct technology stock purchase that would bring aggregate exposure to 23%, still under the 25% limit. This recommendation may receive a Cleared status, since it remains within the standard limit, but the RM Copilot system should still flag the proximity to the limit in the generated brief, prompting the RM to discuss with the client that any further technology-sector additions would likely require a formal concentration override given how close the portfolio would sit to the standard limit.</w:t>
      </w:r>
    </w:p>
    <w:p>
      <w:pPr>
        <w:pStyle w:val="Heading2"/>
      </w:pPr>
      <w:r>
        <w:t xml:space="preserve">11.3 Example: New Product Cooling-Off Period</w:t>
      </w:r>
    </w:p>
    <w:p>
      <w:pPr>
        <w:spacing w:after="140"/>
      </w:pPr>
      <w:r>
        <w:t xml:space="preserve">A Conservative-profile client expresses interest in a newly launched product that has been on the approved shelf for 4 months. Per Restricted List Rule applicable to new-to-market products, this falls within the 12-month cooling-off period for Conservative and Balanced profiles, and the correct compliance status is Needs Review, requiring DH2-level sign-off before the recommendation can be presented, rather than an automatic Blocked status, since the cooling-off period is designed for senior judgment rather than an absolute prohibition.</w:t>
      </w:r>
    </w:p>
    <w:p>
      <w:pPr>
        <w:pStyle w:val="Heading2"/>
      </w:pPr>
      <w:r>
        <w:t xml:space="preserve">11.4 Example: Client-Initiated Request Outside Documented Profile</w:t>
      </w:r>
    </w:p>
    <w:p>
      <w:pPr>
        <w:spacing w:after="140"/>
      </w:pPr>
      <w:r>
        <w:t xml:space="preserve">An Aggressive-profile client requests a large allocation to the firm's most conservative money market product as a temporary holding pending a major planned purchase. While this product is generally suitable for all risk profiles per its Product Guide, the RM should still document the rationale for the allocation (the temporary, goal-specific nature of the holding) in the client file, consistent with good suitability practice, even though no formal compliance gate is triggered by a request to hold a lower-risk product than the client's documented tier would otherwise suggest, since under-allocation relative to risk tolerance does not raise the same suitability concerns as over-allocation.</w:t>
      </w:r>
    </w:p>
    <w:p>
      <w:pPr>
        <w:pStyle w:val="Heading1"/>
      </w:pPr>
      <w:r>
        <w:t xml:space="preserve">12. Training and Competency Requirements</w:t>
      </w:r>
    </w:p>
    <w:p>
      <w:pPr>
        <w:spacing w:after="140"/>
      </w:pPr>
      <w:r>
        <w:t xml:space="preserve">All RMs are required to complete an initial certification covering this policy, the Restricted List, and the Client Risk Profiling Methodology before being granted access to the RM Copilot system's client-facing recommendation features. Certification must be renewed annually, with renewal contingent on a passing score on a structured assessment covering material policy updates from the preceding year.</w:t>
      </w:r>
    </w:p>
    <w:p>
      <w:pPr>
        <w:pStyle w:val="Heading2"/>
      </w:pPr>
      <w:r>
        <w:t xml:space="preserve">12.1 Ongoing Competency Monitoring</w:t>
      </w:r>
    </w:p>
    <w:p>
      <w:pPr>
        <w:spacing w:after="140"/>
      </w:pPr>
      <w:r>
        <w:t xml:space="preserve">Beyond the annual certification renewal, the Compliance Office monitors individual RM suitability determination patterns through the periodic audit review described in Section 9.2. An RM exhibiting a pattern of suitability assessment errors, near-miss escalations, or compliance gate overrides inconsistent with policy may be required to complete supplemental training or, in more significant cases, may have their access to certain product categories or system features temporarily restricted pending remediation.</w:t>
      </w:r>
    </w:p>
    <w:p>
      <w:pPr>
        <w:pStyle w:val="Heading1"/>
      </w:pPr>
      <w:r>
        <w:t xml:space="preserve">13. Governance Structure and Escalation Hierarchy</w:t>
      </w:r>
    </w:p>
    <w:p>
      <w:pPr>
        <w:spacing w:after="140"/>
      </w:pPr>
      <w:r>
        <w:t xml:space="preserve">This policy operates within a broader governance structure designed to ensure suitability and compliance determinations receive appropriate scrutiny proportionate to their complexity and risk. RMs should understand where their own authority ends and where each level of escalation begins, to avoid both under-escalation (proceeding with a recommendation that requires senior input) and over-escalation (unnecessarily routing routine, clearly compliant recommendations through senior review channels that are better reserved for genuinely complex cases).</w:t>
      </w:r>
    </w:p>
    <w:p>
      <w:pPr>
        <w:pStyle w:val="Heading2"/>
      </w:pPr>
      <w:r>
        <w:t xml:space="preserve">13.1 DH2-Level Review Authority</w:t>
      </w:r>
    </w:p>
    <w:p>
      <w:pPr>
        <w:spacing w:after="140"/>
      </w:pPr>
      <w:r>
        <w:t xml:space="preserve">DH2-level reviewers are authorized to approve Needs Review status recommendations, including concentration limit overrides within defined secondary thresholds and cooling-off period exceptions for new products, subject to documenting their rationale in the audit log as described in Section 9. DH2-level reviewers are not authorized to approve recommendations falling within the Blocked category or within any licensed-advice escalation trigger described in Section 6; such recommendations must be routed to a Licensed Advisor regardless of DH2-level sign-off.</w:t>
      </w:r>
    </w:p>
    <w:p>
      <w:pPr>
        <w:pStyle w:val="Heading2"/>
      </w:pPr>
      <w:r>
        <w:t xml:space="preserve">13.2 Licensed Advisor Authority</w:t>
      </w:r>
    </w:p>
    <w:p>
      <w:pPr>
        <w:spacing w:after="140"/>
      </w:pPr>
      <w:r>
        <w:t xml:space="preserve">Licensed Advisors hold the regulatory credentials necessary to provide personalized investment advice, execute discretionary trades with appropriate client authorization, and provide guidance on tax and estate matters within the scope of their specific licensing. Licensed Advisors are the only role within the firm's RM-facing structure authorized to clear a Blocked recommendation, and only by addressing the specific blocking condition directly — for example, by personally assuming responsibility for a recommendation that would otherwise require an RM credential the requesting RM does not hold.</w:t>
      </w:r>
    </w:p>
    <w:p>
      <w:pPr>
        <w:pStyle w:val="Heading2"/>
      </w:pPr>
      <w:r>
        <w:t xml:space="preserve">13.3 Compliance Office Authority</w:t>
      </w:r>
    </w:p>
    <w:p>
      <w:pPr>
        <w:spacing w:after="140"/>
      </w:pPr>
      <w:r>
        <w:t xml:space="preserve">The Compliance Office retains ultimate authority over the content of this policy, the Restricted List, and the Client Risk Profiling Methodology, and may intervene in any individual suitability determination it identifies as inconsistent with policy, regardless of any prior DH2-level or Licensed Advisor sign-off. The Compliance Office's intervention authority exists specifically to provide a final safeguard against errors or inconsistencies that may not be caught through the standard review hierarchy.</w:t>
      </w:r>
    </w:p>
    <w:p>
      <w:pPr>
        <w:pStyle w:val="Heading2"/>
      </w:pPr>
      <w:r>
        <w:t xml:space="preserve">13.4 Escalation Path Summary</w:t>
      </w:r>
    </w:p>
    <w:p>
      <w:pPr>
        <w:spacing w:after="140"/>
      </w:pPr>
      <w:r>
        <w:t xml:space="preserve">In summary, the escalation hierarchy flows from RM, to DH2-level reviewer for Needs Review determinations, to Licensed Advisor for licensed-advice triggers and Blocked recommendations, with the Compliance Office holding override authority at any point in the hierarchy. RMs experiencing uncertainty about which level of escalation is appropriate for a specific scenario should default to escalating to the next level up rather than proceeding without sign-off, consistent with the firm's overall risk-averse posture toward suitability and compliance matters.</w:t>
      </w:r>
    </w:p>
    <w:p>
      <w:pPr>
        <w:pStyle w:val="Heading1"/>
      </w:pPr>
      <w:r>
        <w:t xml:space="preserve">14. Common Pitfalls and Lessons from Past Findings</w:t>
      </w:r>
    </w:p>
    <w:p>
      <w:pPr>
        <w:spacing w:after="140"/>
      </w:pPr>
      <w:r>
        <w:t xml:space="preserve">This section summarizes recurring themes from past internal audit findings and near-miss incidents, anonymized and generalized, to help RMs avoid common pitfalls in applying this policy.</w:t>
      </w:r>
    </w:p>
    <w:p>
      <w:pPr>
        <w:pStyle w:val="Heading2"/>
      </w:pPr>
      <w:r>
        <w:t xml:space="preserve">14.1 Pitfall: Treating a Re-Assessment Trigger as Optional</w:t>
      </w:r>
    </w:p>
    <w:p>
      <w:pPr>
        <w:spacing w:after="140"/>
      </w:pPr>
      <w:r>
        <w:t xml:space="preserve">Past findings have identified instances where RMs proceeded with a recommendation despite a client disclosing a material change in circumstances — such as an upcoming retirement or a significant inheritance — without triggering the formal risk profile re-assessment required by the Client Risk Profiling Methodology. RMs must treat any of the re-assessment triggers described in that document as mandatory, not as a judgment call to be weighed against the convenience of proceeding with the client's immediate request.</w:t>
      </w:r>
    </w:p>
    <w:p>
      <w:pPr>
        <w:pStyle w:val="Heading2"/>
      </w:pPr>
      <w:r>
        <w:t xml:space="preserve">14.2 Pitfall: Incomplete Look-Through Aggregation</w:t>
      </w:r>
    </w:p>
    <w:p>
      <w:pPr>
        <w:spacing w:after="140"/>
      </w:pPr>
      <w:r>
        <w:t xml:space="preserve">A recurring theme in past audit findings involves RMs or system-generated briefs assessing concentration limits based only on a client's direct holdings, without correctly aggregating look-through exposure from fund holdings as required by Section 5.1. This pitfall is particularly relevant when a client holds multiple Horizon funds with overlapping sector or geographic exposure, since the cumulative look-through exposure can be substantially higher than any single fund's exposure would suggest in isolation.</w:t>
      </w:r>
    </w:p>
    <w:p>
      <w:pPr>
        <w:pStyle w:val="Heading2"/>
      </w:pPr>
      <w:r>
        <w:t xml:space="preserve">14.3 Pitfall: Stale Suitability Determinations</w:t>
      </w:r>
    </w:p>
    <w:p>
      <w:pPr>
        <w:spacing w:after="140"/>
      </w:pPr>
      <w:r>
        <w:t xml:space="preserve">Findings have also identified instances where a suitability determination made for one proposed transaction was inappropriately relied upon for a subsequent, different transaction with the same client, without a fresh assessment as required by Section 4.2. Each proposed transaction requires its own suitability assessment, even where the same client and same general product category are involved, since the specific allocation amount, the client's portfolio composition at the time, and the product's status can all change between transactions.</w:t>
      </w:r>
    </w:p>
    <w:p>
      <w:pPr>
        <w:pStyle w:val="Heading2"/>
      </w:pPr>
      <w:r>
        <w:t xml:space="preserve">14.4 Pitfall: Premature Disclosure of Restricted Product Details</w:t>
      </w:r>
    </w:p>
    <w:p>
      <w:pPr>
        <w:spacing w:after="140"/>
      </w:pPr>
      <w:r>
        <w:t xml:space="preserve">In several past instances, RMs provided detailed product terms to clients for products later determined to be Blocked for that client's risk profile, on the basis that providing information is different from making a recommendation. This policy does not draw that distinction: providing detailed, personalized product terms in response to a client's specific interest constitutes effective recommendation activity for the purposes of this policy, and the same compliance gates apply to information provision as to an explicit recommendation.</w:t>
      </w:r>
    </w:p>
    <w:p>
      <w:pPr>
        <w:pStyle w:val="Heading1"/>
      </w:pPr>
      <w:r>
        <w:t xml:space="preserve">15. Glossary of Key Terms</w:t>
      </w:r>
    </w:p>
    <w:p>
      <w:pPr>
        <w:spacing w:after="140"/>
      </w:pPr>
      <w:r>
        <w:t xml:space="preserve">Compliance Status: The Cleared, Needs Review, or Blocked classification assigned to a specific recommendation following the suitability assessment workflow described in Section 3.</w:t>
      </w:r>
    </w:p>
    <w:p>
      <w:pPr>
        <w:spacing w:after="140"/>
      </w:pPr>
      <w:r>
        <w:t xml:space="preserve">Concentration Limit: A maximum permitted exposure threshold for a given category of holding, expressed as a percentage of total portfolio value or a relevant sub-sleeve, as described in Section 5.</w:t>
      </w:r>
    </w:p>
    <w:p>
      <w:pPr>
        <w:spacing w:after="140"/>
      </w:pPr>
      <w:r>
        <w:t xml:space="preserve">Cooling-Off Period: A defined period following a product's launch or material restructuring during which standard recommendations to certain client risk tiers require additional senior review, as described in the Restricted List.</w:t>
      </w:r>
    </w:p>
    <w:p>
      <w:pPr>
        <w:spacing w:after="140"/>
      </w:pPr>
      <w:r>
        <w:t xml:space="preserve">Entitlement Tier: The research access classification assigned to an RM, governing which knowledge base content may be surfaced in client briefs, as described in Section 7.</w:t>
      </w:r>
    </w:p>
    <w:p>
      <w:pPr>
        <w:spacing w:after="140"/>
      </w:pPr>
      <w:r>
        <w:t xml:space="preserve">Escalation: The process of routing a client request or recommendation to a Licensed Advisor when it falls outside the scope of activity an RM is authorized to perform directly, as described in Section 6.</w:t>
      </w:r>
    </w:p>
    <w:p>
      <w:pPr>
        <w:spacing w:after="140"/>
      </w:pPr>
      <w:r>
        <w:t xml:space="preserve">Look-Through Exposure: The underlying asset-class, sector, or issuer exposure embedded within a fund holding, used to calculate true aggregate concentration across a client's portfolio, as described in Section 5.1.</w:t>
      </w:r>
    </w:p>
    <w:p>
      <w:pPr>
        <w:spacing w:after="140"/>
      </w:pPr>
      <w:r>
        <w:t xml:space="preserve">Override: A documented exception permitting a recommendation to exceed a standard concentration or other suitability limit, subject to the requirements described in Section 5.2.</w:t>
      </w:r>
    </w:p>
    <w:p>
      <w:pPr>
        <w:pStyle w:val="Heading1"/>
      </w:pPr>
      <w:r>
        <w:t xml:space="preserve">16. Document Control and Revision History</w:t>
      </w:r>
    </w:p>
    <w:p>
      <w:pPr>
        <w:spacing w:after="140"/>
      </w:pPr>
      <w:r>
        <w:t xml:space="preserve">Version 1.0 — 2018-01-15 — Initial publication</w:t>
      </w:r>
    </w:p>
    <w:p>
      <w:pPr>
        <w:spacing w:after="140"/>
      </w:pPr>
      <w:r>
        <w:t xml:space="preserve">Version 2.0 — 2021-07-01 — Added entitlement and data access control provisions following system architecture review</w:t>
      </w:r>
    </w:p>
    <w:p>
      <w:pPr>
        <w:spacing w:after="140"/>
      </w:pPr>
      <w:r>
        <w:t xml:space="preserve">Version 3.0 — 2024-03-01 — Restructured around compliance status definitions; added audit and logging section</w:t>
      </w:r>
    </w:p>
    <w:p>
      <w:pPr>
        <w:spacing w:after="140"/>
      </w:pPr>
      <w:r>
        <w:t xml:space="preserve">Version 4.0 — 2026-01-01 — Expanded edition; added detailed workflow sub-sections, worked examples, training and competency requirements, and glossary</w:t>
      </w:r>
    </w:p>
    <w:p>
      <w:pPr>
        <w:spacing w:after="140"/>
      </w:pPr>
      <w:r>
        <w:t xml:space="preserve">This document is reviewed at minimum annually by the Compliance Office and the Head of Wealth Management. RMs should always confirm they are referencing the current version via the internal compliance documentation portal.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2026-06-20T21:51:34.467Z</dcterms:created>
  <dcterms:modified xsi:type="dcterms:W3CDTF">2026-06-20T21:51:34.467Z</dcterms:modified>
</cp:coreProperties>
</file>

<file path=docProps/custom.xml><?xml version="1.0" encoding="utf-8"?>
<Properties xmlns="http://schemas.openxmlformats.org/officeDocument/2006/custom-properties" xmlns:vt="http://schemas.openxmlformats.org/officeDocument/2006/docPropsVTypes"/>
</file>