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4E3D"/>
          <w:sz w:val="36"/>
          <w:szCs w:val="36"/>
        </w:rPr>
        <w:t xml:space="preserve">RESEARCH NOTE</w:t>
      </w:r>
    </w:p>
    <w:p>
      <w:r>
        <w:rPr>
          <w:b/>
          <w:bCs/>
          <w:sz w:val="22"/>
          <w:szCs w:val="22"/>
        </w:rPr>
        <w:t xml:space="preserve">Fixed Income Outlook — Mid-Year 2026 Update   |   Document ID: RN-003</w:t>
      </w:r>
    </w:p>
    <w:p>
      <w:r>
        <w:rPr>
          <w:i/>
          <w:iCs/>
          <w:color w:val="555555"/>
          <w:sz w:val="20"/>
          <w:szCs w:val="20"/>
        </w:rPr>
        <w:t xml:space="preserve">Author: Horizon Wealth Research Desk   |   Publication Date: 2026-06-10   |   Version 2.0 (Expanded Edition)</w:t>
      </w:r>
    </w:p>
    <w:p>
      <w:r>
        <w:rPr>
          <w:i/>
          <w:iCs/>
          <w:color w:val="555555"/>
          <w:sz w:val="20"/>
          <w:szCs w:val="20"/>
        </w:rPr>
        <w:t xml:space="preserve">Sensitivity: Internal — RM Use Only   |   Entitlement: All RMs with Research Tier 1 access</w:t>
      </w:r>
    </w:p>
    <w:p>
      <w:pPr>
        <w:pBdr>
          <w:bottom w:val="single" w:color="1F4E3D" w:sz="6" w:space="4"/>
        </w:pBdr>
      </w:pPr>
    </w:p>
    <w:p>
      <w:pPr>
        <w:pStyle w:val="Heading1"/>
      </w:pPr>
      <w:r>
        <w:t xml:space="preserve">1. Summary View</w:t>
      </w:r>
    </w:p>
    <w:p>
      <w:pPr>
        <w:spacing w:after="140"/>
      </w:pPr>
      <w:r>
        <w:t xml:space="preserve">The research desk maintains a neutral-to-modestly-constructive view on investment-grade fixed income for the remainder of 2026, following the rate volatility experienced in the first quarter. Yield levels across the curve remain attractive relative to the trailing five-year average, though we caution against extending duration aggressively given continued uncertainty around the policy rate path.</w:t>
      </w:r>
    </w:p>
    <w:p>
      <w:pPr>
        <w:spacing w:after="140"/>
      </w:pPr>
      <w:r>
        <w:t xml:space="preserve">This expanded mid-year edition adds detailed sub-sector analysis, a structured maturity bucket framework for RM use in client conversations, and an expanded risk monitoring section, while preserving the same core house view as the initial Q2 publication: a quality-tilted, moderate-duration positioning bias.</w:t>
      </w:r>
    </w:p>
    <w:p>
      <w:pPr>
        <w:spacing w:after="140"/>
      </w:pPr>
      <w:r>
        <w:t xml:space="preserve">The desk's overarching philosophy for fixed income positioning in the current environment emphasizes balance across three dimensions: balance between yield capture and rate sensitivity, balance between credit quality and incremental spread pickup, and balance between core diversified exposure and more granular, maturity-matched positioning where a client's specific objectives warrant it. This three-dimensional balance framework underlies each of the more detailed sector and positioning discussions that follow in subsequent sections of this note.</w:t>
      </w:r>
    </w:p>
    <w:p>
      <w:pPr>
        <w:pStyle w:val="Heading1"/>
      </w:pPr>
      <w:r>
        <w:t xml:space="preserve">2. Rate Environment</w:t>
      </w:r>
    </w:p>
    <w:p>
      <w:pPr>
        <w:spacing w:after="140"/>
      </w:pPr>
      <w:r>
        <w:t xml:space="preserve">Following the March 2026 rate shock referenced in our fund risk disclosures, central bank communication has shifted toward a more data-dependent posture. The desk does not attempt to forecast specific policy decisions; rather, we focus on positioning portfolios to be resilient across a range of plausible outcomes. Short-to-intermediate duration positioning (3-5 years effective duration) continues to offer a favorable balance of yield capture and rate sensitivity.</w:t>
      </w:r>
    </w:p>
    <w:p>
      <w:pPr>
        <w:spacing w:after="140"/>
      </w:pPr>
      <w:r>
        <w:t xml:space="preserve">The desk's emphasis on resilience across a range of outcomes, rather than precision in any single forecast, reflects a deliberate philosophical stance informed by the inherent difficulty of consistently and accurately forecasting central bank policy decisions over any meaningful time horizon. Rather than allocating client capital based on a specific point forecast for where rates will be at a future date, the desk's process described throughout this note is designed to construct portfolios that can perform reasonably across multiple plausible scenarios, accepting that some scenario-specific outperformance may be foregone in exchange for reduced sensitivity to any single forecast proving incorrect.</w:t>
      </w:r>
    </w:p>
    <w:p>
      <w:pPr>
        <w:pStyle w:val="Heading2"/>
      </w:pPr>
      <w:r>
        <w:t xml:space="preserve">2.1 Yield Curve Shape Observations</w:t>
      </w:r>
    </w:p>
    <w:p>
      <w:pPr>
        <w:spacing w:after="140"/>
      </w:pPr>
      <w:r>
        <w:t xml:space="preserve">The yield curve has retained a modestly upward-sloping shape across most of the curve since the Q1 volatility episode, a normalization from the flatter and, briefly, inverted curve shapes observed during parts of the preceding eighteen months. The desk views this normalization as broadly consistent with a market pricing in a more typical, rather than recessionary, growth and policy trajectory, though the desk cautions that curve shape alone should not be treated as a definitive macro signal given the range of technical and flow-driven factors that can also influence curve shape independent of fundamental expectations.</w:t>
      </w:r>
    </w:p>
    <w:p>
      <w:pPr>
        <w:pStyle w:val="Heading2"/>
      </w:pPr>
      <w:r>
        <w:t xml:space="preserve">2.2 Policy Rate Path Considerations</w:t>
      </w:r>
    </w:p>
    <w:p>
      <w:pPr>
        <w:spacing w:after="140"/>
      </w:pPr>
      <w:r>
        <w:t xml:space="preserve">Market-implied policy rate expectations have shown meaningful volatility over the trailing six months, reflecting the evolving data-dependent communication from central banks referenced above. The desk's portfolio construction approach is deliberately designed to avoid excessive sensitivity to any single point-in-time policy rate forecast, favoring a duration-managed approach that can perform reasonably across a range of plausible policy paths rather than a concentrated bet on any single outcome.</w:t>
      </w:r>
    </w:p>
    <w:p>
      <w:pPr>
        <w:pStyle w:val="Heading1"/>
      </w:pPr>
      <w:r>
        <w:t xml:space="preserve">3. Credit Spreads</w:t>
      </w:r>
    </w:p>
    <w:p>
      <w:pPr>
        <w:spacing w:after="140"/>
      </w:pPr>
      <w:r>
        <w:t xml:space="preserve">Investment-grade credit spreads have remained range-bound, reflecting generally stable corporate fundamentals among large-cap issuers. High-yield spreads have widened modestly from cycle-tight levels, which the desk views as a healthier repricing of risk rather than a signal of broad credit stress. Issuer selection remains paramount; the desk does not recommend broad-based high-yield beta exposure for Conservative or Balanced profile clients.</w:t>
      </w:r>
    </w:p>
    <w:p>
      <w:pPr>
        <w:spacing w:after="140"/>
      </w:pPr>
      <w:r>
        <w:t xml:space="preserve">The desk's credit research function, organizationally independent from portfolio management as described in the Conservative Income Fund product guide (Document PG-002, Section 4), plays a central role in informing the desk's sector and issuer-level views described throughout this section. This independence is specifically designed to ensure that credit assessments are not influenced by portfolio positioning considerations, preserving the integrity of the underlying credit analysis that informs client-facing positioning recommendations.</w:t>
      </w:r>
    </w:p>
    <w:p>
      <w:pPr>
        <w:pStyle w:val="Heading2"/>
      </w:pPr>
      <w:r>
        <w:t xml:space="preserve">3.1 Investment-Grade Spread Detail</w:t>
      </w:r>
    </w:p>
    <w:p>
      <w:pPr>
        <w:spacing w:after="140"/>
      </w:pPr>
      <w:r>
        <w:t xml:space="preserve">Within investment-grade credit, the desk observes modest spread differentiation between sectors, with financials trading at relatively tighter spreads reflecting continued balance sheet strengthening over the past several years, while certain cyclical industrial sub-sectors trade at relatively wider spreads reflecting greater sensitivity to the broader growth outlook. The desk's security selection process, described further in the Conservative Income Fund product guide (Document PG-002), continues to favor issuers demonstrating consistent free cash flow generation and disciplined capital allocation over issuers offering incremental spread pickup without commensurate credit quality.</w:t>
      </w:r>
    </w:p>
    <w:p>
      <w:pPr>
        <w:pStyle w:val="Heading2"/>
      </w:pPr>
      <w:r>
        <w:t xml:space="preserve">3.2 High-Yield Spread Detail</w:t>
      </w:r>
    </w:p>
    <w:p>
      <w:pPr>
        <w:spacing w:after="140"/>
      </w:pPr>
      <w:r>
        <w:t xml:space="preserve">The modest widening in high-yield spreads referenced above has been most pronounced in the lower-rated segments of the high-yield universe, while higher-quality BB-rated credits have shown more modest spread movement, consistent with the desk's view that this widening reflects a healthier risk repricing concentrated in the segments of the market carrying the most idiosyncratic credit risk, rather than a broad-based deterioration in credit conditions across the high-yield universe as a whole.</w:t>
      </w:r>
    </w:p>
    <w:p>
      <w:pPr>
        <w:pStyle w:val="Heading1"/>
      </w:pPr>
      <w:r>
        <w:t xml:space="preserve">4. Sector Observations Within Fixed Income</w:t>
      </w:r>
    </w:p>
    <w:p>
      <w:pPr>
        <w:pStyle w:val="ListParagraph"/>
        <w:numPr>
          <w:ilvl w:val="0"/>
          <w:numId w:val="2"/>
        </w:numPr>
        <w:spacing w:after="80"/>
      </w:pPr>
      <w:r>
        <w:t xml:space="preserve">Government &amp; Agency: Stable demand from institutional allocators; remains the core defensive allocation for Conservative profiles.</w:t>
      </w:r>
    </w:p>
    <w:p>
      <w:pPr>
        <w:pStyle w:val="ListParagraph"/>
        <w:numPr>
          <w:ilvl w:val="0"/>
          <w:numId w:val="2"/>
        </w:numPr>
        <w:spacing w:after="80"/>
      </w:pPr>
      <w:r>
        <w:t xml:space="preserve">Investment-Grade Corporate: Selective opportunities in financials following balance sheet strengthening over the past two years.</w:t>
      </w:r>
    </w:p>
    <w:p>
      <w:pPr>
        <w:pStyle w:val="ListParagraph"/>
        <w:numPr>
          <w:ilvl w:val="0"/>
          <w:numId w:val="2"/>
        </w:numPr>
        <w:spacing w:after="80"/>
      </w:pPr>
      <w:r>
        <w:t xml:space="preserve">Securitized Products: Agency mortgage-backed securities offer attractive carry relative to comparable-duration Treasuries, though prepayment risk warrants monitoring.</w:t>
      </w:r>
    </w:p>
    <w:p>
      <w:pPr>
        <w:pStyle w:val="ListParagraph"/>
        <w:numPr>
          <w:ilvl w:val="0"/>
          <w:numId w:val="2"/>
        </w:numPr>
        <w:spacing w:after="80"/>
      </w:pPr>
      <w:r>
        <w:t xml:space="preserve">Emerging Market Debt: Mixed picture; selective hard-currency sovereign exposure preferred over broad local-currency exposure given continued currency volatility.</w:t>
      </w:r>
    </w:p>
    <w:p>
      <w:pPr>
        <w:pStyle w:val="Heading2"/>
      </w:pPr>
      <w:r>
        <w:t xml:space="preserve">4.1 Government &amp; Agency Detail</w:t>
      </w:r>
    </w:p>
    <w:p>
      <w:pPr>
        <w:spacing w:after="140"/>
      </w:pPr>
      <w:r>
        <w:t xml:space="preserve">Sovereign bond issuance from major developed market governments has remained elevated relative to historical norms, reflecting ongoing fiscal dynamics across several major economies. The desk monitors auction demand metrics as a useful indicator of underlying institutional appetite for sovereign issuance at prevailing yield levels, and continues to view sovereign and agency debt as the appropriate core defensive allocation for Conservative profile clients, notwithstanding the elevated issuance backdrop.</w:t>
      </w:r>
    </w:p>
    <w:p>
      <w:pPr>
        <w:pStyle w:val="Heading2"/>
      </w:pPr>
      <w:r>
        <w:t xml:space="preserve">4.2 Securitized Products Detail</w:t>
      </w:r>
    </w:p>
    <w:p>
      <w:pPr>
        <w:spacing w:after="140"/>
      </w:pPr>
      <w:r>
        <w:t xml:space="preserve">Within the securitized products sub-sector, the desk continues to favor agency mortgage-backed securities over non-agency or other structured credit products, given the implicit government backing and resulting credit quality characteristics of agency MBS. Prepayment risk — the risk that underlying mortgage borrowers refinance at a faster or slower pace than modeled, affecting the security's effective duration and cash flow profile — remains the primary risk consideration within this sub-sector, and is actively monitored as part of the desk's ongoing portfolio risk oversight process.</w:t>
      </w:r>
    </w:p>
    <w:p>
      <w:pPr>
        <w:pStyle w:val="Heading2"/>
      </w:pPr>
      <w:r>
        <w:t xml:space="preserve">4.3 Emerging Market Debt Detail</w:t>
      </w:r>
    </w:p>
    <w:p>
      <w:pPr>
        <w:spacing w:after="140"/>
      </w:pPr>
      <w:r>
        <w:t xml:space="preserve">Within emerging market debt, the desk's preference for hard-currency (typically USD-denominated) sovereign exposure over local-currency exposure reflects a desire to isolate credit risk from currency risk for client portfolios where local-currency volatility would represent an unrewarded or poorly-understood risk dimension. Selective opportunities exist within specific issuers demonstrating improving fiscal trajectories, though the desk emphasizes that emerging market debt exposure should remain a modest satellite allocation rather than a core holding for any client profile, consistent with the satellite allocation framework described in the relevant product guides.</w:t>
      </w:r>
    </w:p>
    <w:p>
      <w:pPr>
        <w:pStyle w:val="Heading1"/>
      </w:pPr>
      <w:r>
        <w:t xml:space="preserve">5. Implications for Product Selection</w:t>
      </w:r>
    </w:p>
    <w:p>
      <w:pPr>
        <w:spacing w:after="140"/>
      </w:pPr>
      <w:r>
        <w:t xml:space="preserve">For RMs preparing client discussions, the current environment supports continued allocation to core fixed income holdings such as the Horizon Conservative Income Fund (HCIF) and the bond ladder structure (Document PG-004), particularly the shorter-duration rungs. Clients seeking incremental yield should be directed toward products consistent with their documented risk profile; any reach for yield beyond the client's profile tier requires the standard suitability escalation path described in the Suitability &amp; Compliance Policy.</w:t>
      </w:r>
    </w:p>
    <w:p>
      <w:pPr>
        <w:pStyle w:val="Heading2"/>
      </w:pPr>
      <w:r>
        <w:t xml:space="preserve">5.1 Maturity Bucket Framework for Client Conversations</w:t>
      </w:r>
    </w:p>
    <w:p>
      <w:pPr>
        <w:spacing w:after="140"/>
      </w:pPr>
      <w:r>
        <w:t xml:space="preserve">The desk offers the following structured maturity bucket framework to support RM client conversations about fixed income positioning across the bond ladder product family (Document PG-004):</w:t>
      </w:r>
    </w:p>
    <w:p>
      <w:pPr>
        <w:pStyle w:val="ListParagraph"/>
        <w:numPr>
          <w:ilvl w:val="0"/>
          <w:numId w:val="2"/>
        </w:numPr>
        <w:spacing w:after="80"/>
      </w:pPr>
      <w:r>
        <w:t xml:space="preserve">Ultra-Short to Short (1-3 years): Appropriate for near-term liquidity needs and as a core building block for Conservative profile clients prioritizing capital stability.</w:t>
      </w:r>
    </w:p>
    <w:p>
      <w:pPr>
        <w:pStyle w:val="ListParagraph"/>
        <w:numPr>
          <w:ilvl w:val="0"/>
          <w:numId w:val="2"/>
        </w:numPr>
        <w:spacing w:after="80"/>
      </w:pPr>
      <w:r>
        <w:t xml:space="preserve">Short-Medium to Medium (3-7 years): Represents the desk's currently preferred core duration range given the rate environment described in Section 2, appropriate for Conservative and Balanced profile clients.</w:t>
      </w:r>
    </w:p>
    <w:p>
      <w:pPr>
        <w:pStyle w:val="ListParagraph"/>
        <w:numPr>
          <w:ilvl w:val="0"/>
          <w:numId w:val="2"/>
        </w:numPr>
        <w:spacing w:after="80"/>
      </w:pPr>
      <w:r>
        <w:t xml:space="preserve">Medium-Long to Long (7-15 years): Appropriate as a measured allocation for Balanced and Growth profile clients seeking enhanced yield capture, with awareness of correspondingly higher rate sensitivity.</w:t>
      </w:r>
    </w:p>
    <w:p>
      <w:pPr>
        <w:pStyle w:val="ListParagraph"/>
        <w:numPr>
          <w:ilvl w:val="0"/>
          <w:numId w:val="2"/>
        </w:numPr>
        <w:spacing w:after="80"/>
      </w:pPr>
      <w:r>
        <w:t xml:space="preserve">Extended to Maximum (15-30 years): Generally reserved for Growth and Aggressive profile clients with specific duration-matching objectives, such as funding a long-dated liability, given the substantial rate sensitivity at this end of the curve.</w:t>
      </w:r>
    </w:p>
    <w:p>
      <w:pPr>
        <w:pStyle w:val="Heading2"/>
      </w:pPr>
      <w:r>
        <w:t xml:space="preserve">5.2 Cross-Reference to Structured Products</w:t>
      </w:r>
    </w:p>
    <w:p>
      <w:pPr>
        <w:spacing w:after="140"/>
      </w:pPr>
      <w:r>
        <w:t xml:space="preserve">RMs should note that the Structured Capital Notes described in the product shelf (Document PG-004) carry materially different risk characteristics than traditional fixed income instruments described in this note, despite sometimes being colloquially grouped together by clients as 'fixed income alternatives.' RMs must apply the specific suitability gates described in the Restricted List (Document CMP-002, Rule-003) for structured products, rather than treating them as interchangeable with traditional bond or bond ladder allocations when discussing fixed income positioning with clients.</w:t>
      </w:r>
    </w:p>
    <w:p>
      <w:pPr>
        <w:pStyle w:val="Heading1"/>
      </w:pPr>
      <w:r>
        <w:t xml:space="preserve">6. Risks to Monitor</w:t>
      </w:r>
    </w:p>
    <w:p>
      <w:pPr>
        <w:pStyle w:val="ListParagraph"/>
        <w:numPr>
          <w:ilvl w:val="0"/>
          <w:numId w:val="2"/>
        </w:numPr>
        <w:spacing w:after="80"/>
      </w:pPr>
      <w:r>
        <w:t xml:space="preserve">A reacceleration of inflation that forces a more aggressive policy response than currently priced by markets.</w:t>
      </w:r>
    </w:p>
    <w:p>
      <w:pPr>
        <w:pStyle w:val="ListParagraph"/>
        <w:numPr>
          <w:ilvl w:val="0"/>
          <w:numId w:val="2"/>
        </w:numPr>
        <w:spacing w:after="80"/>
      </w:pPr>
      <w:r>
        <w:t xml:space="preserve">Continued fiscal expansion in major economies pressuring long-end yields higher.</w:t>
      </w:r>
    </w:p>
    <w:p>
      <w:pPr>
        <w:pStyle w:val="ListParagraph"/>
        <w:numPr>
          <w:ilvl w:val="0"/>
          <w:numId w:val="2"/>
        </w:numPr>
        <w:spacing w:after="80"/>
      </w:pPr>
      <w:r>
        <w:t xml:space="preserve">Credit quality deterioration in lower-rated segments of the corporate market if growth slows more than expected.</w:t>
      </w:r>
    </w:p>
    <w:p>
      <w:pPr>
        <w:pStyle w:val="Heading2"/>
      </w:pPr>
      <w:r>
        <w:t xml:space="preserve">6.1 Additional Monitoring Themes</w:t>
      </w:r>
    </w:p>
    <w:p>
      <w:pPr>
        <w:spacing w:after="140"/>
      </w:pPr>
      <w:r>
        <w:t xml:space="preserve">Beyond the headline risks above, the desk maintains ongoing monitoring of several additional themes relevant to fixed income positioning. Bank lending standards and credit availability provide an early indicator of broader credit cycle dynamics that may precede observable changes in corporate credit spreads. Money market fund flows and short-term funding market conditions offer insight into broader liquidity conditions that can affect fixed income market functioning during periods of stress. Currency market volatility, while not a direct fixed income risk factor, can influence emerging market debt performance and the relative attractiveness of hedged versus unhedged international fixed income exposure for client portfolios with material non-USD allocations.</w:t>
      </w:r>
    </w:p>
    <w:p>
      <w:pPr>
        <w:pStyle w:val="Heading1"/>
      </w:pPr>
      <w:r>
        <w:t xml:space="preserve">7. Historical Context for Current Positioning</w:t>
      </w:r>
    </w:p>
    <w:p>
      <w:pPr>
        <w:spacing w:after="140"/>
      </w:pPr>
      <w:r>
        <w:t xml:space="preserve">For RM context, the desk offers the following illustrative historical framing regarding the current rate and credit environment. This is provided for qualitative pattern context only and should not be presented to clients as a specific forecast of how the current environment will evolve.</w:t>
      </w:r>
    </w:p>
    <w:p>
      <w:pPr>
        <w:pStyle w:val="Heading2"/>
      </w:pPr>
      <w:r>
        <w:t xml:space="preserve">7.1 Prior Rate Volatility Episodes</w:t>
      </w:r>
    </w:p>
    <w:p>
      <w:pPr>
        <w:spacing w:after="140"/>
      </w:pPr>
      <w:r>
        <w:t xml:space="preserve">Prior periods of significant rate volatility, including the March 2026 episode referenced throughout this note, have historically been followed by a period of curve normalization and reduced realized volatility, consistent with the curve shape observations described in Section 2.1. This pattern is not guaranteed to repeat, and the desk's positioning approach, described in Section 2.2, is deliberately designed to avoid excessive reliance on any single historical pattern continuing to hold in the current cycle.</w:t>
      </w:r>
    </w:p>
    <w:p>
      <w:pPr>
        <w:pStyle w:val="Heading2"/>
      </w:pPr>
      <w:r>
        <w:t xml:space="preserve">7.2 Credit Cycle Positioning</w:t>
      </w:r>
    </w:p>
    <w:p>
      <w:pPr>
        <w:spacing w:after="140"/>
      </w:pPr>
      <w:r>
        <w:t xml:space="preserve">The current credit spread environment, characterized by range-bound investment-grade spreads and modestly widening high-yield spreads as described in Section 3, is broadly consistent with a mid-to-late credit cycle environment based on historical patterns, though the desk emphasizes that credit cycles do not follow a fixed timeline and that this characterization should inform, rather than dictate, client positioning discussions.</w:t>
      </w:r>
    </w:p>
    <w:p>
      <w:pPr>
        <w:pStyle w:val="Heading1"/>
      </w:pPr>
      <w:r>
        <w:t xml:space="preserve">8. Desk Conclusion</w:t>
      </w:r>
    </w:p>
    <w:p>
      <w:pPr>
        <w:spacing w:after="140"/>
      </w:pPr>
      <w:r>
        <w:t xml:space="preserve">The desk's central scenario favors a balanced, quality-tilted fixed income allocation with moderate duration. This note is intended to support RM preparation and does not constitute a specific recommendation for any individual client absent a completed suitability check.</w:t>
      </w:r>
    </w:p>
    <w:p>
      <w:pPr>
        <w:pStyle w:val="Heading1"/>
      </w:pPr>
      <w:r>
        <w:t xml:space="preserve">9. Sector-by-Sector Issuer Quality Commentary</w:t>
      </w:r>
    </w:p>
    <w:p>
      <w:pPr>
        <w:spacing w:after="140"/>
      </w:pPr>
      <w:r>
        <w:t xml:space="preserve">The following section provides additional granular commentary on issuer quality trends within each major fixed income sector covered in this note, intended to support more detailed RM conversations with sophisticated or institutional clients who may ask follow-up questions beyond the headline sector views in Section 4.</w:t>
      </w:r>
    </w:p>
    <w:p>
      <w:pPr>
        <w:pStyle w:val="Heading2"/>
      </w:pPr>
      <w:r>
        <w:t xml:space="preserve">9.1 Financial Sector Issuers</w:t>
      </w:r>
    </w:p>
    <w:p>
      <w:pPr>
        <w:spacing w:after="140"/>
      </w:pPr>
      <w:r>
        <w:t xml:space="preserve">Financial sector corporate bond issuers have generally continued to demonstrate improving balance sheet metrics over the trailing several years, reflecting both regulatory capital requirements that have driven structurally higher capital buffers across the industry and generally disciplined risk management practices following lessons learned from prior credit cycles. The desk continues to view large, diversified financial institutions as offering an attractive combination of credit quality and spread within the investment-grade corporate sleeve, though the desk notes that financial sector bonds can exhibit elevated sensitivity to broader financial market stress events given the sector's central role in market functioning, a dynamic that differentiates financial sector credit risk from more idiosyncratic, company-specific risk factors relevant to other sectors.</w:t>
      </w:r>
    </w:p>
    <w:p>
      <w:pPr>
        <w:pStyle w:val="Heading2"/>
      </w:pPr>
      <w:r>
        <w:t xml:space="preserve">9.2 Industrial Sector Issuers</w:t>
      </w:r>
    </w:p>
    <w:p>
      <w:pPr>
        <w:spacing w:after="140"/>
      </w:pPr>
      <w:r>
        <w:t xml:space="preserve">Industrial sector issuers present a more heterogeneous credit quality picture than the financial sector, reflecting the sector's broad span from defensive, non-cyclical industrial sub-segments to more cyclical, economically sensitive sub-segments. The desk's security selection process places particular emphasis on understanding where a given industrial issuer sits along this cyclicality spectrum, since issuers in more cyclical sub-segments may exhibit credit metrics that look attractive during favorable economic conditions but could deteriorate more rapidly than financial or utility sector issuers during a broader economic slowdown.</w:t>
      </w:r>
    </w:p>
    <w:p>
      <w:pPr>
        <w:pStyle w:val="Heading2"/>
      </w:pPr>
      <w:r>
        <w:t xml:space="preserve">9.3 Utility Sector Issuers</w:t>
      </w:r>
    </w:p>
    <w:p>
      <w:pPr>
        <w:spacing w:after="140"/>
      </w:pPr>
      <w:r>
        <w:t xml:space="preserve">Utility sector issuers have historically represented a core holding within the desk's investment-grade corporate allocation, reflecting the sector's typically stable, regulated revenue streams and lower correlation to broader economic cycles relative to most other corporate sectors. The desk notes an evolving consideration within the utility sector relating to capital expenditure requirements associated with grid infrastructure upgrades and the broader energy transition referenced in the Sector Deep Dive research note (Document RN-002, Section 9), which may affect individual utility issuers' leverage trajectories over the medium term depending on regulatory cost recovery mechanisms in their specific operating jurisdictions.</w:t>
      </w:r>
    </w:p>
    <w:p>
      <w:pPr>
        <w:pStyle w:val="Heading2"/>
      </w:pPr>
      <w:r>
        <w:t xml:space="preserve">9.4 Consumer Staples and Healthcare Issuers</w:t>
      </w:r>
    </w:p>
    <w:p>
      <w:pPr>
        <w:spacing w:after="140"/>
      </w:pPr>
      <w:r>
        <w:t xml:space="preserve">Consumer staples and healthcare sector issuers round out the desk's preferred investment-grade corporate exposure, reflecting these sectors' generally defensive demand characteristics and historically lower earnings volatility relative to more cyclical sectors. The desk notes that individual issuer selection within these sectors still requires careful attention to company-specific factors such as competitive positioning and capital allocation discipline, since sector-level defensive characteristics do not eliminate the importance of fundamental credit analysis at the individual issuer level.</w:t>
      </w:r>
    </w:p>
    <w:p>
      <w:pPr>
        <w:pStyle w:val="Heading1"/>
      </w:pPr>
      <w:r>
        <w:t xml:space="preserve">10. Liquidity Conditions and Market Functioning</w:t>
      </w:r>
    </w:p>
    <w:p>
      <w:pPr>
        <w:spacing w:after="140"/>
      </w:pPr>
      <w:r>
        <w:t xml:space="preserve">Beyond the credit spread and rate environment discussion in Sections 2 and 3, the desk separately monitors broader fixed income market liquidity conditions, which can affect both the cost of executing fixed income transactions and the reliability of pricing during periods of market stress.</w:t>
      </w:r>
    </w:p>
    <w:p>
      <w:pPr>
        <w:pStyle w:val="Heading2"/>
      </w:pPr>
      <w:r>
        <w:t xml:space="preserve">10.1 Primary Market Conditions</w:t>
      </w:r>
    </w:p>
    <w:p>
      <w:pPr>
        <w:spacing w:after="140"/>
      </w:pPr>
      <w:r>
        <w:t xml:space="preserve">New issuance activity across both government and corporate fixed income markets has remained broadly consistent with seasonal historical patterns, with no unusual disruption to primary market access observed for investment-grade issuers. The desk monitors new issue concession levels — the incremental yield typically offered by new issuance relative to existing comparable bonds — as a useful indicator of underlying investor demand and market receptivity to new supply.</w:t>
      </w:r>
    </w:p>
    <w:p>
      <w:pPr>
        <w:pStyle w:val="Heading2"/>
      </w:pPr>
      <w:r>
        <w:t xml:space="preserve">10.2 Secondary Market Conditions</w:t>
      </w:r>
    </w:p>
    <w:p>
      <w:pPr>
        <w:spacing w:after="140"/>
      </w:pPr>
      <w:r>
        <w:t xml:space="preserve">Secondary market bid-ask spreads for investment-grade corporate bonds have remained within normal historical ranges, reflecting generally orderly market functioning. The desk notes that secondary market liquidity for fixed income securities, particularly for less frequently traded issues, can vary meaningfully from the more continuous liquidity associated with major equity markets, a consideration relevant to RM conversations with clients who may be more familiar with equity market liquidity dynamics and could benefit from a clear explanation of how fixed income market structure differs.</w:t>
      </w:r>
    </w:p>
    <w:p>
      <w:pPr>
        <w:pStyle w:val="Heading1"/>
      </w:pPr>
      <w:r>
        <w:t xml:space="preserve">11. Frequently Asked Client Questions (RM Reference)</w:t>
      </w:r>
    </w:p>
    <w:p>
      <w:pPr>
        <w:spacing w:after="140"/>
      </w:pPr>
      <w:r>
        <w:t xml:space="preserve">Q: “Why not just buy the longest-dated bonds for the highest yield?” — A: RMs should explain that longer-dated bonds carry materially higher interest rate sensitivity, meaning their value can fluctuate more significantly with changes in rates, and that the desk's currently preferred maturity range, described in Section 5.1, reflects a balance between yield capture and rate risk management appropriate to most client risk profiles.</w:t>
      </w:r>
    </w:p>
    <w:p>
      <w:pPr>
        <w:spacing w:after="140"/>
      </w:pPr>
      <w:r>
        <w:t xml:space="preserve">Q: “Is now a good time to lock in current yields?” — A: RMs should avoid presenting this as a simple yes/no market-timing question; instead, RMs should frame the conversation around the client's specific time horizon and liquidity needs, using the maturity bucket framework in Section 5.1 to identify an appropriate allocation consistent with the client's documented risk profile, rather than attempting to time the rate cycle.</w:t>
      </w:r>
    </w:p>
    <w:p>
      <w:pPr>
        <w:spacing w:after="140"/>
      </w:pPr>
      <w:r>
        <w:t xml:space="preserve">Q: “What's the difference between the bond ladder and just buying a bond fund?” — A: RMs should explain that a bond ladder, as described in Document PG-004, provides more granular control over individual maturity dates, which can be useful for matching specific future cash flow needs, while a diversified bond fund such as HCIF offers professional active management and broader diversification across issuers, which may be preferable for clients who do not have a specific maturity-matching objective.</w:t>
      </w:r>
    </w:p>
    <w:p>
      <w:pPr>
        <w:spacing w:after="140"/>
      </w:pPr>
      <w:r>
        <w:t xml:space="preserve">Q: “How worried should I be about a recession affecting my bond holdings?” — A: RMs should explain that high-quality fixed income, particularly government and investment-grade corporate bonds, has historically tended to perform relatively well during economic slowdowns as investors seek safety and central banks often respond with accommodative policy, though RMs should avoid presenting this as a guarantee and should reference the credit quality commentary in Sections 3 and 9 to explain why issuer selection still matters even within a generally defensive asset class.</w:t>
      </w:r>
    </w:p>
    <w:p>
      <w:pPr>
        <w:spacing w:after="140"/>
      </w:pPr>
      <w:r>
        <w:t xml:space="preserve">Q: “Why does the fund hold mortgage-backed securities instead of just government bonds?” — A: RMs should reference the securitized products detail in Section 4.2, explaining that agency mortgage-backed securities offer attractive carry relative to comparable-duration government bonds while maintaining high credit quality given their government backing, representing a diversification benefit within the conservative segment of the fixed income allocation.</w:t>
      </w:r>
    </w:p>
    <w:p>
      <w:pPr>
        <w:pStyle w:val="Heading1"/>
      </w:pPr>
      <w:r>
        <w:t xml:space="preserve">12. Illustrative Scenario Analysis (Qualitative)</w:t>
      </w:r>
    </w:p>
    <w:p>
      <w:pPr>
        <w:spacing w:after="140"/>
      </w:pPr>
      <w:r>
        <w:t xml:space="preserve">The following section provides qualitative scenario framing to support RM client conversations about how fixed income positioning might be expected to behave under different illustrative macroeconomic environments. These are qualitative directional descriptions only, not quantitative forecasts, and must not be presented to clients as predictions of specific returns.</w:t>
      </w:r>
    </w:p>
    <w:p>
      <w:pPr>
        <w:pStyle w:val="Heading2"/>
      </w:pPr>
      <w:r>
        <w:t xml:space="preserve">12.1 Illustrative Scenario: Continued Gradual Normalization</w:t>
      </w:r>
    </w:p>
    <w:p>
      <w:pPr>
        <w:spacing w:after="140"/>
      </w:pPr>
      <w:r>
        <w:t xml:space="preserve">Under a scenario of continued gradual normalization in rates and inflation consistent with the desk's central view described in Section 1, the desk would generally expect fixed income to provide steady income generation with relatively modest price volatility, consistent with the moderate-duration positioning bias described throughout this note.</w:t>
      </w:r>
    </w:p>
    <w:p>
      <w:pPr>
        <w:pStyle w:val="Heading2"/>
      </w:pPr>
      <w:r>
        <w:t xml:space="preserve">12.2 Illustrative Scenario: Renewed Inflation Pressure</w:t>
      </w:r>
    </w:p>
    <w:p>
      <w:pPr>
        <w:spacing w:after="140"/>
      </w:pPr>
      <w:r>
        <w:t xml:space="preserve">Under a scenario of renewed inflation pressure requiring a more aggressive policy response than currently anticipated, the desk would generally expect shorter-duration fixed income positioning to outperform longer-duration positioning, reinforcing the rationale for the desk's currently preferred maturity range described in Section 5.1, while also potentially creating opportunities to reinvest at higher yields over time as shorter-maturity holdings mature.</w:t>
      </w:r>
    </w:p>
    <w:p>
      <w:pPr>
        <w:pStyle w:val="Heading2"/>
      </w:pPr>
      <w:r>
        <w:t xml:space="preserve">12.3 Illustrative Scenario: Economic Slowdown</w:t>
      </w:r>
    </w:p>
    <w:p>
      <w:pPr>
        <w:spacing w:after="140"/>
      </w:pPr>
      <w:r>
        <w:t xml:space="preserve">Under a scenario of a more pronounced economic slowdown than currently anticipated, the desk would generally expect high-quality government and investment-grade fixed income to benefit from a flight-to-quality dynamic and potential central bank policy accommodation, while lower-quality credit segments, particularly within high-yield, would likely face increased spread widening pressure reflecting deteriorating credit fundamentals among more economically sensitive issuers, reinforcing the desk's cautious stance on broad high-yield beta exposure described in Section 3.</w:t>
      </w:r>
    </w:p>
    <w:p>
      <w:pPr>
        <w:pStyle w:val="Heading1"/>
      </w:pPr>
      <w:r>
        <w:t xml:space="preserve">13. Glossary of Key Fixed Income Terms</w:t>
      </w:r>
    </w:p>
    <w:p>
      <w:pPr>
        <w:spacing w:after="140"/>
      </w:pPr>
      <w:r>
        <w:t xml:space="preserve">Effective Duration: A measure of a bond or bond portfolio's price sensitivity to changes in interest rates, expressed in years; higher effective duration indicates greater price sensitivity to rate changes.</w:t>
      </w:r>
    </w:p>
    <w:p>
      <w:pPr>
        <w:spacing w:after="140"/>
      </w:pPr>
      <w:r>
        <w:t xml:space="preserve">Credit Spread: The additional yield offered by a corporate or other non-government bond relative to a comparable-maturity government bond, compensating investors for taking on additional credit risk.</w:t>
      </w:r>
    </w:p>
    <w:p>
      <w:pPr>
        <w:spacing w:after="140"/>
      </w:pPr>
      <w:r>
        <w:t xml:space="preserve">Curve Shape (Yield Curve): The relationship between bond yields and their respective maturities at a given point in time, which can be upward-sloping (normal), flat, or inverted, with each shape carrying different implications for market expectations.</w:t>
      </w:r>
    </w:p>
    <w:p>
      <w:pPr>
        <w:spacing w:after="140"/>
      </w:pPr>
      <w:r>
        <w:t xml:space="preserve">New Issue Concession: The incremental yield typically offered on newly issued bonds relative to existing comparable bonds, used as an indicator of primary market demand conditions.</w:t>
      </w:r>
    </w:p>
    <w:p>
      <w:pPr>
        <w:spacing w:after="140"/>
      </w:pPr>
      <w:r>
        <w:t xml:space="preserve">Prepayment Risk: The risk, specific to mortgage-backed securities, that underlying borrowers repay their mortgages faster or slower than modeled, affecting the security's effective duration and cash flow profile.</w:t>
      </w:r>
    </w:p>
    <w:p>
      <w:pPr>
        <w:spacing w:after="140"/>
      </w:pPr>
      <w:r>
        <w:t xml:space="preserve">Flight-to-Quality: A market dynamic in which investors shift capital toward higher-quality, typically government, fixed income securities during periods of economic or market stress, generally supporting prices for those securities.</w:t>
      </w:r>
    </w:p>
    <w:p>
      <w:pPr>
        <w:pStyle w:val="Heading1"/>
      </w:pPr>
      <w:r>
        <w:t xml:space="preserve">14. Integration with Broader Multi-Asset Positioning</w:t>
      </w:r>
    </w:p>
    <w:p>
      <w:pPr>
        <w:spacing w:after="140"/>
      </w:pPr>
      <w:r>
        <w:t xml:space="preserve">Fixed income positioning does not exist in isolation from a client's broader portfolio, and RMs should consider the interaction between fixed income recommendations described in this note and the equity-oriented positioning discussed in the Q2 2026 Global Market Outlook (Document RN-001) and the Sector Deep Dive research note (Document RN-002).</w:t>
      </w:r>
    </w:p>
    <w:p>
      <w:pPr>
        <w:pStyle w:val="Heading2"/>
      </w:pPr>
      <w:r>
        <w:t xml:space="preserve">14.1 Fixed Income as Portfolio Ballast</w:t>
      </w:r>
    </w:p>
    <w:p>
      <w:pPr>
        <w:spacing w:after="140"/>
      </w:pPr>
      <w:r>
        <w:t xml:space="preserve">For clients holding multi-asset funds such as the Horizon Balanced Growth Fund (HBGF), the fixed income sleeve embedded within that fund, described in the HBGF product guide (Document PG-001, Section 3.4), already provides a degree of fixed income exposure that should be considered alongside any direct fixed income holdings when assessing the client's overall portfolio duration and credit quality profile. RMs should avoid treating direct fixed income recommendations, such as bond ladder allocations, as fully additive without first accounting for embedded fixed income exposure within any multi-asset fund holdings.</w:t>
      </w:r>
    </w:p>
    <w:p>
      <w:pPr>
        <w:pStyle w:val="Heading2"/>
      </w:pPr>
      <w:r>
        <w:t xml:space="preserve">14.2 Rebalancing Considerations</w:t>
      </w:r>
    </w:p>
    <w:p>
      <w:pPr>
        <w:spacing w:after="140"/>
      </w:pPr>
      <w:r>
        <w:t xml:space="preserve">Periods of significant relative performance divergence between equity and fixed income markets, such as the Q1 2026 volatility episode referenced throughout this note, often create rebalancing opportunities or needs for clients whose strategic asset allocation has drifted from target weights. RMs should view fixed income discussions prompted by this note as a natural opportunity to revisit a client's overall strategic asset allocation, not solely as a standalone fixed income conversation disconnected from the client's broader portfolio strategy.</w:t>
      </w:r>
    </w:p>
    <w:p>
      <w:pPr>
        <w:pStyle w:val="Heading1"/>
      </w:pPr>
      <w:r>
        <w:t xml:space="preserve">15. RM Action Checklist for Fixed Income Client Conversations</w:t>
      </w:r>
    </w:p>
    <w:p>
      <w:pPr>
        <w:spacing w:after="140"/>
      </w:pPr>
      <w:r>
        <w:t xml:space="preserve">To support consistent application of this research note's findings in client conversations, the desk provides the following structured checklist for RMs preparing a fixed income-focused client discussion.</w:t>
      </w:r>
    </w:p>
    <w:p>
      <w:pPr>
        <w:pStyle w:val="ListParagraph"/>
        <w:numPr>
          <w:ilvl w:val="0"/>
          <w:numId w:val="2"/>
        </w:numPr>
        <w:spacing w:after="80"/>
      </w:pPr>
      <w:r>
        <w:t xml:space="preserve">Confirm the client's current risk profile tier and time horizon are on file and current, per the Client Risk Profiling Methodology.</w:t>
      </w:r>
    </w:p>
    <w:p>
      <w:pPr>
        <w:pStyle w:val="ListParagraph"/>
        <w:numPr>
          <w:ilvl w:val="0"/>
          <w:numId w:val="2"/>
        </w:numPr>
        <w:spacing w:after="80"/>
      </w:pPr>
      <w:r>
        <w:t xml:space="preserve">Identify the client's existing fixed income holdings and calculate current aggregate duration and credit quality exposure.</w:t>
      </w:r>
    </w:p>
    <w:p>
      <w:pPr>
        <w:pStyle w:val="ListParagraph"/>
        <w:numPr>
          <w:ilvl w:val="0"/>
          <w:numId w:val="2"/>
        </w:numPr>
        <w:spacing w:after="80"/>
      </w:pPr>
      <w:r>
        <w:t xml:space="preserve">Reference the maturity bucket framework in Section 5.1 to identify an appropriate target range for any proposed new allocation.</w:t>
      </w:r>
    </w:p>
    <w:p>
      <w:pPr>
        <w:pStyle w:val="ListParagraph"/>
        <w:numPr>
          <w:ilvl w:val="0"/>
          <w:numId w:val="2"/>
        </w:numPr>
        <w:spacing w:after="80"/>
      </w:pPr>
      <w:r>
        <w:t xml:space="preserve">Cross-check any proposed structured product discussion against the suitability gates in the Restricted List (Document CMP-002, Rule-003), per the distinction described in Section 5.2.</w:t>
      </w:r>
    </w:p>
    <w:p>
      <w:pPr>
        <w:pStyle w:val="ListParagraph"/>
        <w:numPr>
          <w:ilvl w:val="0"/>
          <w:numId w:val="2"/>
        </w:numPr>
        <w:spacing w:after="80"/>
      </w:pPr>
      <w:r>
        <w:t xml:space="preserve">Ensure any client-facing discussion of stress scenarios uses only the qualitative framing described in Section 12, avoiding presentation of specific quantitative return forecasts.</w:t>
      </w:r>
    </w:p>
    <w:p>
      <w:pPr>
        <w:pStyle w:val="ListParagraph"/>
        <w:numPr>
          <w:ilvl w:val="0"/>
          <w:numId w:val="2"/>
        </w:numPr>
        <w:spacing w:after="80"/>
      </w:pPr>
      <w:r>
        <w:t xml:space="preserve">Document the conversation and any resulting recommendation in the client file, including citation to this research note where relevant, consistent with the firm's audit and logging requirements.</w:t>
      </w:r>
    </w:p>
    <w:p>
      <w:pPr>
        <w:pStyle w:val="Heading1"/>
      </w:pPr>
      <w:r>
        <w:t xml:space="preserve">16. Document Control and Revision History</w:t>
      </w:r>
    </w:p>
    <w:p>
      <w:pPr>
        <w:spacing w:after="140"/>
      </w:pPr>
      <w:r>
        <w:t xml:space="preserve">Version 1.0 — 2026-04-22 — Initial Q2 2026 publication</w:t>
      </w:r>
    </w:p>
    <w:p>
      <w:pPr>
        <w:spacing w:after="140"/>
      </w:pPr>
      <w:r>
        <w:t xml:space="preserve">Version 2.0 — 2026-06-10 — Expanded mid-year edition; added maturity bucket framework, sub-sector detail, historical context section, RM-facing FAQ, scenario analysis, glossary, and action checklist</w:t>
      </w:r>
    </w:p>
    <w:p>
      <w:pPr>
        <w:spacing w:after="140"/>
      </w:pPr>
      <w:r>
        <w:t xml:space="preserve">This document is reviewed and refreshed on a quarterly cycle by the Horizon Wealth Research Desk, with interim updates issued following material market developments as warranted.</w:t>
      </w:r>
    </w:p>
    <w:p/>
    <w:p>
      <w:r>
        <w:rPr>
          <w:i/>
          <w:iCs/>
          <w:color w:val="777777"/>
          <w:sz w:val="18"/>
          <w:szCs w:val="18"/>
        </w:rPr>
        <w:t xml:space="preserve">DISCLAIMER: This research note reflects the views of the Horizon Wealth Research Desk as of the publication date and is subject to change without notice. It does not constitute personalized investment advice.</w:t>
      </w:r>
    </w:p>
    <w:p>
      <w:pPr>
        <w:pStyle w:val="Heading1"/>
      </w:pPr>
      <w:r>
        <w:t xml:space="preserve">Appendix A: Sector Rotation Considerations Within Fixed Income</w:t>
      </w:r>
    </w:p>
    <w:p>
      <w:pPr>
        <w:spacing w:after="140"/>
      </w:pPr>
      <w:r>
        <w:t xml:space="preserve">Beyond the static sector allocation guidance provided throughout this note, the desk periodically evaluates tactical sector rotation opportunities within the fixed income universe, informed by relative valuation across sectors, credit cycle positioning, and structural supply-demand dynamics specific to each sector.</w:t>
      </w:r>
    </w:p>
    <w:p>
      <w:pPr>
        <w:spacing w:after="140"/>
      </w:pPr>
      <w:r>
        <w:t xml:space="preserve">The desk's tactical sector rotation framework considers several inputs in combination rather than relying on any single signal in isolation. Relative spread levels across sectors are assessed against their own historical ranges, since absolute spread comparisons across sectors with different inherent risk characteristics can be misleading without controlling for each sector's typical spread range through a full credit cycle. Issuance supply trends are monitored for early signals of potential technical pressure on a given sector's spreads, independent of underlying fundamental credit quality. Finally, the desk's fundamental credit outlook for each sector, informed by the independent credit research function described in Section 3, provides the foundational view against which relative valuation signals are weighed.</w:t>
      </w:r>
    </w:p>
    <w:p>
      <w:pPr>
        <w:spacing w:after="140"/>
      </w:pPr>
      <w:r>
        <w:t xml:space="preserve">RMs should understand that tactical sector rotation within the fixed income sleeve of multi-asset and dedicated fixed income funds is implemented at the portfolio management level, within the strategic bands described in each fund's product guide, and does not require or imply any change to a client's individual security holdings in a self-directed account. Clients holding fixed income exposure through funds such as HCIF benefit from this tactical rotation capability as part of the fund's active management value proposition, a distinction RMs may find useful when explaining the relative advantages of fund-based fixed income exposure compared to a static, self-directed bond ladder for clients without a specific maturity-matching objective.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3D"/>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2026-06-20T21:55:10.009Z</dcterms:created>
  <dcterms:modified xsi:type="dcterms:W3CDTF">2026-06-20T21:55:10.010Z</dcterms:modified>
</cp:coreProperties>
</file>

<file path=docProps/custom.xml><?xml version="1.0" encoding="utf-8"?>
<Properties xmlns="http://schemas.openxmlformats.org/officeDocument/2006/custom-properties" xmlns:vt="http://schemas.openxmlformats.org/officeDocument/2006/docPropsVTypes"/>
</file>