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b/>
          <w:bCs/>
          <w:color w:val="1F3864"/>
          <w:sz w:val="38"/>
          <w:szCs w:val="38"/>
        </w:rPr>
        <w:t xml:space="preserve">Manuscript Framing — Two Drafts to Compare</w:t>
      </w:r>
    </w:p>
    <w:p>
      <w:pPr>
        <w:pBdr>
          <w:bottom w:val="single" w:color="2E75B6" w:sz="12" w:space="4"/>
        </w:pBdr>
        <w:spacing w:after="200"/>
      </w:pPr>
      <w:r>
        <w:rPr>
          <w:sz w:val="2"/>
          <w:szCs w:val="2"/>
        </w:rPr>
        <w:t xml:space="preserve"/>
      </w:r>
    </w:p>
    <w:p>
      <w:pPr>
        <w:spacing w:after="140" w:line="288"/>
      </w:pPr>
      <w:r>
        <w:rPr>
          <w:i/>
          <w:iCs/>
        </w:rPr>
        <w:t xml:space="preserve">Below are two complete title + abstract + introduction drafts for the same body of work. They differ only in framing — what the paper claims as its central contribution. The Methods, Experiments, and Results sections are largely identical between them. Read both, then tell me which identity to build the full paper around (or which elements to combine).</w:t>
      </w:r>
    </w:p>
    <w:p>
      <w:r>
        <w:br w:type="page"/>
      </w:r>
    </w:p>
    <w:p>
      <w:pPr>
        <w:pStyle w:val="Heading1"/>
      </w:pPr>
      <w:r>
        <w:t xml:space="preserve">Option A — The Diagnostic / Methods Paper</w:t>
      </w:r>
    </w:p>
    <w:p>
      <w:pPr>
        <w:pBdr>
          <w:left w:val="single" w:color="2E75B6" w:sz="18" w:space="8"/>
        </w:pBdr>
        <w:shd w:fill="EAF3EC" w:val="clear"/>
        <w:spacing w:after="120" w:before="120"/>
      </w:pPr>
      <w:r>
        <w:rPr>
          <w:b/>
          <w:bCs/>
          <w:color w:val="1F3864"/>
          <w:sz w:val="22"/>
          <w:szCs w:val="22"/>
        </w:rPr>
        <w:t xml:space="preserve">Framing: the contribution is the method (gate-weight auditing) and the controlled collapse→recovery→limits story. This is what the evidence most strongly supports.</w:t>
      </w:r>
    </w:p>
    <w:p>
      <w:pPr>
        <w:pStyle w:val="Heading2"/>
      </w:pPr>
      <w:r>
        <w:t xml:space="preserve">Working title</w:t>
      </w:r>
    </w:p>
    <w:p>
      <w:pPr>
        <w:spacing w:after="140" w:line="288"/>
      </w:pPr>
      <w:r>
        <w:rPr>
          <w:b/>
          <w:bCs/>
        </w:rPr>
        <w:t xml:space="preserve">When Multimodal Models Hide a Dead Modality: Gate-Weight Auditing and the Recovery of a Collapsed Imaging Branch in Tri-Modal Alzheimer’s Diagnosis</w:t>
      </w:r>
    </w:p>
    <w:p>
      <w:pPr>
        <w:spacing w:after="140" w:line="288"/>
      </w:pPr>
      <w:r>
        <w:rPr>
          <w:i/>
          <w:iCs/>
          <w:sz w:val="20"/>
          <w:szCs w:val="20"/>
        </w:rPr>
        <w:t xml:space="preserve">Alternative: “Modality Present is Not Modality Used: A Gate-Auditing Framework for Detecting Silent Branch Collapse in Small-Cohort Multimodal Medical Models.”</w:t>
      </w:r>
    </w:p>
    <w:p>
      <w:pPr>
        <w:pStyle w:val="Heading2"/>
      </w:pPr>
      <w:r>
        <w:t xml:space="preserve">Abstract</w:t>
      </w:r>
    </w:p>
    <w:p>
      <w:pPr>
        <w:spacing w:after="140" w:line="288"/>
      </w:pPr>
      <w:r>
        <w:t xml:space="preserve">Multimodal deep learning is widely assumed to combine complementary signals, yet aggregate accuracy can conceal a modality that contributes nothing. We present a tri-modal framework for Alzheimer’s disease classification (structural MRI, clinical cognitive scores, and biomarker sequences; ADNI, N=187, three classes) that attains 89.7% test accuracy — but a gate-weight audit reveals the imaging branch is entirely inert, with the learned fusion gate assigning it zero weight and removing the MRI input leaving every metric unchanged. We trace this silent collapse to two compounding causes: degenerate MRI preprocessing (whole-head volumes with unharmonized intensities) and a self-supervised encoder that collapsed to constant features. Through eight controlled conditions evaluated with an identical diagnostic (mean gate weights, leave-one-modality-out ablation, feature-similarity, and a linear probe), we show that rebuilding preprocessing (skull-stripping, affine registration, brain-masked normalization) revives the imaging branch — raising accuracy to 93.1% and producing the first configuration in which MRI measurably contributes. We further map the narrow regime in which the branch is viable: naive and fine-tuned encoders collapse or overfit at this sample size, and in-domain self-supervised pretraining learns more class-discriminative features (linear-probe accuracy 0.41 vs 0.28) yet cannot be reliably exploited through a trained fusion model, while large-scale cross-modality transfer can. Our central contribution is methodological: gate-weight auditing distinguishes “modality present” from “modality used,” a distinction invisible to accuracy, and is a necessary check for small-cohort multimodal medical models.</w:t>
      </w:r>
    </w:p>
    <w:p>
      <w:pPr>
        <w:pStyle w:val="Heading2"/>
      </w:pPr>
      <w:r>
        <w:t xml:space="preserve">Introduction (draft)</w:t>
      </w:r>
    </w:p>
    <w:p>
      <w:pPr>
        <w:spacing w:after="140" w:line="288"/>
      </w:pPr>
      <w:r>
        <w:t xml:space="preserve">Combining heterogeneous data sources — imaging, clinical measurements, longitudinal biomarkers — is a central strategy in computational diagnosis, and Alzheimer’s disease (AD) is a canonical testbed: structural atrophy, cognitive decline, and fluid biomarkers each carry partial signal. The implicit promise of multimodal fusion is synergy: the model learns to weight and combine modalities so the whole exceeds any part. In practice, this promise is rarely audited. A multimodal model is typically judged by its aggregate accuracy, and if that number is high, the architecture is assumed to be working as intended.</w:t>
      </w:r>
    </w:p>
    <w:p>
      <w:pPr>
        <w:spacing w:after="140" w:line="288"/>
      </w:pPr>
      <w:r>
        <w:t xml:space="preserve">We show that this assumption can fail completely and silently. Building a tri-modal AD classifier with a self-supervised 3D Swin Transformer for MRI, recurrent encoders for clinical and biomarker sequences, and an adaptive gated-fusion head, we obtained competitive accuracy (89.7%). Yet inspecting the learned fusion gate revealed that the imaging branch received zero weight: the model had quietly become a clinical-feature classifier wearing a multimodal architecture. Removing the MRI input entirely did not change a single test metric. The headline number was real, but the stated mechanism was fiction.</w:t>
      </w:r>
    </w:p>
    <w:p>
      <w:pPr>
        <w:spacing w:after="140" w:line="288"/>
      </w:pPr>
      <w:r>
        <w:t xml:space="preserve">This observation motivates our contribution. We argue that for small-cohort multimodal medical models — the common regime in neuroimaging, where N is often under a few hundred — aggregate accuracy is an insufficient and potentially misleading measure, and that auditing the learned fusion weights is a necessary diagnostic. Using gate-weight inspection together with leave-one-modality-out ablation, we (i) detect the silent collapse, (ii) trace it to specific, correctable causes in preprocessing and self-supervision, and (iii) demonstrate recovery, raising accuracy to 93.1% with an imaging branch that genuinely contributes.</w:t>
      </w:r>
    </w:p>
    <w:p>
      <w:pPr>
        <w:spacing w:after="140" w:line="288"/>
      </w:pPr>
      <w:r>
        <w:t xml:space="preserve">Across eight controlled conditions, we further chart the narrow operating regime in which the imaging branch is viable at this sample size: it collapses when under-constrained (training from scratch on degenerate inputs), overfits when over-free (fine-tuning a large encoder on ~130 volumes), and — most instructively — even a well-behaved in-domain self-supervised encoder that learns more class-discriminative features than large-scale transfer cannot translate those features into a robust multimodal contribution at N=187. We frame these not as failures but as a map: a contribution to how the community should build and, crucially, verify small-cohort multimodal systems.</w:t>
      </w:r>
    </w:p>
    <w:p>
      <w:pPr>
        <w:spacing w:after="140" w:line="288"/>
      </w:pPr>
      <w:r>
        <w:t xml:space="preserve">Contributions: (1) a gate-weight auditing protocol that distinguishes modality presence from modality use, demonstrated to catch a silent branch collapse that accuracy alone endorses; (2) a controlled eight-condition study isolating preprocessing and encoder-training as the causes of collapse and the conditions for recovery; (3) an honest characterization of the limits of in-domain self-supervision versus large-scale transfer for imaging at small N, with all artifacts and diagnostics released for reproducibility.</w:t>
      </w:r>
    </w:p>
    <w:p>
      <w:r>
        <w:br w:type="page"/>
      </w:r>
    </w:p>
    <w:p>
      <w:pPr>
        <w:pStyle w:val="Heading1"/>
      </w:pPr>
      <w:r>
        <w:t xml:space="preserve">Option B — The Self-Supervised Swin Framework Paper</w:t>
      </w:r>
    </w:p>
    <w:p>
      <w:pPr>
        <w:pBdr>
          <w:left w:val="single" w:color="2E75B6" w:sz="18" w:space="8"/>
        </w:pBdr>
        <w:shd w:fill="FBF3E0" w:val="clear"/>
        <w:spacing w:after="120" w:before="120"/>
      </w:pPr>
      <w:r>
        <w:rPr>
          <w:b/>
          <w:bCs/>
          <w:color w:val="1F3864"/>
          <w:sz w:val="22"/>
          <w:szCs w:val="22"/>
        </w:rPr>
        <w:t xml:space="preserve">Framing: keeps the original thesis identity (self-supervised 3D Swin + LSTM + gated fusion), with the SSL comparison and the recovery story as the substance. Closer to your title; the honest version reports that in-domain SSL did not win.</w:t>
      </w:r>
    </w:p>
    <w:p>
      <w:pPr>
        <w:pStyle w:val="Heading2"/>
      </w:pPr>
      <w:r>
        <w:t xml:space="preserve">Working title</w:t>
      </w:r>
    </w:p>
    <w:p>
      <w:pPr>
        <w:spacing w:after="140" w:line="288"/>
      </w:pPr>
      <w:r>
        <w:rPr>
          <w:b/>
          <w:bCs/>
        </w:rPr>
        <w:t xml:space="preserve">A Tri-Modal Framework for Alzheimer’s Diagnosis with a Self-Supervised 3D Swin Transformer, Recurrent Clinical Encoders, and Gated Fusion: What Works, What Collapses, and Why</w:t>
      </w:r>
    </w:p>
    <w:p>
      <w:pPr>
        <w:spacing w:after="140" w:line="288"/>
      </w:pPr>
      <w:r>
        <w:rPr>
          <w:i/>
          <w:iCs/>
          <w:sz w:val="20"/>
          <w:szCs w:val="20"/>
        </w:rPr>
        <w:t xml:space="preserve">Alternative: “Self-Supervised 3D Swin Transformers for Tri-Modal Alzheimer’s Diagnosis under Limited Data: A Controlled Study of Pretraining, Preprocessing, and Fusion.”</w:t>
      </w:r>
    </w:p>
    <w:p>
      <w:pPr>
        <w:pStyle w:val="Heading2"/>
      </w:pPr>
      <w:r>
        <w:t xml:space="preserve">Abstract</w:t>
      </w:r>
    </w:p>
    <w:p>
      <w:pPr>
        <w:spacing w:after="140" w:line="288"/>
      </w:pPr>
      <w:r>
        <w:t xml:space="preserve">We study a tri-modal framework for Alzheimer’s disease classification that fuses a 3D Swin Transformer over structural MRI with recurrent encoders for clinical cognitive scores and biomarker sequences via adaptive gated fusion (ADNI, N=187, three classes). Motivated by the data-hungry nature of vision transformers, we investigate self-supervised pretraining of the imaging encoder and its interaction with preprocessing and fusion under limited data. We find that the imaging branch is highly sensitive to its training regime: a from-scratch self-supervised encoder collapses to constant features, and naive preprocessing (whole-head volumes, unharmonized intensities) prevents any encoder from learning. Rebuilding preprocessing (skull-stripping, affine registration, brain-masked normalization) and using a frozen encoder pretrained on a large external corpus yields the best configuration, improving accuracy from 89.7% to 93.1% with a genuinely contributing imaging branch. We additionally pretrain the Swin encoder in-domain with two self-supervised objectives equipped with collapse and overfitting defenses (variance-covariance regularization and a corrected masked-autoencoder); both avoid collapse and learn more class-discriminative features than the external encoder (linear-probe accuracy 0.41 vs 0.28), but neither yields a larger multimodal contribution at this sample size. We introduce gate-weight auditing as the diagnostic that makes these distinctions visible, and report the full eight-condition study with released artifacts.</w:t>
      </w:r>
    </w:p>
    <w:p>
      <w:pPr>
        <w:pStyle w:val="Heading2"/>
      </w:pPr>
      <w:r>
        <w:t xml:space="preserve">Introduction (draft)</w:t>
      </w:r>
    </w:p>
    <w:p>
      <w:pPr>
        <w:spacing w:after="140" w:line="288"/>
      </w:pPr>
      <w:r>
        <w:t xml:space="preserve">Alzheimer’s disease diagnosis is inherently multimodal: structural neuroimaging, cognitive assessment, and fluid biomarkers each capture complementary aspects of the disease process. Deep multimodal frameworks that fuse these signals have shown strong performance, and transformer-based imaging encoders — in particular the 3D Swin Transformer — are attractive for capturing hierarchical spatial structure in volumetric MRI. However, vision transformers are notoriously data-hungry, and neuroimaging cohorts are typically small (hundreds, not thousands, of subjects). Self-supervised pretraining is the standard remedy: learning representations without labels to compensate for limited supervision.</w:t>
      </w:r>
    </w:p>
    <w:p>
      <w:pPr>
        <w:spacing w:after="140" w:line="288"/>
      </w:pPr>
      <w:r>
        <w:t xml:space="preserve">This paper presents a tri-modal AD framework — self-supervised 3D Swin Transformer for MRI, recurrent encoders for clinical and biomarker sequences, and adaptive gated fusion — and rigorously investigates whether and how the imaging branch can be made to contribute under limited data. Our investigation is driven by a striking initial observation: a version of the framework achieving 89.7% accuracy was, on inspection of its fusion gate, relying entirely on the non-imaging modalities. The imaging branch had collapsed, and the gate had learned to ignore it — a failure invisible in the accuracy figure.</w:t>
      </w:r>
    </w:p>
    <w:p>
      <w:pPr>
        <w:spacing w:after="140" w:line="288"/>
      </w:pPr>
      <w:r>
        <w:t xml:space="preserve">We use this as the entry point to a controlled study of the three factors that govern the imaging branch: preprocessing, encoder pretraining, and fusion. We show that preprocessing quality determines whether the encoder collapses; that encoder training regime (frozen vs fine-tuned, in-domain vs transferred) determines whether its features are usable; and that the fusion gate, properly audited, reveals which modalities are actually contributing. We pretrain the Swin encoder in-domain with two modern self-supervised objectives — variance-invariance-covariance regularization and a corrected masked autoencoder — each with explicit collapse and overfitting defenses, and compare against large-scale cross-modality transfer.</w:t>
      </w:r>
    </w:p>
    <w:p>
      <w:pPr>
        <w:spacing w:after="140" w:line="288"/>
      </w:pPr>
      <w:r>
        <w:t xml:space="preserve">Our findings are nuanced and, we believe, useful precisely because they are honest about limited data. The best imaging branch comes not from in-domain self-supervision but from a frozen externally-pretrained encoder on properly-preprocessed volumes (93.1% accuracy). In-domain self-supervision succeeds at the representation level — learning more class-discriminative features than transfer — yet does not translate into a larger multimodal contribution at N=187. We frame the narrow regime in which the imaging branch is viable, and offer gate-weight auditing as the tool that makes the distinction between a present and a used modality measurable.</w:t>
      </w:r>
    </w:p>
    <w:p>
      <w:r>
        <w:br w:type="page"/>
      </w:r>
    </w:p>
    <w:p>
      <w:pPr>
        <w:pStyle w:val="Heading1"/>
      </w:pPr>
      <w:r>
        <w:t xml:space="preserve">How to choose</w:t>
      </w:r>
    </w:p>
    <w:p>
      <w:pPr>
        <w:spacing w:after="140" w:line="288"/>
      </w:pPr>
      <w:r>
        <w:t xml:space="preserve">Both are honest and both use all your work. The practical differences:</w:t>
      </w:r>
    </w:p>
    <w:p>
      <w:pPr>
        <w:spacing w:after="140" w:line="288"/>
      </w:pPr>
      <w:r>
        <w:t xml:space="preserve">Option A leads with the method. Its novelty (gate-auditing as a necessary check) is cleaner, more general, and doesn’t depend on any single component “winning.” It travels well to methods-friendly venues (MIDL, MICCAI workshops) and reads as a contribution rather than a post-mortem. The SSL work lives inside it as evidence.</w:t>
      </w:r>
    </w:p>
    <w:p>
      <w:pPr>
        <w:spacing w:after="140" w:line="288"/>
      </w:pPr>
      <w:r>
        <w:t xml:space="preserve">Option B keeps your thesis identity and title lineage, which matters if continuity with your poster/thesis and the “self-supervised Swin” line is important to you or Dr. Cooper. The risk: reviewers may read it as “we proposed SSL and it didn’t win,” so the framing has to be confident that the comparative study is the point — which it legitimately is.</w:t>
      </w:r>
    </w:p>
    <w:p>
      <w:pPr>
        <w:spacing w:after="140" w:line="288"/>
      </w:pPr>
      <w:r>
        <w:rPr>
          <w:b/>
          <w:bCs/>
        </w:rPr>
        <w:t xml:space="preserve">My recommendation: Option A as the spine, but carry Option B’s self-supervised study as a full, prominent section (not a footnote). That keeps the strongest contribution up front while preserving the Swin/SSL identity in the body — you lose nothing and the paper is more defensible. Tell me your preference and I’ll build the full standard paper accordingly.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Framing drafts for selection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E8F0" w:sz="8"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Framing Comparison</dc:title>
  <dc:creator>Manuscript planning</dc:creator>
  <cp:lastModifiedBy>Un-named</cp:lastModifiedBy>
  <cp:revision>1</cp:revision>
  <dcterms:created xsi:type="dcterms:W3CDTF">2026-06-24T05:33:38.269Z</dcterms:created>
  <dcterms:modified xsi:type="dcterms:W3CDTF">2026-06-24T05:33:38.284Z</dcterms:modified>
</cp:coreProperties>
</file>

<file path=docProps/custom.xml><?xml version="1.0" encoding="utf-8"?>
<Properties xmlns="http://schemas.openxmlformats.org/officeDocument/2006/custom-properties" xmlns:vt="http://schemas.openxmlformats.org/officeDocument/2006/docPropsVTypes"/>
</file>