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40" w:type="dxa"/>
        <w:tblLayout w:type="fixed"/>
        <w:tblCellMar>
          <w:left w:w="0" w:type="dxa"/>
          <w:right w:w="0" w:type="dxa"/>
        </w:tblCellMar>
        <w:tblLook w:val="0000" w:firstRow="0" w:lastRow="0" w:firstColumn="0" w:lastColumn="0" w:noHBand="0" w:noVBand="0"/>
      </w:tblPr>
      <w:tblGrid>
        <w:gridCol w:w="10640"/>
      </w:tblGrid>
      <w:tr w:rsidR="00000000" w14:paraId="355A9575" w14:textId="77777777">
        <w:tblPrEx>
          <w:tblCellMar>
            <w:bottom w:w="0" w:type="dxa"/>
          </w:tblCellMar>
        </w:tblPrEx>
        <w:trPr>
          <w:trHeight w:val="8"/>
        </w:trPr>
        <w:tc>
          <w:tcPr>
            <w:tcW w:w="10640" w:type="dxa"/>
            <w:tcBorders>
              <w:top w:val="nil"/>
              <w:left w:val="nil"/>
              <w:bottom w:val="nil"/>
              <w:right w:val="nil"/>
            </w:tcBorders>
            <w:shd w:val="clear" w:color="auto" w:fill="FFFFFF"/>
          </w:tcPr>
          <w:p w14:paraId="38ABE41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67201504" w14:textId="77777777">
        <w:tblPrEx>
          <w:tblCellMar>
            <w:top w:w="58" w:type="dxa"/>
            <w:left w:w="72" w:type="dxa"/>
            <w:bottom w:w="0" w:type="dxa"/>
            <w:right w:w="72" w:type="dxa"/>
          </w:tblCellMar>
        </w:tblPrEx>
        <w:trPr>
          <w:trHeight w:val="200"/>
          <w:tblHeader/>
        </w:trPr>
        <w:tc>
          <w:tcPr>
            <w:tcW w:w="10640" w:type="dxa"/>
            <w:tcBorders>
              <w:top w:val="single" w:sz="12" w:space="0" w:color="D0D0C5"/>
              <w:left w:val="single" w:sz="12" w:space="0" w:color="D0D0C5"/>
              <w:bottom w:val="single" w:sz="12" w:space="0" w:color="D0D0C5"/>
              <w:right w:val="single" w:sz="12" w:space="0" w:color="D0D0C5"/>
            </w:tcBorders>
            <w:shd w:val="clear" w:color="auto" w:fill="003366"/>
          </w:tcPr>
          <w:p w14:paraId="6F248570" w14:textId="77777777" w:rsidR="00000000" w:rsidRDefault="00F35C40">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Customize View</w:t>
            </w:r>
          </w:p>
        </w:tc>
      </w:tr>
      <w:tr w:rsidR="00000000" w14:paraId="466711BD" w14:textId="77777777">
        <w:tblPrEx>
          <w:tblCellMar>
            <w:bottom w:w="0" w:type="dxa"/>
          </w:tblCellMar>
        </w:tblPrEx>
        <w:trPr>
          <w:trHeight w:val="8"/>
        </w:trPr>
        <w:tc>
          <w:tcPr>
            <w:tcW w:w="10640" w:type="dxa"/>
            <w:tcBorders>
              <w:top w:val="nil"/>
              <w:left w:val="nil"/>
              <w:bottom w:val="nil"/>
              <w:right w:val="nil"/>
            </w:tcBorders>
            <w:shd w:val="clear" w:color="auto" w:fill="FFFFFF"/>
          </w:tcPr>
          <w:p w14:paraId="54D33A0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Recently disclosed suppliers only (within the last two years)</w:t>
            </w:r>
          </w:p>
        </w:tc>
      </w:tr>
      <w:tr w:rsidR="00000000" w14:paraId="22361F43" w14:textId="77777777">
        <w:tblPrEx>
          <w:tblCellMar>
            <w:bottom w:w="0" w:type="dxa"/>
          </w:tblCellMar>
        </w:tblPrEx>
        <w:trPr>
          <w:trHeight w:val="8"/>
        </w:trPr>
        <w:tc>
          <w:tcPr>
            <w:tcW w:w="10640" w:type="dxa"/>
            <w:tcBorders>
              <w:top w:val="nil"/>
              <w:left w:val="nil"/>
              <w:bottom w:val="nil"/>
              <w:right w:val="nil"/>
            </w:tcBorders>
            <w:shd w:val="clear" w:color="auto" w:fill="FFFFFF"/>
          </w:tcPr>
          <w:p w14:paraId="7B2053A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Include Suppliers for:Current subsidiaries</w:t>
            </w:r>
          </w:p>
        </w:tc>
      </w:tr>
    </w:tbl>
    <w:p w14:paraId="115A0EE8" w14:textId="77777777" w:rsidR="00000000" w:rsidRDefault="00F35C40">
      <w:pPr>
        <w:widowControl w:val="0"/>
        <w:autoSpaceDE w:val="0"/>
        <w:autoSpaceDN w:val="0"/>
        <w:adjustRightInd w:val="0"/>
        <w:spacing w:after="0" w:line="240" w:lineRule="auto"/>
        <w:rPr>
          <w:rFonts w:ascii="Arial" w:hAnsi="Arial" w:cs="Times New Roman"/>
          <w:sz w:val="16"/>
          <w:szCs w:val="24"/>
        </w:rPr>
      </w:pPr>
    </w:p>
    <w:p w14:paraId="46FA8B49" w14:textId="77777777" w:rsidR="00000000" w:rsidRDefault="00F35C40">
      <w:pPr>
        <w:widowControl w:val="0"/>
        <w:autoSpaceDE w:val="0"/>
        <w:autoSpaceDN w:val="0"/>
        <w:adjustRightInd w:val="0"/>
        <w:spacing w:after="0" w:line="240" w:lineRule="auto"/>
        <w:rPr>
          <w:rFonts w:ascii="Arial" w:hAnsi="Arial" w:cs="Times New Roman"/>
          <w:sz w:val="16"/>
          <w:szCs w:val="24"/>
        </w:rPr>
      </w:pPr>
    </w:p>
    <w:tbl>
      <w:tblPr>
        <w:tblW w:w="10640" w:type="dxa"/>
        <w:tblInd w:w="72" w:type="dxa"/>
        <w:tblLayout w:type="fixed"/>
        <w:tblCellMar>
          <w:top w:w="58" w:type="dxa"/>
          <w:left w:w="72" w:type="dxa"/>
          <w:right w:w="72" w:type="dxa"/>
        </w:tblCellMar>
        <w:tblLook w:val="0000" w:firstRow="0" w:lastRow="0" w:firstColumn="0" w:lastColumn="0" w:noHBand="0" w:noVBand="0"/>
      </w:tblPr>
      <w:tblGrid>
        <w:gridCol w:w="2128"/>
        <w:gridCol w:w="2128"/>
        <w:gridCol w:w="2128"/>
        <w:gridCol w:w="2128"/>
        <w:gridCol w:w="2128"/>
      </w:tblGrid>
      <w:tr w:rsidR="00000000" w14:paraId="61E06DCD" w14:textId="77777777">
        <w:tblPrEx>
          <w:tblCellMar>
            <w:bottom w:w="0" w:type="dxa"/>
          </w:tblCellMar>
        </w:tblPrEx>
        <w:trPr>
          <w:trHeight w:val="200"/>
          <w:tblHeader/>
        </w:trPr>
        <w:tc>
          <w:tcPr>
            <w:tcW w:w="10640" w:type="dxa"/>
            <w:gridSpan w:val="5"/>
            <w:tcBorders>
              <w:top w:val="single" w:sz="12" w:space="0" w:color="D0D0C5"/>
              <w:left w:val="single" w:sz="12" w:space="0" w:color="D0D0C5"/>
              <w:bottom w:val="single" w:sz="12" w:space="0" w:color="D0D0C5"/>
              <w:right w:val="single" w:sz="12" w:space="0" w:color="D0D0C5"/>
            </w:tcBorders>
            <w:shd w:val="clear" w:color="auto" w:fill="003366"/>
          </w:tcPr>
          <w:p w14:paraId="14BE416B" w14:textId="77777777" w:rsidR="00000000" w:rsidRDefault="00F35C40">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Suppliers</w:t>
            </w:r>
          </w:p>
        </w:tc>
      </w:tr>
      <w:tr w:rsidR="00000000" w14:paraId="506F54E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9E139B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0D9B7AD7" w14:textId="77777777">
        <w:tblPrEx>
          <w:tblCellMar>
            <w:bottom w:w="0" w:type="dxa"/>
          </w:tblCellMar>
        </w:tblPrEx>
        <w:trPr>
          <w:trHeight w:val="8"/>
          <w:tblHeader/>
        </w:trPr>
        <w:tc>
          <w:tcPr>
            <w:tcW w:w="10640" w:type="dxa"/>
            <w:gridSpan w:val="5"/>
            <w:tcBorders>
              <w:top w:val="single" w:sz="4" w:space="0" w:color="D0D0C5"/>
              <w:left w:val="single" w:sz="4" w:space="0" w:color="D0D0C5"/>
              <w:bottom w:val="single" w:sz="4" w:space="0" w:color="D0D0C5"/>
              <w:right w:val="single" w:sz="4" w:space="0" w:color="D0D0C5"/>
            </w:tcBorders>
            <w:shd w:val="clear" w:color="auto" w:fill="E1E1C8"/>
          </w:tcPr>
          <w:p w14:paraId="5A1909D8" w14:textId="77777777" w:rsidR="00000000" w:rsidRDefault="00F35C40">
            <w:pPr>
              <w:pBdr>
                <w:bottom w:val="single" w:sz="4" w:space="0" w:color="auto"/>
              </w:pBdr>
              <w:autoSpaceDE w:val="0"/>
              <w:autoSpaceDN w:val="0"/>
              <w:adjustRightInd w:val="0"/>
              <w:spacing w:after="20" w:line="240" w:lineRule="auto"/>
              <w:rPr>
                <w:rFonts w:ascii="Arial" w:hAnsi="Arial" w:cs="Times New Roman"/>
                <w:color w:val="000000"/>
                <w:sz w:val="16"/>
                <w:szCs w:val="24"/>
              </w:rPr>
            </w:pPr>
            <w:r>
              <w:rPr>
                <w:rFonts w:ascii="Arial" w:hAnsi="Arial" w:cs="Times New Roman"/>
                <w:color w:val="000000"/>
                <w:sz w:val="16"/>
                <w:szCs w:val="24"/>
              </w:rPr>
              <w:t>Recently Disclosed Suppliers</w:t>
            </w:r>
          </w:p>
        </w:tc>
      </w:tr>
      <w:tr w:rsidR="00000000" w14:paraId="0630AFDE" w14:textId="77777777">
        <w:tblPrEx>
          <w:tblCellMar>
            <w:bottom w:w="0" w:type="dxa"/>
          </w:tblCellMar>
        </w:tblPrEx>
        <w:trPr>
          <w:trHeight w:val="7"/>
          <w:tblHeader/>
        </w:trPr>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20C435A4" w14:textId="77777777" w:rsidR="00000000" w:rsidRDefault="00F35C40">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Supplier Name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224A9C83" w14:textId="77777777" w:rsidR="00000000" w:rsidRDefault="00F35C40">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Customer Name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23630F74" w14:textId="77777777" w:rsidR="00000000" w:rsidRDefault="00F35C40">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Relationship Type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2A54A205" w14:textId="77777777" w:rsidR="00000000" w:rsidRDefault="00F35C40">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Primary Industry</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0BD85B3B" w14:textId="77777777" w:rsidR="00000000" w:rsidRDefault="00F35C40">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Source</w:t>
            </w:r>
          </w:p>
        </w:tc>
      </w:tr>
      <w:tr w:rsidR="00000000" w14:paraId="446C4D4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D78B6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Aeroplan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C0C9BC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C1108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A5340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Advertising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CA214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2019 Form Doc</w:t>
            </w:r>
          </w:p>
        </w:tc>
      </w:tr>
      <w:tr w:rsidR="00000000" w14:paraId="6FD1EA76"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9DC9F2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Aeroplan Inc. provides a loyalty program for online shoppers. The company allows members to earn miles through the purchase of products and services from Aeroplan's network of partners and redeem Aeroplan Miles for a variety of rewards. It uses analytics a</w:t>
            </w:r>
            <w:r>
              <w:rPr>
                <w:rFonts w:ascii="Arial" w:hAnsi="Arial" w:cs="Times New Roman"/>
                <w:color w:val="000000"/>
                <w:sz w:val="16"/>
                <w:szCs w:val="24"/>
              </w:rPr>
              <w:t>nd marketing capability to maximize the members' ability to earn and redeem miles. It also offers rewards for travel, activities and merchandise, apparel and accessories, books, music, movies, electronics and computers, health and beauty products, home and</w:t>
            </w:r>
            <w:r>
              <w:rPr>
                <w:rFonts w:ascii="Arial" w:hAnsi="Arial" w:cs="Times New Roman"/>
                <w:color w:val="000000"/>
                <w:sz w:val="16"/>
                <w:szCs w:val="24"/>
              </w:rPr>
              <w:t xml:space="preserve"> garden products, sports and outdoor products, toys and games, eye care products, gas, grocery, food and drink, telecommunications, real estate, banking and financial services, retail, and gift cards and flowers. The company was formerly known as Aimia Can</w:t>
            </w:r>
            <w:r>
              <w:rPr>
                <w:rFonts w:ascii="Arial" w:hAnsi="Arial" w:cs="Times New Roman"/>
                <w:color w:val="000000"/>
                <w:sz w:val="16"/>
                <w:szCs w:val="24"/>
              </w:rPr>
              <w:t>ada Inc. Aeroplan Inc. was founded in 1984 and is based in Montreal, Canada.</w:t>
            </w:r>
          </w:p>
        </w:tc>
      </w:tr>
      <w:tr w:rsidR="00000000" w14:paraId="063D0F5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31CAE8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Aéroports de Montréal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6015A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2CAD9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80C83F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2ED20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Aéroports de Montréal 2020 Form Doc</w:t>
            </w:r>
          </w:p>
        </w:tc>
      </w:tr>
      <w:tr w:rsidR="00000000" w14:paraId="207BDE6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F83706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Aéroports de Montré</w:t>
            </w:r>
            <w:r>
              <w:rPr>
                <w:rFonts w:ascii="Arial" w:hAnsi="Arial" w:cs="Times New Roman"/>
                <w:color w:val="000000"/>
                <w:sz w:val="16"/>
                <w:szCs w:val="24"/>
              </w:rPr>
              <w:t>al, together with its subsidiaries, develops, manages, and operates the YUL Montréal-Trudeau International Airport and YMX International Aerocity of Mirabel airports in Canada. It offers air services and movements. The company also rents land and buildings</w:t>
            </w:r>
            <w:r>
              <w:rPr>
                <w:rFonts w:ascii="Arial" w:hAnsi="Arial" w:cs="Times New Roman"/>
                <w:color w:val="000000"/>
                <w:sz w:val="16"/>
                <w:szCs w:val="24"/>
              </w:rPr>
              <w:t>; and provides concession, and parking and ground transportation services. In addition, it offers advisory services in projects. Aéroports de Montréal was incorporated in 1989 and is based in Dorval, Canada.</w:t>
            </w:r>
          </w:p>
        </w:tc>
      </w:tr>
      <w:tr w:rsidR="00000000" w14:paraId="531F8B4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B11190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Aimia Inc. (TSX:AIM)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9F9C6B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48EB3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w:t>
            </w:r>
            <w:r>
              <w:rPr>
                <w:rFonts w:ascii="Arial" w:hAnsi="Arial" w:cs="Times New Roman"/>
                <w:color w:val="000000"/>
                <w:sz w:val="16"/>
                <w:szCs w:val="24"/>
              </w:rPr>
              <w:t>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737DA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Advertising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A975F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2019 Form Doc</w:t>
            </w:r>
          </w:p>
        </w:tc>
      </w:tr>
      <w:tr w:rsidR="00000000" w14:paraId="556A883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C2FEB8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Aimia Inc. focuses on long-term investments in public and private companies. It operates through two segments, Holdings and Investment Management. The company, through its subsidiary, Mittleman Investment Management, LLC, provides discretionary portfolio m</w:t>
            </w:r>
            <w:r>
              <w:rPr>
                <w:rFonts w:ascii="Arial" w:hAnsi="Arial" w:cs="Times New Roman"/>
                <w:color w:val="000000"/>
                <w:sz w:val="16"/>
                <w:szCs w:val="24"/>
              </w:rPr>
              <w:t>anagement services to institutional investors and high-net-worth individuals. The company, through its long-term investments, owns and operates Club Premier, a coalition loyalty program, as well as invests in B2B technology company, and outdoor advertising</w:t>
            </w:r>
            <w:r>
              <w:rPr>
                <w:rFonts w:ascii="Arial" w:hAnsi="Arial" w:cs="Times New Roman"/>
                <w:color w:val="000000"/>
                <w:sz w:val="16"/>
                <w:szCs w:val="24"/>
              </w:rPr>
              <w:t xml:space="preserve"> firm. It also operates a B2B cross-border automotive trading platform, as well as an investment advisory business. The company was formerly known as Groupe Aeroplan Inc. and changed its name to Aimia Inc. in October 2011. Aimia Inc. was incorporated in 20</w:t>
            </w:r>
            <w:r>
              <w:rPr>
                <w:rFonts w:ascii="Arial" w:hAnsi="Arial" w:cs="Times New Roman"/>
                <w:color w:val="000000"/>
                <w:sz w:val="16"/>
                <w:szCs w:val="24"/>
              </w:rPr>
              <w:t>08 and is headquartered in Toronto, Canada.</w:t>
            </w:r>
          </w:p>
        </w:tc>
      </w:tr>
      <w:tr w:rsidR="00000000" w14:paraId="235B79C5"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F92DA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Aimia Inc. (TSX:AIM)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5940E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71C953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9660D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Advertising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0EC2F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Aimia Inc. (TSX:AIM) 2021 Form Doc</w:t>
            </w:r>
          </w:p>
        </w:tc>
      </w:tr>
      <w:tr w:rsidR="00000000" w14:paraId="51A01B0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75B38D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Aimia Inc. focuses on long-term investments in public and private companies. It operates through two segments, Holdings and Investment Management. The company, through its subsidiary, Mittleman Investment Management, LLC, provides discretionary portfolio m</w:t>
            </w:r>
            <w:r>
              <w:rPr>
                <w:rFonts w:ascii="Arial" w:hAnsi="Arial" w:cs="Times New Roman"/>
                <w:color w:val="000000"/>
                <w:sz w:val="16"/>
                <w:szCs w:val="24"/>
              </w:rPr>
              <w:t>anagement services to institutional investors and high-net-worth individuals. The company, through its long-term investments, owns and operates Club Premier, a coalition loyalty program, as well as invests in B2B technology company, and outdoor advertising</w:t>
            </w:r>
            <w:r>
              <w:rPr>
                <w:rFonts w:ascii="Arial" w:hAnsi="Arial" w:cs="Times New Roman"/>
                <w:color w:val="000000"/>
                <w:sz w:val="16"/>
                <w:szCs w:val="24"/>
              </w:rPr>
              <w:t xml:space="preserve"> firm. It also operates a B2B cross-border automotive trading platform, as well as an investment advisory business. The company was formerly known as Groupe Aeroplan Inc. and changed its name to Aimia Inc. in October 2011. Aimia Inc. was incorporated in 20</w:t>
            </w:r>
            <w:r>
              <w:rPr>
                <w:rFonts w:ascii="Arial" w:hAnsi="Arial" w:cs="Times New Roman"/>
                <w:color w:val="000000"/>
                <w:sz w:val="16"/>
                <w:szCs w:val="24"/>
              </w:rPr>
              <w:t>08 and is headquartered in Toronto, Canada.</w:t>
            </w:r>
          </w:p>
        </w:tc>
      </w:tr>
      <w:tr w:rsidR="00000000" w14:paraId="18F19E5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3A62C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EBD70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rouge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A477D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954BB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4868D8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2019 Form Doc</w:t>
            </w:r>
          </w:p>
        </w:tc>
      </w:tr>
      <w:tr w:rsidR="00000000" w14:paraId="789CC665"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853241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Air Canada provides domestic, U.S. transborder, and international airline services. It offers scheduled passenger services under the Air Canada Vacations and Air Canada Rouge brand name in the Canadian market, the Canada-U.S. transborder market, and in the</w:t>
            </w:r>
            <w:r>
              <w:rPr>
                <w:rFonts w:ascii="Arial" w:hAnsi="Arial" w:cs="Times New Roman"/>
                <w:color w:val="000000"/>
                <w:sz w:val="16"/>
                <w:szCs w:val="24"/>
              </w:rPr>
              <w:t xml:space="preserve"> international market to and from Canada, as well as through capacity purchase agreements on other regional carriers. As of December 31, 2021, the company operated a fleet of 175 aircraft under the Air Canada mainline brand name comprising 97 Boeing and Ai</w:t>
            </w:r>
            <w:r>
              <w:rPr>
                <w:rFonts w:ascii="Arial" w:hAnsi="Arial" w:cs="Times New Roman"/>
                <w:color w:val="000000"/>
                <w:sz w:val="16"/>
                <w:szCs w:val="24"/>
              </w:rPr>
              <w:t>rbus narrow-body aircraft, and 78 Boeing and Airbus wide-body aircraft; 123 aircraft under the Air Canada Express brand name, including 50 Mitsubishi regional jets, 48 De Havilland Dash-8 turboprop aircraft and 25 Embraer 175 aircraft; and 39 aircraft unde</w:t>
            </w:r>
            <w:r>
              <w:rPr>
                <w:rFonts w:ascii="Arial" w:hAnsi="Arial" w:cs="Times New Roman"/>
                <w:color w:val="000000"/>
                <w:sz w:val="16"/>
                <w:szCs w:val="24"/>
              </w:rPr>
              <w:t>r the Air Canada Rouge brand name consisting of 14 Airbus A321 aircraft, 5 Airbus A320 aircraft, and 20 Airbus A319 aircraft. It also provides air cargo services in domestic and U.S. transborder routes, as well as on international routes between Canada and</w:t>
            </w:r>
            <w:r>
              <w:rPr>
                <w:rFonts w:ascii="Arial" w:hAnsi="Arial" w:cs="Times New Roman"/>
                <w:color w:val="000000"/>
                <w:sz w:val="16"/>
                <w:szCs w:val="24"/>
              </w:rPr>
              <w:t xml:space="preserve"> markets in Europe, Asia, South America, and Australia. In addition, the company operates, develops, markets, and distributes vacation travel packages in the Caribbean, Mexico, the United States, Europe, Central and South America, South Pacific, Australia,</w:t>
            </w:r>
            <w:r>
              <w:rPr>
                <w:rFonts w:ascii="Arial" w:hAnsi="Arial" w:cs="Times New Roman"/>
                <w:color w:val="000000"/>
                <w:sz w:val="16"/>
                <w:szCs w:val="24"/>
              </w:rPr>
              <w:t xml:space="preserve"> and Asia; offers cruise packages in North America, Europe, and the Caribbean; and provides travel loyalty programs. Air Canada was founded in 1937 and is headquartered in Saint-Laurent, Canada.</w:t>
            </w:r>
          </w:p>
        </w:tc>
      </w:tr>
      <w:tr w:rsidR="00000000" w14:paraId="2B0C8E8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73FF7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Georgian,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A1B312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3940E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F7B4C9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836D81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2019 Form Doc</w:t>
            </w:r>
          </w:p>
        </w:tc>
      </w:tr>
      <w:tr w:rsidR="00000000" w14:paraId="7E11586A"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BC5607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Air Georgian, Ltd. provides private charter and cargo services. It operates its flights from the Lester B. Pearson International Airport in Toronto. The company was founded in 1994 and is ba</w:t>
            </w:r>
            <w:r>
              <w:rPr>
                <w:rFonts w:ascii="Arial" w:hAnsi="Arial" w:cs="Times New Roman"/>
                <w:color w:val="000000"/>
                <w:sz w:val="16"/>
                <w:szCs w:val="24"/>
              </w:rPr>
              <w:t>sed in Mississauga, Canada. Air Georgian, Ltd. operates as a subsidiary of Georgian Aircraft Corp.</w:t>
            </w:r>
          </w:p>
        </w:tc>
      </w:tr>
      <w:tr w:rsidR="00000000" w14:paraId="6977F0D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79CF6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Airbus Canada Limited Partnership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163D5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3B2E5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6E426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Aerospace and Defense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F6787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03948BD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95EC41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Airbus Canada Limited Partnership manufactures and supplies aircraft components. Airbus Canada Limited Partnership was formerly known as C Series Aircraft Limited Partnership. The company was founded in 2016 and is based in Mirabel, C</w:t>
            </w:r>
            <w:r>
              <w:rPr>
                <w:rFonts w:ascii="Arial" w:hAnsi="Arial" w:cs="Times New Roman"/>
                <w:color w:val="000000"/>
                <w:sz w:val="16"/>
                <w:szCs w:val="24"/>
              </w:rPr>
              <w:t xml:space="preserve">anada. As of July 1, 2018, </w:t>
            </w:r>
            <w:r>
              <w:rPr>
                <w:rFonts w:ascii="Arial" w:hAnsi="Arial" w:cs="Times New Roman"/>
                <w:color w:val="000000"/>
                <w:sz w:val="16"/>
                <w:szCs w:val="24"/>
              </w:rPr>
              <w:lastRenderedPageBreak/>
              <w:t>Airbus Canada Limited Partnership operates as a subsidiary of Airbus SE.</w:t>
            </w:r>
          </w:p>
        </w:tc>
      </w:tr>
      <w:tr w:rsidR="00000000" w14:paraId="0681DF5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C6159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Amadeus IT Group, S.A. (BME:AMS)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3640A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5C275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5EA74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Data Processing and Outsourced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44F54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2022 Form Doc</w:t>
            </w:r>
          </w:p>
        </w:tc>
      </w:tr>
      <w:tr w:rsidR="00000000" w14:paraId="21E23085"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F61B17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Amadeus IT Group, S.A., together with its subsidiaries, operates as a transaction processor for the travel and tourism industry worldwide. The company operates through two segments, Distribution and IT Solutions. The company acts as a</w:t>
            </w:r>
            <w:r>
              <w:rPr>
                <w:rFonts w:ascii="Arial" w:hAnsi="Arial" w:cs="Times New Roman"/>
                <w:color w:val="000000"/>
                <w:sz w:val="16"/>
                <w:szCs w:val="24"/>
              </w:rPr>
              <w:t>n international network providing real-time search, pricing, booking, and ticketing services. It also offers travel providers a portfolio of technology solutions, which automate certain mission-critical business processes, such as reservations, inventory m</w:t>
            </w:r>
            <w:r>
              <w:rPr>
                <w:rFonts w:ascii="Arial" w:hAnsi="Arial" w:cs="Times New Roman"/>
                <w:color w:val="000000"/>
                <w:sz w:val="16"/>
                <w:szCs w:val="24"/>
              </w:rPr>
              <w:t>anagement, and departure control. In addition, the company is involved in the provision of software development and definition, distribution, regional support, data processing, intermediation, consulting, installation of industrial machinery and equipment,</w:t>
            </w:r>
            <w:r>
              <w:rPr>
                <w:rFonts w:ascii="Arial" w:hAnsi="Arial" w:cs="Times New Roman"/>
                <w:color w:val="000000"/>
                <w:sz w:val="16"/>
                <w:szCs w:val="24"/>
              </w:rPr>
              <w:t xml:space="preserve"> and information technology services; financial activities; and e-commerce business. It serves providers of travel products and services, such as airlines, airports, hotels, tour operators, insurance companies, road and sea transport companies, travel sell</w:t>
            </w:r>
            <w:r>
              <w:rPr>
                <w:rFonts w:ascii="Arial" w:hAnsi="Arial" w:cs="Times New Roman"/>
                <w:color w:val="000000"/>
                <w:sz w:val="16"/>
                <w:szCs w:val="24"/>
              </w:rPr>
              <w:t>ers and brokers, travel buyers, and ground handlers. The company was formerly known as Amadeus IT Holding, S.A. and changed its name to Amadeus IT Group, S.A. in August 2016. Amadeus IT Group, S.A. was founded in 1987 and is headquartered in Madrid, Spain.</w:t>
            </w:r>
          </w:p>
        </w:tc>
      </w:tr>
      <w:tr w:rsidR="00000000" w14:paraId="7517025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D6C35A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Antelope Enterprise Holdings Limited (NasdaqCM:AEHL)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B544C7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C0685F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4E1D9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Building Products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D0E61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DO &amp; CO Aktiengesellschaft (WBAG:DOC) - Form Doc</w:t>
            </w:r>
          </w:p>
        </w:tc>
      </w:tr>
      <w:tr w:rsidR="00000000" w14:paraId="208BD8F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EC1169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Antelope Enterprise Holdings Limited, through its subsidiaries, manufactures and sells ceramic tiles for exterior siding and interior flooring, and design in residential and commercial buildings in the People's Republic of China. The company provides porce</w:t>
            </w:r>
            <w:r>
              <w:rPr>
                <w:rFonts w:ascii="Arial" w:hAnsi="Arial" w:cs="Times New Roman"/>
                <w:color w:val="000000"/>
                <w:sz w:val="16"/>
                <w:szCs w:val="24"/>
              </w:rPr>
              <w:t xml:space="preserve">lain tiles, glazed tiles, glazed porcelain tiles, rustic tiles, and polished glazed tiles. It sells its products under the HD or Hengda brands through a network of distributors, as well as directly to property developers. The company was formerly known as </w:t>
            </w:r>
            <w:r>
              <w:rPr>
                <w:rFonts w:ascii="Arial" w:hAnsi="Arial" w:cs="Times New Roman"/>
                <w:color w:val="000000"/>
                <w:sz w:val="16"/>
                <w:szCs w:val="24"/>
              </w:rPr>
              <w:t>China Ceramics Co., Ltd. and changed its name to Antelope Enterprise Holdings Limited in October 2020. Antelope Enterprise Holdings Limited was founded in 1993 and is headquartered in Jinjiang, the People's Republic of China.</w:t>
            </w:r>
          </w:p>
        </w:tc>
      </w:tr>
      <w:tr w:rsidR="00000000" w14:paraId="7F45285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00EAA0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BlueDot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9EDBB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w:t>
            </w:r>
            <w:r>
              <w:rPr>
                <w:rFonts w:ascii="Arial" w:hAnsi="Arial" w:cs="Times New Roman"/>
                <w:color w:val="000000"/>
                <w:sz w:val="16"/>
                <w:szCs w:val="24"/>
              </w:rPr>
              <w:t>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60B6C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50D75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Health Care Technology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61354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0A73F359"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B28E20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70D2EAB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4B57C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733AD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A54A3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11DAAA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A288DC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 2022 Form Doc</w:t>
            </w:r>
          </w:p>
        </w:tc>
      </w:tr>
      <w:tr w:rsidR="00000000" w14:paraId="5F812FF9"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6838B3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Chorus Aviation Inc., through its subsidiaries, provides various aviation support services in the United States and Canada. The company operates through two segments, Regional Aviation Ser</w:t>
            </w:r>
            <w:r>
              <w:rPr>
                <w:rFonts w:ascii="Arial" w:hAnsi="Arial" w:cs="Times New Roman"/>
                <w:color w:val="000000"/>
                <w:sz w:val="16"/>
                <w:szCs w:val="24"/>
              </w:rPr>
              <w:t>vices and Regional Aircraft Leasing. The Regional Aviation Services segment includes all three sectors of the regional aviation, such as contract flying, including ACMI and charter operations; aircraft leasing; and maintenance, repair, and overhaul, as wel</w:t>
            </w:r>
            <w:r>
              <w:rPr>
                <w:rFonts w:ascii="Arial" w:hAnsi="Arial" w:cs="Times New Roman"/>
                <w:color w:val="000000"/>
                <w:sz w:val="16"/>
                <w:szCs w:val="24"/>
              </w:rPr>
              <w:t>l as part sales and technical services. The Regional Aircraft Leasing segment provides aircraft leasing to third-party air operators. As of December 31, 2021, this segment</w:t>
            </w:r>
            <w:r>
              <w:rPr>
                <w:rFonts w:ascii="Arial" w:hAnsi="Arial" w:cs="Times New Roman"/>
                <w:color w:val="000000"/>
                <w:sz w:val="16"/>
                <w:szCs w:val="24"/>
              </w:rPr>
              <w:t>’</w:t>
            </w:r>
            <w:r>
              <w:rPr>
                <w:rFonts w:ascii="Arial" w:hAnsi="Arial" w:cs="Times New Roman"/>
                <w:color w:val="000000"/>
                <w:sz w:val="16"/>
                <w:szCs w:val="24"/>
              </w:rPr>
              <w:t>s portfolio of leased aircraft consisted of 62 aircraft of which 56 aircraft were on</w:t>
            </w:r>
            <w:r>
              <w:rPr>
                <w:rFonts w:ascii="Arial" w:hAnsi="Arial" w:cs="Times New Roman"/>
                <w:color w:val="000000"/>
                <w:sz w:val="16"/>
                <w:szCs w:val="24"/>
              </w:rPr>
              <w:t xml:space="preserve"> lease to airline customers, such as 23 Dash 8-400s, 18 ATR72-600s, four CRJ1000s, four E190s, two E195s and five A220-300s. The company was formerly known as Jazz Air Income Fund and changed its name to Chorus Aviation Inc. in January 2011. Chorus Aviatio</w:t>
            </w:r>
            <w:r>
              <w:rPr>
                <w:rFonts w:ascii="Arial" w:hAnsi="Arial" w:cs="Times New Roman"/>
                <w:color w:val="000000"/>
                <w:sz w:val="16"/>
                <w:szCs w:val="24"/>
              </w:rPr>
              <w:t>n Inc. was incorporated in 2010 and is based in Dartmouth, Canada.</w:t>
            </w:r>
          </w:p>
        </w:tc>
      </w:tr>
      <w:tr w:rsidR="00000000" w14:paraId="6A00EEA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1A3F9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077A4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5EA9C3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478643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9AA6C1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 2022 Form Doc</w:t>
            </w:r>
          </w:p>
        </w:tc>
      </w:tr>
      <w:tr w:rsidR="00000000" w14:paraId="284DDC2A"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0D0E0D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Chorus Aviation Inc., through its subsidiaries, provides various aviation support services in the United States and Canada. The company operates through two segments, Regional Aviation Services and Regional Aircraft Leasing. The Regional Aviation Services </w:t>
            </w:r>
            <w:r>
              <w:rPr>
                <w:rFonts w:ascii="Arial" w:hAnsi="Arial" w:cs="Times New Roman"/>
                <w:color w:val="000000"/>
                <w:sz w:val="16"/>
                <w:szCs w:val="24"/>
              </w:rPr>
              <w:t>segment includes all three sectors of the regional aviation, such as contract flying, including ACMI and charter operations; aircraft leasing; and maintenance, repair, and overhaul, as well as part sales and technical services. The Regional Aircraft Leasin</w:t>
            </w:r>
            <w:r>
              <w:rPr>
                <w:rFonts w:ascii="Arial" w:hAnsi="Arial" w:cs="Times New Roman"/>
                <w:color w:val="000000"/>
                <w:sz w:val="16"/>
                <w:szCs w:val="24"/>
              </w:rPr>
              <w:t>g segment provides aircraft leasing to third-party air operators. As of December 31, 2021, this segment</w:t>
            </w:r>
            <w:r>
              <w:rPr>
                <w:rFonts w:ascii="Arial" w:hAnsi="Arial" w:cs="Times New Roman"/>
                <w:color w:val="000000"/>
                <w:sz w:val="16"/>
                <w:szCs w:val="24"/>
              </w:rPr>
              <w:t>’</w:t>
            </w:r>
            <w:r>
              <w:rPr>
                <w:rFonts w:ascii="Arial" w:hAnsi="Arial" w:cs="Times New Roman"/>
                <w:color w:val="000000"/>
                <w:sz w:val="16"/>
                <w:szCs w:val="24"/>
              </w:rPr>
              <w:t xml:space="preserve">s portfolio of leased aircraft consisted of 62 aircraft of which 56 aircraft were on lease to airline customers, such as 23 Dash 8-400s, 18 ATR72-600s, </w:t>
            </w:r>
            <w:r>
              <w:rPr>
                <w:rFonts w:ascii="Arial" w:hAnsi="Arial" w:cs="Times New Roman"/>
                <w:color w:val="000000"/>
                <w:sz w:val="16"/>
                <w:szCs w:val="24"/>
              </w:rPr>
              <w:t>four CRJ1000s, four E190s, two E195s and five A220-300s. The company was formerly known as Jazz Air Income Fund and changed its name to Chorus Aviation Inc. in January 2011. Chorus Aviation Inc. was incorporated in 2010 and is based in Dartmouth, Canada.</w:t>
            </w:r>
          </w:p>
        </w:tc>
      </w:tr>
      <w:tr w:rsidR="00000000" w14:paraId="4BC2541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04051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Cleveland Clinic Canada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44D27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4A3FF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85F8A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Health Care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7A0B81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254037C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921EAF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15F7F34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A7FD7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Datametrex AI Limited (TSXV:DM)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B4B9D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49681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12BC43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Internet Services and Infrastructure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12C40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Key DevelopmentClient Announcements Jan-11-2021</w:t>
            </w:r>
          </w:p>
        </w:tc>
      </w:tr>
      <w:tr w:rsidR="00000000" w14:paraId="2AB8174A"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43D9CE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Datametrex AI Limited, together with its subsidiaries, sells COVID-19 test kits. The company offers nucleic acid, antigen, and antibody detection ki</w:t>
            </w:r>
            <w:r>
              <w:rPr>
                <w:rFonts w:ascii="Arial" w:hAnsi="Arial" w:cs="Times New Roman"/>
                <w:color w:val="000000"/>
                <w:sz w:val="16"/>
                <w:szCs w:val="24"/>
              </w:rPr>
              <w:t xml:space="preserve">ts. It also provides big data, artificial intelligence, and system integration services. In addition, the company offers NexaIntelligence and NexaAGENT deep analytics platform, as well as is involved in collecting, analyzing, and presenting structured and </w:t>
            </w:r>
            <w:r>
              <w:rPr>
                <w:rFonts w:ascii="Arial" w:hAnsi="Arial" w:cs="Times New Roman"/>
                <w:color w:val="000000"/>
                <w:sz w:val="16"/>
                <w:szCs w:val="24"/>
              </w:rPr>
              <w:t>unstructured data using machine learning and artificial intelligence. Further, it operates a telehealth and urgent medical care platform. The company operates in Canada and Korea. Datametrex AI Limited is headquartered in Toronto, Canada.</w:t>
            </w:r>
          </w:p>
        </w:tc>
      </w:tr>
      <w:tr w:rsidR="00000000" w14:paraId="4FEA5D2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3624A8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Dynatrace, Inc. (NYSE:DT)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CD1CBF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789F80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2FCFAB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E2AED9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Dynatrace, Inc. (NYSE:DT) 2022 Form 10-K</w:t>
            </w:r>
          </w:p>
        </w:tc>
      </w:tr>
      <w:tr w:rsidR="00000000" w14:paraId="03B031A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D05699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Dynatrace, Inc. provides a software intelligence platform for dynamic multi-cloud environments. It operates Dynatrace, a software intelligence platform, which provides application and microservices monitoring, runtime application security, infrastructure m</w:t>
            </w:r>
            <w:r>
              <w:rPr>
                <w:rFonts w:ascii="Arial" w:hAnsi="Arial" w:cs="Times New Roman"/>
                <w:color w:val="000000"/>
                <w:sz w:val="16"/>
                <w:szCs w:val="24"/>
              </w:rPr>
              <w:t xml:space="preserve">onitoring, digital experience monitoring, business analytics, and cloud automation. Its platform allows its customers to modernize and automate IT operations, develop </w:t>
            </w:r>
            <w:r>
              <w:rPr>
                <w:rFonts w:ascii="Arial" w:hAnsi="Arial" w:cs="Times New Roman"/>
                <w:color w:val="000000"/>
                <w:sz w:val="16"/>
                <w:szCs w:val="24"/>
              </w:rPr>
              <w:lastRenderedPageBreak/>
              <w:t>and release software, and enhance user experiences. The company also offers implementatio</w:t>
            </w:r>
            <w:r>
              <w:rPr>
                <w:rFonts w:ascii="Arial" w:hAnsi="Arial" w:cs="Times New Roman"/>
                <w:color w:val="000000"/>
                <w:sz w:val="16"/>
                <w:szCs w:val="24"/>
              </w:rPr>
              <w:t>n, consulting, and training services. Dynatrace, Inc. markets its products through a combination of direct sales team and a network of partners, including resellers, system integrators, and managed service providers. It serves customers in various industri</w:t>
            </w:r>
            <w:r>
              <w:rPr>
                <w:rFonts w:ascii="Arial" w:hAnsi="Arial" w:cs="Times New Roman"/>
                <w:color w:val="000000"/>
                <w:sz w:val="16"/>
                <w:szCs w:val="24"/>
              </w:rPr>
              <w:t>es comprising banking, insurance, retail, manufacturing, travel, and software. The company operates in North America, Europe, the Middle East, Africa, the Asia Pacific, and Latin America. Dynatrace, Inc. was founded in 2005 and is headquartered in Waltham,</w:t>
            </w:r>
            <w:r>
              <w:rPr>
                <w:rFonts w:ascii="Arial" w:hAnsi="Arial" w:cs="Times New Roman"/>
                <w:color w:val="000000"/>
                <w:sz w:val="16"/>
                <w:szCs w:val="24"/>
              </w:rPr>
              <w:t xml:space="preserve"> Massachusetts.</w:t>
            </w:r>
          </w:p>
        </w:tc>
      </w:tr>
      <w:tr w:rsidR="00000000" w14:paraId="124D8D7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6C9F7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Emakina Group SA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72E77F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CBE03F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0AC147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IT Consulting and Other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9925D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Emakina Group SA - Form Doc</w:t>
            </w:r>
          </w:p>
        </w:tc>
      </w:tr>
      <w:tr w:rsidR="00000000" w14:paraId="296CEF9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437BD7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Emakina Group SA operates as a digital agency in Europe and internationally. It offers services in the areas of insights and advisory; web building and integration; connected commerce and retail marketing; applications, innovation, and service design; digi</w:t>
            </w:r>
            <w:r>
              <w:rPr>
                <w:rFonts w:ascii="Arial" w:hAnsi="Arial" w:cs="Times New Roman"/>
                <w:color w:val="000000"/>
                <w:sz w:val="16"/>
                <w:szCs w:val="24"/>
              </w:rPr>
              <w:t>tal marketing, performance, and data science; communication; content production and motion; and media planning and buying. The company also provides e</w:t>
            </w:r>
            <w:r>
              <w:rPr>
                <w:rFonts w:ascii="Arial" w:hAnsi="Arial" w:cs="Times New Roman"/>
                <w:color w:val="000000"/>
                <w:sz w:val="16"/>
                <w:szCs w:val="24"/>
              </w:rPr>
              <w:t>–</w:t>
            </w:r>
            <w:r>
              <w:rPr>
                <w:rFonts w:ascii="Arial" w:hAnsi="Arial" w:cs="Times New Roman"/>
                <w:color w:val="000000"/>
                <w:sz w:val="16"/>
                <w:szCs w:val="24"/>
              </w:rPr>
              <w:t>commerce and web building, application development, marketplaces management, and influencer marketing ser</w:t>
            </w:r>
            <w:r>
              <w:rPr>
                <w:rFonts w:ascii="Arial" w:hAnsi="Arial" w:cs="Times New Roman"/>
                <w:color w:val="000000"/>
                <w:sz w:val="16"/>
                <w:szCs w:val="24"/>
              </w:rPr>
              <w:t>vices; written, audiovisual, and interactive content services; market and consumer research, user experience design, identity design, and brand positioning support and content strategy services; and user insights, digital advertising, marketing automation,</w:t>
            </w:r>
            <w:r>
              <w:rPr>
                <w:rFonts w:ascii="Arial" w:hAnsi="Arial" w:cs="Times New Roman"/>
                <w:color w:val="000000"/>
                <w:sz w:val="16"/>
                <w:szCs w:val="24"/>
              </w:rPr>
              <w:t xml:space="preserve"> content and motion design, customer relationship management, loyalty and engagement, data science, artificial intelligence, and analytic services. Emakina Group SA was founded in 2001 and is based in Brussels, Belgium. As of October 29, 2021, Emakina Grou</w:t>
            </w:r>
            <w:r>
              <w:rPr>
                <w:rFonts w:ascii="Arial" w:hAnsi="Arial" w:cs="Times New Roman"/>
                <w:color w:val="000000"/>
                <w:sz w:val="16"/>
                <w:szCs w:val="24"/>
              </w:rPr>
              <w:t>p SA operates as a subsidiary of EPAM Systems, Inc.</w:t>
            </w:r>
          </w:p>
        </w:tc>
      </w:tr>
      <w:tr w:rsidR="00000000" w14:paraId="7E35FA5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32FB6B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Export-Import Bank of the United States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8815BE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5B07DF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DC878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472A7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1F7E631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7D0C76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Export-Import Bank of the United States operates as an export credit agency of the United States. The institution provides export credit insurance, working capital, loan guarantee, project and structured finance, finance lease guarantee, and direct loan se</w:t>
            </w:r>
            <w:r>
              <w:rPr>
                <w:rFonts w:ascii="Arial" w:hAnsi="Arial" w:cs="Times New Roman"/>
                <w:color w:val="000000"/>
                <w:sz w:val="16"/>
                <w:szCs w:val="24"/>
              </w:rPr>
              <w:t>rvices. It serves U.S. exporters, brokers, lenders, congressional and government</w:t>
            </w:r>
            <w:r>
              <w:rPr>
                <w:rFonts w:ascii="Arial" w:hAnsi="Arial" w:cs="Times New Roman"/>
                <w:color w:val="000000"/>
                <w:sz w:val="16"/>
                <w:szCs w:val="24"/>
              </w:rPr>
              <w:t>’</w:t>
            </w:r>
            <w:r>
              <w:rPr>
                <w:rFonts w:ascii="Arial" w:hAnsi="Arial" w:cs="Times New Roman"/>
                <w:color w:val="000000"/>
                <w:sz w:val="16"/>
                <w:szCs w:val="24"/>
              </w:rPr>
              <w:t>s stakeholders, international buyers, and others. Export-Import Bank of the United States was formerly known as Export-Import Bank of Washington and changed its name to Export</w:t>
            </w:r>
            <w:r>
              <w:rPr>
                <w:rFonts w:ascii="Arial" w:hAnsi="Arial" w:cs="Times New Roman"/>
                <w:color w:val="000000"/>
                <w:sz w:val="16"/>
                <w:szCs w:val="24"/>
              </w:rPr>
              <w:t>-Import Bank of the United States in 1968. The institution was founded in 1934 and is based in Washington, District of Columbia.</w:t>
            </w:r>
          </w:p>
        </w:tc>
      </w:tr>
      <w:tr w:rsidR="00000000" w14:paraId="1929004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ACCE8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Facedrive Inc. (TSXV:FD)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67D364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C9895C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4B654B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Trucking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1DD12D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Facedrive Inc. (TSXV:FD) 2021 Form Doc</w:t>
            </w:r>
          </w:p>
        </w:tc>
      </w:tr>
      <w:tr w:rsidR="00000000" w14:paraId="6FB29A7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4FC576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Facedrive Inc. operates as a ride-sharing company in Canada. It offers Facedrive Rideshare, an ecofriendly rideshare business; Facedrive Foods, a food-delivery business; Facedrive Health, a contact-tracing and health services business</w:t>
            </w:r>
            <w:r>
              <w:rPr>
                <w:rFonts w:ascii="Arial" w:hAnsi="Arial" w:cs="Times New Roman"/>
                <w:color w:val="000000"/>
                <w:sz w:val="16"/>
                <w:szCs w:val="24"/>
              </w:rPr>
              <w:t>; Facedrive Marketplace, an e-commerce business; and Facedrive Social, a social media platform, as well as Steer, an electric and hybrid vehicle subscription business. The company was incorporated in 2016 and is headquartered in Richmond Hill, Canada.</w:t>
            </w:r>
          </w:p>
        </w:tc>
      </w:tr>
      <w:tr w:rsidR="00000000" w14:paraId="1E55191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DD4F2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Fac</w:t>
            </w:r>
            <w:r>
              <w:rPr>
                <w:rFonts w:ascii="Arial" w:hAnsi="Arial" w:cs="Times New Roman"/>
                <w:color w:val="000000"/>
                <w:sz w:val="16"/>
                <w:szCs w:val="24"/>
              </w:rPr>
              <w:t>edrive Inc. (TSXV:FD)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3174F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5FEDC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310BC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Trucking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19CFAF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0725969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1AF8F9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Faced</w:t>
            </w:r>
            <w:r>
              <w:rPr>
                <w:rFonts w:ascii="Arial" w:hAnsi="Arial" w:cs="Times New Roman"/>
                <w:color w:val="000000"/>
                <w:sz w:val="16"/>
                <w:szCs w:val="24"/>
              </w:rPr>
              <w:t>rive Inc. operates as a ride-sharing company in Canada. It offers Facedrive Rideshare, an ecofriendly rideshare business; Facedrive Foods, a food-delivery business; Facedrive Health, a contact-tracing and health services business; Facedrive Marketplace, an</w:t>
            </w:r>
            <w:r>
              <w:rPr>
                <w:rFonts w:ascii="Arial" w:hAnsi="Arial" w:cs="Times New Roman"/>
                <w:color w:val="000000"/>
                <w:sz w:val="16"/>
                <w:szCs w:val="24"/>
              </w:rPr>
              <w:t xml:space="preserve"> e-commerce business; and Facedrive Social, a social media platform, as well as Steer, an electric and hybrid vehicle subscription business. The company was incorporated in 2016 and is headquartered in Richmond Hill, Canada.</w:t>
            </w:r>
          </w:p>
        </w:tc>
      </w:tr>
      <w:tr w:rsidR="00000000" w14:paraId="2C22429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0DD6F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Glassbox Ltd (TASE:GLBX)</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FBEA7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5DB37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B9A6F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47B61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Glassbox Ltd (TASE:GLBX) - Form </w:t>
            </w:r>
          </w:p>
        </w:tc>
      </w:tr>
      <w:tr w:rsidR="00000000" w14:paraId="67234C3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9615C6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Glassbox Ltd provides web- and mobile-based digital analytics platform for organizations to prioritize customer experience and digital product enhance</w:t>
            </w:r>
            <w:r>
              <w:rPr>
                <w:rFonts w:ascii="Arial" w:hAnsi="Arial" w:cs="Times New Roman"/>
                <w:color w:val="000000"/>
                <w:sz w:val="16"/>
                <w:szCs w:val="24"/>
              </w:rPr>
              <w:t>ments worldwide. Its platform creates digital journeys to elevate business growth; provides Augmented Journey Map for web and mobile app to visualize, observe, analyze, and elevate digital customer journey; provides Mobilebox, a mobile analytics solution t</w:t>
            </w:r>
            <w:r>
              <w:rPr>
                <w:rFonts w:ascii="Arial" w:hAnsi="Arial" w:cs="Times New Roman"/>
                <w:color w:val="000000"/>
                <w:sz w:val="16"/>
                <w:szCs w:val="24"/>
              </w:rPr>
              <w:t>o view and analyze interactions within the organizations</w:t>
            </w:r>
            <w:r>
              <w:rPr>
                <w:rFonts w:ascii="Arial" w:hAnsi="Arial" w:cs="Times New Roman"/>
                <w:color w:val="000000"/>
                <w:sz w:val="16"/>
                <w:szCs w:val="24"/>
              </w:rPr>
              <w:t>’</w:t>
            </w:r>
            <w:r>
              <w:rPr>
                <w:rFonts w:ascii="Arial" w:hAnsi="Arial" w:cs="Times New Roman"/>
                <w:color w:val="000000"/>
                <w:sz w:val="16"/>
                <w:szCs w:val="24"/>
              </w:rPr>
              <w:t xml:space="preserve"> app; enables users to record and replay website or mobile app journey of customers; enables users to capture data for website and mobile app; provides real-time visual reporting; provides artificial</w:t>
            </w:r>
            <w:r>
              <w:rPr>
                <w:rFonts w:ascii="Arial" w:hAnsi="Arial" w:cs="Times New Roman"/>
                <w:color w:val="000000"/>
                <w:sz w:val="16"/>
                <w:szCs w:val="24"/>
              </w:rPr>
              <w:t xml:space="preserve"> intelligence driven analytics for customer insights; and integrates Salesforce and adobe. The company provides solutions for product management, mobile app management, engineering and DevOps, marketing, compliance, analysts, and customer services. It serv</w:t>
            </w:r>
            <w:r>
              <w:rPr>
                <w:rFonts w:ascii="Arial" w:hAnsi="Arial" w:cs="Times New Roman"/>
                <w:color w:val="000000"/>
                <w:sz w:val="16"/>
                <w:szCs w:val="24"/>
              </w:rPr>
              <w:t>es primarily financial services, insurance, retail and e-commerce, travel, and telecommunication industries. The company was formerly known as Clarisite Ltd. and changed its name to Glassbox Ltd in 2016. Glassbox Ltd was incorporated in 2010 and is based i</w:t>
            </w:r>
            <w:r>
              <w:rPr>
                <w:rFonts w:ascii="Arial" w:hAnsi="Arial" w:cs="Times New Roman"/>
                <w:color w:val="000000"/>
                <w:sz w:val="16"/>
                <w:szCs w:val="24"/>
              </w:rPr>
              <w:t>n Petah Tikva, Israel.</w:t>
            </w:r>
          </w:p>
        </w:tc>
      </w:tr>
      <w:tr w:rsidR="00000000" w14:paraId="6B613CF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30920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Groupe Europe Handling SAS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60116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879E7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D7082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61BB7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Groupe CRIT SA (ENXTPA:CEN) - Form Doc</w:t>
            </w:r>
          </w:p>
        </w:tc>
      </w:tr>
      <w:tr w:rsidR="00000000" w14:paraId="3C22E0D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C6C91D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Groupe Europe Handling SAS provides airport services to airlines. It offers passage services in the areas of check-in, boarding and disembarkation of passengers, ticket office, processing baggage irregularities, and provision of departure control system eq</w:t>
            </w:r>
            <w:r>
              <w:rPr>
                <w:rFonts w:ascii="Arial" w:hAnsi="Arial" w:cs="Times New Roman"/>
                <w:color w:val="000000"/>
                <w:sz w:val="16"/>
                <w:szCs w:val="24"/>
              </w:rPr>
              <w:t>uipment; and ramp services, including processing of marshalling aircraft arrivals and departures, guidance and marshalling aircraft, pushback, freight loading and unloading, and baggage transfer for connecting flights, as well as baggage loading, unloading</w:t>
            </w:r>
            <w:r>
              <w:rPr>
                <w:rFonts w:ascii="Arial" w:hAnsi="Arial" w:cs="Times New Roman"/>
                <w:color w:val="000000"/>
                <w:sz w:val="16"/>
                <w:szCs w:val="24"/>
              </w:rPr>
              <w:t>, and transfer. The company also engages in the preparation and transmission of plan and forecast documents, weight and balance and load plan, and coordination of services providers and staff; freight and mail services, such as freight transport from the a</w:t>
            </w:r>
            <w:r>
              <w:rPr>
                <w:rFonts w:ascii="Arial" w:hAnsi="Arial" w:cs="Times New Roman"/>
                <w:color w:val="000000"/>
                <w:sz w:val="16"/>
                <w:szCs w:val="24"/>
              </w:rPr>
              <w:t>ircraft to the cargo warehouses, equipment management, documentation, and freight handling in the warehouses; ground services equipment maintenance; and induction and recurrent, commercial, safety, and technical training services, as well as providing trai</w:t>
            </w:r>
            <w:r>
              <w:rPr>
                <w:rFonts w:ascii="Arial" w:hAnsi="Arial" w:cs="Times New Roman"/>
                <w:color w:val="000000"/>
                <w:sz w:val="16"/>
                <w:szCs w:val="24"/>
              </w:rPr>
              <w:t>ning to other companies in the airline industry. In addition, it provides services, including technical assistance for aircraft; pre-flight inspections, daily inspections, weekly inspections, and checks; on-call maintenance; rectification of faults and fai</w:t>
            </w:r>
            <w:r>
              <w:rPr>
                <w:rFonts w:ascii="Arial" w:hAnsi="Arial" w:cs="Times New Roman"/>
                <w:color w:val="000000"/>
                <w:sz w:val="16"/>
                <w:szCs w:val="24"/>
              </w:rPr>
              <w:t>lure management, and technical assistance; reporting according to the instructions; storage of spare parts; and AOG support and technical assistance/coordination with airbus industry in Toulouse. The company was founded in 1994 and is based in Tremblay-en-</w:t>
            </w:r>
            <w:r>
              <w:rPr>
                <w:rFonts w:ascii="Arial" w:hAnsi="Arial" w:cs="Times New Roman"/>
                <w:color w:val="000000"/>
                <w:sz w:val="16"/>
                <w:szCs w:val="24"/>
              </w:rPr>
              <w:t>France, France. Groupe Europe Handling SAS operates as a subsidiary of Groupe CRIT SA.</w:t>
            </w:r>
          </w:p>
        </w:tc>
      </w:tr>
      <w:tr w:rsidR="00000000" w14:paraId="15F163F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1191AE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Grupo Aeroportuario del Centro Norte, S.A.B. de </w:t>
            </w:r>
            <w:r>
              <w:rPr>
                <w:rFonts w:ascii="Arial" w:hAnsi="Arial" w:cs="Times New Roman"/>
                <w:color w:val="000000"/>
                <w:sz w:val="16"/>
                <w:szCs w:val="24"/>
              </w:rPr>
              <w:lastRenderedPageBreak/>
              <w:t>C.V. (BMV:OMA 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2A1EF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F26D5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458FE9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52ACC6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Grupo Aeroportuario del Centro Norte, S.A.B. de </w:t>
            </w:r>
            <w:r>
              <w:rPr>
                <w:rFonts w:ascii="Arial" w:hAnsi="Arial" w:cs="Times New Roman"/>
                <w:color w:val="000000"/>
                <w:sz w:val="16"/>
                <w:szCs w:val="24"/>
              </w:rPr>
              <w:lastRenderedPageBreak/>
              <w:t>C.V. (BMV:OMA B) 2021 Form 20-F</w:t>
            </w:r>
          </w:p>
        </w:tc>
      </w:tr>
      <w:tr w:rsidR="00000000" w14:paraId="097BBA1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893CF1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Grupo Aeroportuario del Centro Norte, S.A.B. de C.V., together with its subsidiaries, holds concessions to develop, operate, and maintain airports in Mexico. The company operates 13 international airports in Monterrey, Acapulco, Mazatlán, Zihuatanejo, Ciud</w:t>
            </w:r>
            <w:r>
              <w:rPr>
                <w:rFonts w:ascii="Arial" w:hAnsi="Arial" w:cs="Times New Roman"/>
                <w:color w:val="000000"/>
                <w:sz w:val="16"/>
                <w:szCs w:val="24"/>
              </w:rPr>
              <w:t xml:space="preserve">ad Juárez, Reynosa, Chihuahua, Culiacán, Durango, San Luis Potosí, Tampico, Torreón, and Zacatecas cities. It also operates the NH Collection Hotel in Terminal 2 of the Mexico City International Airport; and a hotel under the Hilton Garden Inn name at the </w:t>
            </w:r>
            <w:r>
              <w:rPr>
                <w:rFonts w:ascii="Arial" w:hAnsi="Arial" w:cs="Times New Roman"/>
                <w:color w:val="000000"/>
                <w:sz w:val="16"/>
                <w:szCs w:val="24"/>
              </w:rPr>
              <w:t>Monterrey International Airport. In addition, the company provides aeronautical services, which include passenger, aircraft landing and parking, boarding and unloading, passenger walkway, and airport security services. Further, it offers complementary serv</w:t>
            </w:r>
            <w:r>
              <w:rPr>
                <w:rFonts w:ascii="Arial" w:hAnsi="Arial" w:cs="Times New Roman"/>
                <w:color w:val="000000"/>
                <w:sz w:val="16"/>
                <w:szCs w:val="24"/>
              </w:rPr>
              <w:t>ices that comprise leasing of space to airlines, cargo handling, baggage-screening, permanent and non-permanent ground transportation, and access rights services; non-aeronautical services, such as leasing of space at its airports to retailers, restaurants</w:t>
            </w:r>
            <w:r>
              <w:rPr>
                <w:rFonts w:ascii="Arial" w:hAnsi="Arial" w:cs="Times New Roman"/>
                <w:color w:val="000000"/>
                <w:sz w:val="16"/>
                <w:szCs w:val="24"/>
              </w:rPr>
              <w:t>, and other commercial tenants, as well as maintaining of parking facilities and advertising; and diversification services, which consists of operation and lease of the industrial park and real estate services, as well as hotel and air cargo logistics serv</w:t>
            </w:r>
            <w:r>
              <w:rPr>
                <w:rFonts w:ascii="Arial" w:hAnsi="Arial" w:cs="Times New Roman"/>
                <w:color w:val="000000"/>
                <w:sz w:val="16"/>
                <w:szCs w:val="24"/>
              </w:rPr>
              <w:t>ices. Additionally, the company provides construction services. It has a strategic alliance with VYNMSA Desarrollo Inmobiliario, S.A. de C.V. to build and operate an industrial park at the Monterrey airport. The company was founded in 1998 and is headquart</w:t>
            </w:r>
            <w:r>
              <w:rPr>
                <w:rFonts w:ascii="Arial" w:hAnsi="Arial" w:cs="Times New Roman"/>
                <w:color w:val="000000"/>
                <w:sz w:val="16"/>
                <w:szCs w:val="24"/>
              </w:rPr>
              <w:t>ered in Mexico City, Mexico.</w:t>
            </w:r>
          </w:p>
        </w:tc>
      </w:tr>
      <w:tr w:rsidR="00000000" w14:paraId="3B0B3DC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9DA71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Grupo Aeroportuario del Sureste, S. A. B. de C. V. (BMV:ASUR 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200EC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E4821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5FD8B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08CF7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Grupo Aeroportuario del Sureste, S. A. B. de C. V. (BMV:ASUR B) 2017 Form 20-F</w:t>
            </w:r>
          </w:p>
        </w:tc>
      </w:tr>
      <w:tr w:rsidR="00000000" w14:paraId="544D3CC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94CD9D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Grupo Aeroportuario del Sureste, S. A. B. de C. V. holds concessions to operate, maintain, and develop airports in the southeast region of Mexico. The company operates nine airports that are located in the cities of Cancún, Cozumel, M</w:t>
            </w:r>
            <w:r>
              <w:rPr>
                <w:rFonts w:ascii="Arial" w:hAnsi="Arial" w:cs="Times New Roman"/>
                <w:color w:val="000000"/>
                <w:sz w:val="16"/>
                <w:szCs w:val="24"/>
              </w:rPr>
              <w:t>érida, Huatulco, Oaxaca, Veracruz, Villahermosa, Tapachula, and Minatitlan. It provides aeronautical services, which include passenger, aircraft landing and parking, passenger walkway, and airport security services. The company also offers non-aeronautical</w:t>
            </w:r>
            <w:r>
              <w:rPr>
                <w:rFonts w:ascii="Arial" w:hAnsi="Arial" w:cs="Times New Roman"/>
                <w:color w:val="000000"/>
                <w:sz w:val="16"/>
                <w:szCs w:val="24"/>
              </w:rPr>
              <w:t xml:space="preserve"> services, such as leasing of space at its airports to retailers, restaurants, airlines, and other commercial tenants; catering, handling, and ground transportation services. In addition, it operates the Luis Muñoz Marín International Airport in San Juan, </w:t>
            </w:r>
            <w:r>
              <w:rPr>
                <w:rFonts w:ascii="Arial" w:hAnsi="Arial" w:cs="Times New Roman"/>
                <w:color w:val="000000"/>
                <w:sz w:val="16"/>
                <w:szCs w:val="24"/>
              </w:rPr>
              <w:t>Puerto Rico; and holds concessions to operate the various airports in Colombia, including the Enrique Olaya Herrera Airport in Medellín and José María Córdova International Airport in Rionegro, the Los Garzones Airport in Montería, the Antonio Roldán Betan</w:t>
            </w:r>
            <w:r>
              <w:rPr>
                <w:rFonts w:ascii="Arial" w:hAnsi="Arial" w:cs="Times New Roman"/>
                <w:color w:val="000000"/>
                <w:sz w:val="16"/>
                <w:szCs w:val="24"/>
              </w:rPr>
              <w:t>court Airport in Carepa, the El Caraño Airport in Quibdó, and the Las Brujas Airport in Corozal. The company was incorporated in 1998 and is headquartered in Mexico City, Mexico.</w:t>
            </w:r>
          </w:p>
        </w:tc>
      </w:tr>
      <w:tr w:rsidR="00000000" w14:paraId="29B8971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21A94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Jazz Aviation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682D2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9A51D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42A94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64F28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 2022 Form Doc</w:t>
            </w:r>
          </w:p>
        </w:tc>
      </w:tr>
      <w:tr w:rsidR="00000000" w14:paraId="25ECA3C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989C8E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Jazz Aviation LP provides regional airline services. The company offers fleet services, route mapping, duty free services, technical services and trainings, charter services, operational s</w:t>
            </w:r>
            <w:r>
              <w:rPr>
                <w:rFonts w:ascii="Arial" w:hAnsi="Arial" w:cs="Times New Roman"/>
                <w:color w:val="000000"/>
                <w:sz w:val="16"/>
                <w:szCs w:val="24"/>
              </w:rPr>
              <w:t>ervices, and ground handling services. Jazz Aviation LP was formerly known as Air Canada Jazz. The company was founded in 2001 and is based in Dartmouth, Canada. Jazz Aviation LP operates as a subsidiary of Chorus Aviation Inc.</w:t>
            </w:r>
          </w:p>
        </w:tc>
      </w:tr>
      <w:tr w:rsidR="00000000" w14:paraId="2CDD7F0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252DD3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Jazz Aviation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FC252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w:t>
            </w:r>
            <w:r>
              <w:rPr>
                <w:rFonts w:ascii="Arial" w:hAnsi="Arial" w:cs="Times New Roman"/>
                <w:color w:val="000000"/>
                <w:sz w:val="16"/>
                <w:szCs w:val="24"/>
              </w:rPr>
              <w:t xml:space="preserve">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29EAD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220D6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68C1B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Chorus Aviation Inc. (TSX:CHR) 2022 Form Doc</w:t>
            </w:r>
          </w:p>
        </w:tc>
      </w:tr>
      <w:tr w:rsidR="00000000" w14:paraId="55BCF82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85DE8E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Jazz Aviation LP provides regional airline services. The company offers fleet services, route mapping, duty free services, technical services and trainings, charter services, operational services, and ground handling services. Jazz Aviation LP was formerly</w:t>
            </w:r>
            <w:r>
              <w:rPr>
                <w:rFonts w:ascii="Arial" w:hAnsi="Arial" w:cs="Times New Roman"/>
                <w:color w:val="000000"/>
                <w:sz w:val="16"/>
                <w:szCs w:val="24"/>
              </w:rPr>
              <w:t xml:space="preserve"> known as Air Canada Jazz. The company was founded in 2001 and is based in Dartmouth, Canada. Jazz Aviation LP operates as a subsidiary of Chorus Aviation Inc.</w:t>
            </w:r>
          </w:p>
        </w:tc>
      </w:tr>
      <w:tr w:rsidR="00000000" w14:paraId="26E2968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D89C5C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Latécoère S.A. (ENXTPA:LAT)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974CDD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0A731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8ED66F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Aerospace and Defense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92C02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Latécoère S.A. (ENXTPA:LAT) - Form Doc</w:t>
            </w:r>
          </w:p>
        </w:tc>
      </w:tr>
      <w:tr w:rsidR="00000000" w14:paraId="6D3CFB32"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DB4696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Latécoère S.A. designs, develops, manufactures, and supports aerostructures and interconnection systems in Europe, the United States, Africa, Asia, and internationally. The</w:t>
            </w:r>
            <w:r>
              <w:rPr>
                <w:rFonts w:ascii="Arial" w:hAnsi="Arial" w:cs="Times New Roman"/>
                <w:color w:val="000000"/>
                <w:sz w:val="16"/>
                <w:szCs w:val="24"/>
              </w:rPr>
              <w:t xml:space="preserve"> company manufactures aircraft structural elements, such as aircraft doors; and fuselage components, such as aircraft sections, tail cones, nose cone fairings, etc. It also offers electrical harnesses and wiring interconnection systems, avionics racks, air</w:t>
            </w:r>
            <w:r>
              <w:rPr>
                <w:rFonts w:ascii="Arial" w:hAnsi="Arial" w:cs="Times New Roman"/>
                <w:color w:val="000000"/>
                <w:sz w:val="16"/>
                <w:szCs w:val="24"/>
              </w:rPr>
              <w:t>borne video equipment and systems, and test benches for the aeronautics, defense, and space sectors, as well as cameras, screens, data transmission solutions. The company was founded in 1917 and is headquartered in Toulouse, France. Latécoère S.A. is a sub</w:t>
            </w:r>
            <w:r>
              <w:rPr>
                <w:rFonts w:ascii="Arial" w:hAnsi="Arial" w:cs="Times New Roman"/>
                <w:color w:val="000000"/>
                <w:sz w:val="16"/>
                <w:szCs w:val="24"/>
              </w:rPr>
              <w:t>sidiary of SCP SKN HOLDING I SAS.</w:t>
            </w:r>
          </w:p>
        </w:tc>
      </w:tr>
      <w:tr w:rsidR="00000000" w14:paraId="32B2269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77D986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Metropolitan Washington Airports Authority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4BE51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Air-Canada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2A1202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5BBF8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CD06B5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Metropolitan Washington Airports Authority - Form Doc</w:t>
            </w:r>
          </w:p>
        </w:tc>
      </w:tr>
      <w:tr w:rsidR="00000000" w14:paraId="6EAF05C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77F6E1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Metropolitan Washington Airports Authority operates and manages Ronald Reagan Washington National Airport and Washington Dulles International Airport that provide domestic and international air services for the mid-Atlantic region. The company operates and</w:t>
            </w:r>
            <w:r>
              <w:rPr>
                <w:rFonts w:ascii="Arial" w:hAnsi="Arial" w:cs="Times New Roman"/>
                <w:color w:val="000000"/>
                <w:sz w:val="16"/>
                <w:szCs w:val="24"/>
              </w:rPr>
              <w:t xml:space="preserve"> maintains Dulles toll road; and manages the construction of Dulles Corridor Metrorail project. It also provides concession services that include public parking facilities, car rentals, display advertising, ground transportation, inflight catering, fixed-b</w:t>
            </w:r>
            <w:r>
              <w:rPr>
                <w:rFonts w:ascii="Arial" w:hAnsi="Arial" w:cs="Times New Roman"/>
                <w:color w:val="000000"/>
                <w:sz w:val="16"/>
                <w:szCs w:val="24"/>
              </w:rPr>
              <w:t>ased operations, and other services, as well as comprise food and beverage, retail, and newsstand sales services. The company is based in Washington, the District of Columbia.</w:t>
            </w:r>
          </w:p>
        </w:tc>
      </w:tr>
      <w:tr w:rsidR="00000000" w14:paraId="68653CE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B7E722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Shoppers Drug Mart Corporation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CEDEC3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8B5CE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781E3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Drug Retail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2B764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0D2881E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EDE9C8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0FA40C3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0C22A1"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SiTime Corporation (NasdaqGM:SITM)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995EA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8D19A5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C1ADBB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Semiconductors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6CBD3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Key Development</w:t>
            </w:r>
            <w:r>
              <w:rPr>
                <w:rFonts w:ascii="Arial" w:hAnsi="Arial" w:cs="Times New Roman"/>
                <w:color w:val="000000"/>
                <w:sz w:val="16"/>
                <w:szCs w:val="24"/>
              </w:rPr>
              <w:t>Client Announcements Sep-04-2019</w:t>
            </w:r>
          </w:p>
        </w:tc>
      </w:tr>
      <w:tr w:rsidR="00000000" w14:paraId="522419C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374C7D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SiTime Corporation designs, develops, and sells silicon timing systems solutions in Taiwan, Hong Kong, the United States, and internationally. The company provides resonators and clock integrated circuits, and various types of oscillators. Its solutions ha</w:t>
            </w:r>
            <w:r>
              <w:rPr>
                <w:rFonts w:ascii="Arial" w:hAnsi="Arial" w:cs="Times New Roman"/>
                <w:color w:val="000000"/>
                <w:sz w:val="16"/>
                <w:szCs w:val="24"/>
              </w:rPr>
              <w:t>ve applications in various markets, including communications and enterprise, automotive, industrial, Internet of Things, mobile, consumer, and aerospace and defense. The company sells its timing products through distributors and resellers. SiTime Corporati</w:t>
            </w:r>
            <w:r>
              <w:rPr>
                <w:rFonts w:ascii="Arial" w:hAnsi="Arial" w:cs="Times New Roman"/>
                <w:color w:val="000000"/>
                <w:sz w:val="16"/>
                <w:szCs w:val="24"/>
              </w:rPr>
              <w:t>on was incorporated in 2003 and is headquartered in Santa Clara, California.</w:t>
            </w:r>
          </w:p>
        </w:tc>
      </w:tr>
      <w:tr w:rsidR="00000000" w14:paraId="22CC210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DFD3BA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Sky Regional Airlines Inc. (Out of Business)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E78D5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269B4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20982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Airlines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79555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2019 Form Doc</w:t>
            </w:r>
          </w:p>
        </w:tc>
      </w:tr>
      <w:tr w:rsidR="00000000" w14:paraId="4EDF353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C1CFB3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As of April, 2021, Sky Regional Airlines Inc. went out of business. Sky Regional Airlines Inc. owns and operates regional airlines. It provides regional carrier service for Air Canada Express operating scheduled flights between Boston, New York, Newark, Ph</w:t>
            </w:r>
            <w:r>
              <w:rPr>
                <w:rFonts w:ascii="Arial" w:hAnsi="Arial" w:cs="Times New Roman"/>
                <w:color w:val="000000"/>
                <w:sz w:val="16"/>
                <w:szCs w:val="24"/>
              </w:rPr>
              <w:t>iladelphia, Washington, Dallas, and Chicago. The company was founded in 2010 and is based in Mississauga, Canada. Sky Regional Airlines Inc. is a former subsidiary of Skyservice Business Aviation Inc.</w:t>
            </w:r>
          </w:p>
        </w:tc>
      </w:tr>
      <w:tr w:rsidR="00000000" w14:paraId="54A5D20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40A5C7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Spartan Bioscience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8961D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7B92E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BF967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Hea</w:t>
            </w:r>
            <w:r>
              <w:rPr>
                <w:rFonts w:ascii="Arial" w:hAnsi="Arial" w:cs="Times New Roman"/>
                <w:color w:val="000000"/>
                <w:sz w:val="16"/>
                <w:szCs w:val="24"/>
              </w:rPr>
              <w:t>lth Care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8FB1D7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 2021 Form Doc</w:t>
            </w:r>
          </w:p>
        </w:tc>
      </w:tr>
      <w:tr w:rsidR="00000000" w14:paraId="008D5DC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876CC6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3B923B0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A5419A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Supplair B.V.</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69CF0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3801E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AEDEC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Support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A45D0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gategroup Holding AG - Form Doc</w:t>
            </w:r>
          </w:p>
        </w:tc>
      </w:tr>
      <w:tr w:rsidR="00000000" w14:paraId="5E839F0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3F02335"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Supplair B.V. provides development and logistical supply of food and beverage product solutions for the in-flight foodservice industry in Europe and the United States. It also develops product sourcing and service concepts. The compan</w:t>
            </w:r>
            <w:r>
              <w:rPr>
                <w:rFonts w:ascii="Arial" w:hAnsi="Arial" w:cs="Times New Roman"/>
                <w:color w:val="000000"/>
                <w:sz w:val="16"/>
                <w:szCs w:val="24"/>
              </w:rPr>
              <w:t>y was founded in 2000 and is based in Amsterdam, the Netherlands. As of November 3, 2005, Supplair B.V. operates as a subsidiary of deSter Holding BV.</w:t>
            </w:r>
          </w:p>
        </w:tc>
      </w:tr>
      <w:tr w:rsidR="00000000" w14:paraId="42CCA50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78328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Boeing Company (NYSE:BA)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37F362"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80DE3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DA390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Aerospace and Defense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5C99E5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w:t>
            </w:r>
            <w:r>
              <w:rPr>
                <w:rFonts w:ascii="Arial" w:hAnsi="Arial" w:cs="Times New Roman"/>
                <w:color w:val="000000"/>
                <w:sz w:val="16"/>
                <w:szCs w:val="24"/>
              </w:rPr>
              <w:t>ada (TSX:AC) 2022 Form Doc</w:t>
            </w:r>
          </w:p>
        </w:tc>
      </w:tr>
      <w:tr w:rsidR="00000000" w14:paraId="049ED7C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FE30E0D"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 Boeing Company, together with its subsidiaries, designs, develops, manufactures, sales, services, and supports commercial jetliners, military aircraft, satellites, missile defense, human space flight an</w:t>
            </w:r>
            <w:r>
              <w:rPr>
                <w:rFonts w:ascii="Arial" w:hAnsi="Arial" w:cs="Times New Roman"/>
                <w:color w:val="000000"/>
                <w:sz w:val="16"/>
                <w:szCs w:val="24"/>
              </w:rPr>
              <w:t xml:space="preserve">d launch systems, and services worldwide. The company operates through four segments: Commercial Airplanes; Defense, Space &amp; Security; Global Services; and Boeing Capital. The Commercial Airplanes segment provides commercial jet aircraft for passenger and </w:t>
            </w:r>
            <w:r>
              <w:rPr>
                <w:rFonts w:ascii="Arial" w:hAnsi="Arial" w:cs="Times New Roman"/>
                <w:color w:val="000000"/>
                <w:sz w:val="16"/>
                <w:szCs w:val="24"/>
              </w:rPr>
              <w:t>cargo requirements, as well as fleet support services. The Defense, Space &amp; Security segment engages in the research, development, production, and modification of manned and unmanned military aircraft and weapons systems; strategic defense and intelligence</w:t>
            </w:r>
            <w:r>
              <w:rPr>
                <w:rFonts w:ascii="Arial" w:hAnsi="Arial" w:cs="Times New Roman"/>
                <w:color w:val="000000"/>
                <w:sz w:val="16"/>
                <w:szCs w:val="24"/>
              </w:rPr>
              <w:t xml:space="preserve"> systems, which include strategic missile and defense systems, command, control, communications, computers, intelligence, surveillance and reconnaissance, cyber and information solutions, and intelligence systems; and satellite systems, such as government </w:t>
            </w:r>
            <w:r>
              <w:rPr>
                <w:rFonts w:ascii="Arial" w:hAnsi="Arial" w:cs="Times New Roman"/>
                <w:color w:val="000000"/>
                <w:sz w:val="16"/>
                <w:szCs w:val="24"/>
              </w:rPr>
              <w:t>and commercial satellites, and space exploration. The Global Services segment offers products and services, including supply chain and logistics management, engineering, maintenance and modifications, upgrades and conversions, spare parts, pilot and mainte</w:t>
            </w:r>
            <w:r>
              <w:rPr>
                <w:rFonts w:ascii="Arial" w:hAnsi="Arial" w:cs="Times New Roman"/>
                <w:color w:val="000000"/>
                <w:sz w:val="16"/>
                <w:szCs w:val="24"/>
              </w:rPr>
              <w:t>nance training systems and services, technical and maintenance documents, and data analytics and digital services to commercial and defense customers. The Boeing Capital segment offers financing services and manages financing exposure for a portfolio of eq</w:t>
            </w:r>
            <w:r>
              <w:rPr>
                <w:rFonts w:ascii="Arial" w:hAnsi="Arial" w:cs="Times New Roman"/>
                <w:color w:val="000000"/>
                <w:sz w:val="16"/>
                <w:szCs w:val="24"/>
              </w:rPr>
              <w:t>uipment under operating leases, sales-type/finance leases, notes and other receivables, assets held for sale or re-lease, and investments. The company was incorporated in 1916 and is based in Chicago, Illinois.</w:t>
            </w:r>
          </w:p>
        </w:tc>
      </w:tr>
      <w:tr w:rsidR="00000000" w14:paraId="7090121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C8929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Toronto-Dominion Bank (TSX:TD)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5AD2FAF"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00B0B3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BA112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2FD1C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Toronto-Dominion Bank (TSX:TD) 2021 Form 40-F</w:t>
            </w:r>
          </w:p>
        </w:tc>
      </w:tr>
      <w:tr w:rsidR="00000000" w14:paraId="64EF7E19"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211EE4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 Toronto-Dominion Bank, together with its subsidiaries, provides various financial products and services in Canada, the United States</w:t>
            </w:r>
            <w:r>
              <w:rPr>
                <w:rFonts w:ascii="Arial" w:hAnsi="Arial" w:cs="Times New Roman"/>
                <w:color w:val="000000"/>
                <w:sz w:val="16"/>
                <w:szCs w:val="24"/>
              </w:rPr>
              <w:t xml:space="preserve">, and internationally. It operates through three segments: Canadian Retail, U.S. Retail, and Wholesale Banking. The company offers personal deposits, such as chequing, savings, and investment products; financing, investment, cash management, international </w:t>
            </w:r>
            <w:r>
              <w:rPr>
                <w:rFonts w:ascii="Arial" w:hAnsi="Arial" w:cs="Times New Roman"/>
                <w:color w:val="000000"/>
                <w:sz w:val="16"/>
                <w:szCs w:val="24"/>
              </w:rPr>
              <w:t>trade, and day-to-day banking services to businesses; and financing options to customers at point of sale for automotive and recreational vehicle purchases. It also provides credit cards and payments; real estate secured lending, auto finance, and consumer</w:t>
            </w:r>
            <w:r>
              <w:rPr>
                <w:rFonts w:ascii="Arial" w:hAnsi="Arial" w:cs="Times New Roman"/>
                <w:color w:val="000000"/>
                <w:sz w:val="16"/>
                <w:szCs w:val="24"/>
              </w:rPr>
              <w:t xml:space="preserve"> lending services; point-of-sale payment solutions for large and small businesses; wealth and asset management products, and advice to retail and institutional clients through direct investing, advice-based, and asset management businesses; and property an</w:t>
            </w:r>
            <w:r>
              <w:rPr>
                <w:rFonts w:ascii="Arial" w:hAnsi="Arial" w:cs="Times New Roman"/>
                <w:color w:val="000000"/>
                <w:sz w:val="16"/>
                <w:szCs w:val="24"/>
              </w:rPr>
              <w:t>d casualty insurance, as well as life and health insurance products. The company also provides capital markets, and corporate and investment banking products and services, including underwriting and distribution of new debt and equity issues; advice on str</w:t>
            </w:r>
            <w:r>
              <w:rPr>
                <w:rFonts w:ascii="Arial" w:hAnsi="Arial" w:cs="Times New Roman"/>
                <w:color w:val="000000"/>
                <w:sz w:val="16"/>
                <w:szCs w:val="24"/>
              </w:rPr>
              <w:t>ategic acquisitions and divestitures; and trading, funding, and investment services to corporations, governments, and institutions. It offers its products and services under the TD Bank and America's Most Convenient Bank brand names. The company operates t</w:t>
            </w:r>
            <w:r>
              <w:rPr>
                <w:rFonts w:ascii="Arial" w:hAnsi="Arial" w:cs="Times New Roman"/>
                <w:color w:val="000000"/>
                <w:sz w:val="16"/>
                <w:szCs w:val="24"/>
              </w:rPr>
              <w:t>hrough a network of 1,061 branches and 3,381 automated teller machines (ATMs) in Canada, and 1,148 stores and 2,701 ATMs in the United States, as well as offers telephone, digital, and mobile banking services. It has a strategic alliance with Canada Post C</w:t>
            </w:r>
            <w:r>
              <w:rPr>
                <w:rFonts w:ascii="Arial" w:hAnsi="Arial" w:cs="Times New Roman"/>
                <w:color w:val="000000"/>
                <w:sz w:val="16"/>
                <w:szCs w:val="24"/>
              </w:rPr>
              <w:t>orporation. The Toronto-Dominion Bank was founded in 1855 and is headquartered in Toronto, Canada.</w:t>
            </w:r>
          </w:p>
        </w:tc>
      </w:tr>
      <w:tr w:rsidR="00000000" w14:paraId="561190A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C57087"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Unisync Group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7AD70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97847A"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C215DB"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Apparel, Accessories and Luxury Goods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5CD7516"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Unisync Corp. (TSX:UNI) 2021 Form Doc</w:t>
            </w:r>
          </w:p>
        </w:tc>
      </w:tr>
      <w:tr w:rsidR="00000000" w14:paraId="125C5B7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AE7315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Unisync Group Limited designs, manufactures, and supplies corporate apparel and promotional products. It offers uniforms, work wear, image apparel, and related products. The company</w:t>
            </w:r>
            <w:r>
              <w:rPr>
                <w:rFonts w:ascii="Arial" w:hAnsi="Arial" w:cs="Times New Roman"/>
                <w:color w:val="000000"/>
                <w:sz w:val="16"/>
                <w:szCs w:val="24"/>
              </w:rPr>
              <w:t>’</w:t>
            </w:r>
            <w:r>
              <w:rPr>
                <w:rFonts w:ascii="Arial" w:hAnsi="Arial" w:cs="Times New Roman"/>
                <w:color w:val="000000"/>
                <w:sz w:val="16"/>
                <w:szCs w:val="24"/>
              </w:rPr>
              <w:t>s services include design, technical specification d</w:t>
            </w:r>
            <w:r>
              <w:rPr>
                <w:rFonts w:ascii="Arial" w:hAnsi="Arial" w:cs="Times New Roman"/>
                <w:color w:val="000000"/>
                <w:sz w:val="16"/>
                <w:szCs w:val="24"/>
              </w:rPr>
              <w:t>evelopment, sourcing, manufacturing, online ordering, strategic and inventory planning, distribution and program management, and bilingual customer services. Unisync Group Limited was formerly known as York Uniforms Limited. The company was founded in 1980</w:t>
            </w:r>
            <w:r>
              <w:rPr>
                <w:rFonts w:ascii="Arial" w:hAnsi="Arial" w:cs="Times New Roman"/>
                <w:color w:val="000000"/>
                <w:sz w:val="16"/>
                <w:szCs w:val="24"/>
              </w:rPr>
              <w:t xml:space="preserve"> and is based in Mississauga, Canada with locations in North America and internationally. As of June 30, 2014, Unisync Group Limited operates as a subsidiary of Unisync Corp.</w:t>
            </w:r>
          </w:p>
        </w:tc>
      </w:tr>
      <w:tr w:rsidR="00000000" w14:paraId="5BF1F72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2E29D0"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Virtual eTraining AB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07103E"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 Canada (TSX:AC)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406E1C8"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108589"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FDF7E03"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First Venture Sweden AB (publ) (OM:FIRST B) - Form Doc</w:t>
            </w:r>
          </w:p>
        </w:tc>
      </w:tr>
      <w:tr w:rsidR="00000000" w14:paraId="3465AA4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CA2961C"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Virtual eTraining AB develops virtual reality learning software. Its products include, e360 TOUR, it can be used to replace </w:t>
            </w:r>
            <w:r>
              <w:rPr>
                <w:rFonts w:ascii="Arial" w:hAnsi="Arial" w:cs="Times New Roman"/>
                <w:color w:val="000000"/>
                <w:sz w:val="16"/>
                <w:szCs w:val="24"/>
              </w:rPr>
              <w:lastRenderedPageBreak/>
              <w:t>costly site visits and can be integrated with existing e-learning solutions; e360 COURSE, it can be used to see live animations, tak</w:t>
            </w:r>
            <w:r>
              <w:rPr>
                <w:rFonts w:ascii="Arial" w:hAnsi="Arial" w:cs="Times New Roman"/>
                <w:color w:val="000000"/>
                <w:sz w:val="16"/>
                <w:szCs w:val="24"/>
              </w:rPr>
              <w:t xml:space="preserve">e quizzes and examinations and provides full 360 degree navigable environment; and e360 EDITOR, it can be used to manage course content on virtual world in </w:t>
            </w:r>
            <w:r>
              <w:rPr>
                <w:rFonts w:ascii="Arial" w:hAnsi="Arial" w:cs="Times New Roman"/>
                <w:color w:val="000000"/>
                <w:sz w:val="16"/>
                <w:szCs w:val="24"/>
              </w:rPr>
              <w:t>–</w:t>
            </w:r>
            <w:r>
              <w:rPr>
                <w:rFonts w:ascii="Arial" w:hAnsi="Arial" w:cs="Times New Roman"/>
                <w:color w:val="000000"/>
                <w:sz w:val="16"/>
                <w:szCs w:val="24"/>
              </w:rPr>
              <w:t>house, change texts, videos, and audio. Virtual eTraining AB was founded in 2011 and is based in St</w:t>
            </w:r>
            <w:r>
              <w:rPr>
                <w:rFonts w:ascii="Arial" w:hAnsi="Arial" w:cs="Times New Roman"/>
                <w:color w:val="000000"/>
                <w:sz w:val="16"/>
                <w:szCs w:val="24"/>
              </w:rPr>
              <w:t>ockholm, Sweden.</w:t>
            </w:r>
          </w:p>
        </w:tc>
      </w:tr>
    </w:tbl>
    <w:p w14:paraId="3B434F2C" w14:textId="77777777" w:rsidR="00000000" w:rsidRDefault="00F35C40">
      <w:pPr>
        <w:widowControl w:val="0"/>
        <w:autoSpaceDE w:val="0"/>
        <w:autoSpaceDN w:val="0"/>
        <w:adjustRightInd w:val="0"/>
        <w:spacing w:after="0" w:line="240" w:lineRule="auto"/>
      </w:pPr>
      <w:r>
        <w:rPr>
          <w:rFonts w:ascii="Arial" w:hAnsi="Arial" w:cs="Times New Roman"/>
          <w:color w:val="008000"/>
          <w:sz w:val="16"/>
          <w:szCs w:val="24"/>
        </w:rPr>
        <w:lastRenderedPageBreak/>
        <w:t>*</w:t>
      </w:r>
      <w:r>
        <w:rPr>
          <w:rFonts w:ascii="Arial" w:hAnsi="Arial" w:cs="Times New Roman"/>
          <w:color w:val="000000"/>
          <w:sz w:val="16"/>
          <w:szCs w:val="24"/>
        </w:rPr>
        <w:t>denotes proprietary relationship</w:t>
      </w:r>
    </w:p>
    <w:sectPr w:rsidR="00000000">
      <w:headerReference w:type="default" r:id="rId7"/>
      <w:footerReference w:type="default" r:id="rId8"/>
      <w:headerReference w:type="first" r:id="rId9"/>
      <w:footerReference w:type="first" r:id="rId10"/>
      <w:pgSz w:w="12240" w:h="15840"/>
      <w:pgMar w:top="792" w:right="792" w:bottom="792" w:left="792"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FB00" w14:textId="77777777" w:rsidR="00000000" w:rsidRDefault="00F35C40">
      <w:pPr>
        <w:spacing w:after="0" w:line="240" w:lineRule="auto"/>
      </w:pPr>
      <w:r>
        <w:separator/>
      </w:r>
    </w:p>
  </w:endnote>
  <w:endnote w:type="continuationSeparator" w:id="0">
    <w:p w14:paraId="6F339EC8" w14:textId="77777777" w:rsidR="00000000" w:rsidRDefault="00F35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3192"/>
      <w:gridCol w:w="7448"/>
    </w:tblGrid>
    <w:tr w:rsidR="00000000" w14:paraId="481705C9" w14:textId="77777777">
      <w:tblPrEx>
        <w:tblCellMar>
          <w:bottom w:w="0" w:type="dxa"/>
        </w:tblCellMar>
      </w:tblPrEx>
      <w:trPr>
        <w:trHeight w:val="7"/>
      </w:trPr>
      <w:tc>
        <w:tcPr>
          <w:tcW w:w="3192" w:type="dxa"/>
          <w:tcBorders>
            <w:top w:val="single" w:sz="16" w:space="0" w:color="auto"/>
            <w:left w:val="nil"/>
            <w:bottom w:val="nil"/>
            <w:right w:val="nil"/>
          </w:tcBorders>
          <w:shd w:val="clear" w:color="auto" w:fill="FFFFFF"/>
        </w:tcPr>
        <w:p w14:paraId="57600EF4" w14:textId="77777777" w:rsidR="00000000" w:rsidRDefault="00F35C40">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Date Created: Jul-01-2022</w:t>
          </w:r>
        </w:p>
      </w:tc>
      <w:tc>
        <w:tcPr>
          <w:tcW w:w="7448" w:type="dxa"/>
          <w:tcBorders>
            <w:top w:val="single" w:sz="16" w:space="0" w:color="auto"/>
            <w:left w:val="nil"/>
            <w:bottom w:val="nil"/>
            <w:right w:val="nil"/>
          </w:tcBorders>
          <w:shd w:val="clear" w:color="auto" w:fill="FFFFFF"/>
        </w:tcPr>
        <w:p w14:paraId="1B2A7D56" w14:textId="77777777" w:rsidR="00000000" w:rsidRDefault="00F35C40">
          <w:pPr>
            <w:keepLines/>
            <w:widowControl w:val="0"/>
            <w:autoSpaceDE w:val="0"/>
            <w:autoSpaceDN w:val="0"/>
            <w:adjustRightInd w:val="0"/>
            <w:spacing w:after="0" w:line="240" w:lineRule="auto"/>
            <w:jc w:val="right"/>
            <w:rPr>
              <w:rFonts w:ascii="Arial" w:hAnsi="Arial" w:cs="Times New Roman"/>
              <w:color w:val="FF0000"/>
              <w:sz w:val="16"/>
              <w:szCs w:val="24"/>
            </w:rPr>
          </w:pPr>
          <w:r>
            <w:rPr>
              <w:rFonts w:ascii="Arial" w:hAnsi="Arial" w:cs="Times New Roman"/>
              <w:color w:val="FF0000"/>
              <w:sz w:val="16"/>
              <w:szCs w:val="24"/>
            </w:rPr>
            <w:t>Copyright ©</w:t>
          </w:r>
          <w:r>
            <w:rPr>
              <w:rFonts w:ascii="Arial" w:hAnsi="Arial" w:cs="Times New Roman"/>
              <w:color w:val="FF0000"/>
              <w:sz w:val="16"/>
              <w:szCs w:val="24"/>
            </w:rPr>
            <w:t xml:space="preserve"> 2022 S&amp;P Global Market Intelligence, a division of S&amp;P Global Inc. All Rights reserved.</w:t>
          </w:r>
        </w:p>
      </w:tc>
    </w:tr>
    <w:tr w:rsidR="00000000" w14:paraId="313DAD7D"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3645DD0B" w14:textId="77777777" w:rsidR="00000000" w:rsidRDefault="00F35C40">
          <w:pPr>
            <w:keepLines/>
            <w:widowControl w:val="0"/>
            <w:autoSpaceDE w:val="0"/>
            <w:autoSpaceDN w:val="0"/>
            <w:adjustRightInd w:val="0"/>
            <w:spacing w:after="0" w:line="240" w:lineRule="auto"/>
            <w:jc w:val="right"/>
            <w:rPr>
              <w:rFonts w:ascii="Arial" w:hAnsi="Arial" w:cs="Times New Roman"/>
              <w:color w:val="000000"/>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26355A9F" w14:textId="77777777" w:rsidR="00000000" w:rsidRDefault="00F35C40">
    <w:pPr>
      <w:widowControl w:val="0"/>
      <w:autoSpaceDE w:val="0"/>
      <w:autoSpaceDN w:val="0"/>
      <w:adjustRightInd w:val="0"/>
      <w:spacing w:after="0" w:line="240" w:lineRule="auto"/>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70C0498A" w14:textId="77777777">
      <w:tblPrEx>
        <w:tblCellMar>
          <w:bottom w:w="0" w:type="dxa"/>
        </w:tblCellMar>
      </w:tblPrEx>
      <w:trPr>
        <w:trHeight w:val="7"/>
      </w:trPr>
      <w:tc>
        <w:tcPr>
          <w:tcW w:w="5320" w:type="dxa"/>
          <w:tcBorders>
            <w:top w:val="single" w:sz="16" w:space="0" w:color="auto"/>
            <w:left w:val="nil"/>
            <w:bottom w:val="nil"/>
            <w:right w:val="nil"/>
          </w:tcBorders>
          <w:shd w:val="clear" w:color="auto" w:fill="FFFFFF"/>
        </w:tcPr>
        <w:p w14:paraId="20E2CB55" w14:textId="77777777" w:rsidR="00000000" w:rsidRDefault="00F35C40">
          <w:pPr>
            <w:keepLines/>
            <w:widowControl w:val="0"/>
            <w:autoSpaceDE w:val="0"/>
            <w:autoSpaceDN w:val="0"/>
            <w:adjustRightInd w:val="0"/>
            <w:spacing w:after="0" w:line="240" w:lineRule="auto"/>
            <w:rPr>
              <w:rFonts w:ascii="Arial" w:hAnsi="Arial" w:cs="Times New Roman"/>
              <w:sz w:val="16"/>
              <w:szCs w:val="24"/>
            </w:rPr>
          </w:pPr>
          <w:r>
            <w:rPr>
              <w:rFonts w:ascii="Arial" w:hAnsi="Arial" w:cs="Times New Roman"/>
              <w:sz w:val="16"/>
              <w:szCs w:val="24"/>
            </w:rPr>
            <w:t>Date Created: Jul-01-2022</w:t>
          </w:r>
        </w:p>
      </w:tc>
      <w:tc>
        <w:tcPr>
          <w:tcW w:w="5320" w:type="dxa"/>
          <w:tcBorders>
            <w:top w:val="single" w:sz="16" w:space="0" w:color="auto"/>
            <w:left w:val="nil"/>
            <w:bottom w:val="nil"/>
            <w:right w:val="nil"/>
          </w:tcBorders>
          <w:shd w:val="clear" w:color="auto" w:fill="FFFFFF"/>
        </w:tcPr>
        <w:p w14:paraId="379F2E4E" w14:textId="77777777" w:rsidR="00000000" w:rsidRDefault="00F35C40">
          <w:pPr>
            <w:keepLines/>
            <w:widowControl w:val="0"/>
            <w:autoSpaceDE w:val="0"/>
            <w:autoSpaceDN w:val="0"/>
            <w:adjustRightInd w:val="0"/>
            <w:spacing w:after="0" w:line="240" w:lineRule="auto"/>
            <w:jc w:val="right"/>
            <w:rPr>
              <w:rFonts w:ascii="Arial" w:hAnsi="Arial" w:cs="Times New Roman"/>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1BD21FDB" w14:textId="77777777" w:rsidR="00000000" w:rsidRDefault="00F35C40">
    <w:pPr>
      <w:widowControl w:val="0"/>
      <w:autoSpaceDE w:val="0"/>
      <w:autoSpaceDN w:val="0"/>
      <w:adjustRightInd w:val="0"/>
      <w:spacing w:after="0" w:line="240" w:lineRule="auto"/>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26D9" w14:textId="77777777" w:rsidR="00000000" w:rsidRDefault="00F35C40">
      <w:pPr>
        <w:spacing w:after="0" w:line="240" w:lineRule="auto"/>
      </w:pPr>
      <w:r>
        <w:separator/>
      </w:r>
    </w:p>
  </w:footnote>
  <w:footnote w:type="continuationSeparator" w:id="0">
    <w:p w14:paraId="7B046896" w14:textId="77777777" w:rsidR="00000000" w:rsidRDefault="00F35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691"/>
      <w:gridCol w:w="4949"/>
    </w:tblGrid>
    <w:tr w:rsidR="00000000" w14:paraId="73C37E7E" w14:textId="77777777">
      <w:tblPrEx>
        <w:tblCellMar>
          <w:bottom w:w="0" w:type="dxa"/>
        </w:tblCellMar>
      </w:tblPrEx>
      <w:trPr>
        <w:trHeight w:val="200"/>
      </w:trPr>
      <w:tc>
        <w:tcPr>
          <w:tcW w:w="6500" w:type="dxa"/>
          <w:tcBorders>
            <w:top w:val="nil"/>
            <w:left w:val="nil"/>
            <w:bottom w:val="nil"/>
            <w:right w:val="nil"/>
          </w:tcBorders>
          <w:shd w:val="clear" w:color="auto" w:fill="FFFFFF"/>
        </w:tcPr>
        <w:p w14:paraId="24295950" w14:textId="17EC937E" w:rsidR="00000000" w:rsidRDefault="00F35C4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A6175" wp14:editId="345ABC0A">
                <wp:extent cx="114300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615422AF" w14:textId="77777777" w:rsidR="00000000" w:rsidRDefault="00F35C40">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6CD90652"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2DD8AFB2" w14:textId="77777777" w:rsidR="00000000" w:rsidRDefault="00F35C40">
          <w:pPr>
            <w:keepLines/>
            <w:widowControl w:val="0"/>
            <w:autoSpaceDE w:val="0"/>
            <w:autoSpaceDN w:val="0"/>
            <w:adjustRightInd w:val="0"/>
            <w:spacing w:after="0" w:line="240" w:lineRule="auto"/>
            <w:rPr>
              <w:rFonts w:ascii="Verdana" w:hAnsi="Verdana" w:cs="Times New Roman"/>
              <w:color w:val="000000"/>
              <w:sz w:val="26"/>
              <w:szCs w:val="24"/>
            </w:rPr>
          </w:pPr>
          <w:r>
            <w:rPr>
              <w:rFonts w:ascii="Verdana" w:hAnsi="Verdana" w:cs="Times New Roman"/>
              <w:b/>
              <w:sz w:val="26"/>
              <w:szCs w:val="24"/>
            </w:rPr>
            <w:t>Air Canada (TSX:AC) &gt; Suppliers</w:t>
          </w:r>
        </w:p>
      </w:tc>
    </w:tr>
  </w:tbl>
  <w:p w14:paraId="5CD45CA4" w14:textId="59BB41BA" w:rsidR="00000000" w:rsidRDefault="00F35C40">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749662C" wp14:editId="6F66E710">
              <wp:simplePos x="0" y="0"/>
              <wp:positionH relativeFrom="column">
                <wp:posOffset>0</wp:posOffset>
              </wp:positionH>
              <wp:positionV relativeFrom="paragraph">
                <wp:posOffset>6350</wp:posOffset>
              </wp:positionV>
              <wp:extent cx="6756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55635"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WwAEAAGoDAAAOAAAAZHJzL2Uyb0RvYy54bWysU02T0zAMvTPDf/D4TpMWtkCm6R66LJcC&#10;ndnlB6i2k3iwLY/tNum/R3Y/WODGkINHsqTnpydldT9Zw44qRI2u5fNZzZlyAqV2fcu/Pz+++cBZ&#10;TOAkGHSq5ScV+f369avV6Bu1wAGNVIERiIvN6Fs+pOSbqopiUBbiDL1yFOwwWEjkhr6SAUZCt6Za&#10;1PWyGjFIH1CoGOn24Rzk64LfdUqkb10XVWKm5cQtlTOUc5/Par2Cpg/gBy0uNOAfWFjQjh69QT1A&#10;AnYI+i8oq0XAiF2aCbQVdp0WqvRA3czrP7p5GsCr0guJE/1Npvj/YMXX4y4wLVv+ljMHlka01U6x&#10;RVZm9LGhhI3bhdybmNyT36L4EZnDzQCuV4Xh88lT2TxXVL+VZCd6wt+PX1BSDhwSFpmmLtgMSQKw&#10;qUzjdJuGmhITdLl8f7d8V9PQxDVWQXMt9CGmzwoty0bLDXEuwHDcxpSJQHNNye84fNTGlGEbx0Zi&#10;+7G+q0tFRKNljua8GPr9xgR2hLwv5SttUeRlWsCDkwVtUCA/XewE2pxtet24ixpZgLOUe5SnXbiq&#10;RAMtNC/LlzfmpV+qf/0i658AAAD//wMAUEsDBBQABgAIAAAAIQCvw1KZ2AAAAAUBAAAPAAAAZHJz&#10;L2Rvd25yZXYueG1sTI9BT8MwDIXvSPyHyEjcWAoaU9c1nWASl90oE3D0GtNWNE7VZF377/G4wMn2&#10;e9bz53w7uU6NNITWs4H7RQKKuPK25drA4e3lLgUVIrLFzjMZmCnAtri+yjGz/syvNJaxVhLCIUMD&#10;TYx9pnWoGnIYFr4nFu/LDw6jjEOt7YBnCXedfkiSlXbYslxosKddQ9V3eXKS8viRPu8xPcxzV36u&#10;l7v3/cjOmNub6WkDKtIU/5bhgi/oUAjT0Z/YBtUZkEeiqFIuZrJaSnf8FXSR6//0xQ8AAAD//wMA&#10;UEsBAi0AFAAGAAgAAAAhALaDOJL+AAAA4QEAABMAAAAAAAAAAAAAAAAAAAAAAFtDb250ZW50X1R5&#10;cGVzXS54bWxQSwECLQAUAAYACAAAACEAOP0h/9YAAACUAQAACwAAAAAAAAAAAAAAAAAvAQAAX3Jl&#10;bHMvLnJlbHNQSwECLQAUAAYACAAAACEA7y/iVsABAABqAwAADgAAAAAAAAAAAAAAAAAuAgAAZHJz&#10;L2Uyb0RvYy54bWxQSwECLQAUAAYACAAAACEAr8NSmdgAAAAFAQAADwAAAAAAAAAAAAAAAAAaBAAA&#10;ZHJzL2Rvd25yZXYueG1sUEsFBgAAAAAEAAQA8wAAAB8FA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70B2A66B" w14:textId="77777777">
      <w:tblPrEx>
        <w:tblCellMar>
          <w:bottom w:w="0" w:type="dxa"/>
        </w:tblCellMar>
      </w:tblPrEx>
      <w:trPr>
        <w:trHeight w:val="200"/>
      </w:trPr>
      <w:tc>
        <w:tcPr>
          <w:tcW w:w="5650" w:type="dxa"/>
          <w:tcBorders>
            <w:top w:val="nil"/>
            <w:left w:val="nil"/>
            <w:bottom w:val="nil"/>
            <w:right w:val="nil"/>
          </w:tcBorders>
          <w:shd w:val="clear" w:color="auto" w:fill="FFFFFF"/>
        </w:tcPr>
        <w:p w14:paraId="6DDCFDC5" w14:textId="2D3C996E" w:rsidR="00000000" w:rsidRDefault="00F35C4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E18751" wp14:editId="7477A688">
                <wp:extent cx="11430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52004DB9" w14:textId="77777777" w:rsidR="00000000" w:rsidRDefault="00F35C40">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7D2EF7F5"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10A74C83" w14:textId="77777777" w:rsidR="00000000" w:rsidRDefault="00F35C40">
          <w:pPr>
            <w:keepLines/>
            <w:widowControl w:val="0"/>
            <w:autoSpaceDE w:val="0"/>
            <w:autoSpaceDN w:val="0"/>
            <w:adjustRightInd w:val="0"/>
            <w:spacing w:after="0" w:line="240" w:lineRule="auto"/>
            <w:rPr>
              <w:rFonts w:ascii="Verdana" w:hAnsi="Verdana" w:cs="Times New Roman"/>
              <w:sz w:val="26"/>
              <w:szCs w:val="24"/>
            </w:rPr>
          </w:pPr>
          <w:r>
            <w:rPr>
              <w:rFonts w:ascii="Verdana" w:hAnsi="Verdana" w:cs="Times New Roman"/>
              <w:sz w:val="26"/>
              <w:szCs w:val="24"/>
            </w:rPr>
            <w:t>Air Canada (TSX:AC) &gt; Suppliers</w:t>
          </w:r>
        </w:p>
      </w:tc>
    </w:tr>
  </w:tbl>
  <w:p w14:paraId="0DEB5EF4" w14:textId="1E55487B" w:rsidR="00000000" w:rsidRDefault="00F35C40">
    <w:pPr>
      <w:widowControl w:val="0"/>
      <w:autoSpaceDE w:val="0"/>
      <w:autoSpaceDN w:val="0"/>
      <w:adjustRightInd w:val="0"/>
      <w:spacing w:after="0" w:line="240" w:lineRule="auto"/>
      <w:rPr>
        <w:rFonts w:ascii="Times New Roman" w:hAnsi="Times New Roman" w:cs="Times New Roman"/>
        <w:sz w:val="20"/>
        <w:szCs w:val="24"/>
      </w:rPr>
    </w:pPr>
    <w:r>
      <w:rPr>
        <w:noProof/>
      </w:rPr>
      <mc:AlternateContent>
        <mc:Choice Requires="wps">
          <w:drawing>
            <wp:anchor distT="0" distB="0" distL="114300" distR="114300" simplePos="0" relativeHeight="251659264" behindDoc="0" locked="0" layoutInCell="1" allowOverlap="1" wp14:anchorId="28110665" wp14:editId="6BF12CEC">
              <wp:simplePos x="0" y="0"/>
              <wp:positionH relativeFrom="column">
                <wp:posOffset>0</wp:posOffset>
              </wp:positionH>
              <wp:positionV relativeFrom="paragraph">
                <wp:posOffset>6350</wp:posOffset>
              </wp:positionV>
              <wp:extent cx="675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1C411"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i1vwEAAGoDAAAOAAAAZHJzL2Uyb0RvYy54bWysU02P2yAQvVfqf0DcGzurbtpacfaQ7faS&#10;tpF2+wMmgG20wCAgsfPvO5CP7ra3an1ADPPmMfMeXt5N1rCDClGja/l8VnOmnECpXd/yX08PHz5z&#10;FhM4CQadavlRRX63ev9uOfpG3eCARqrAiMTFZvQtH1LyTVVFMSgLcYZeOUp2GCwkCkNfyQAjsVtT&#10;3dT1ohoxSB9QqBjp9P6U5KvC33VKpJ9dF1VipuXUWyprKOsur9VqCU0fwA9anNuA/+jCgnZ06ZXq&#10;HhKwfdD/UFktAkbs0kygrbDrtFBlBppmXv81zeMAXpVZSJzorzLFt6MVPw7bwLQk7zhzYMmijXaK&#10;zbMyo48NAdZuG/JsYnKPfoPiOTKH6wFcr0qHT0dPZaWielWSg+iJfzd+R0kY2CcsMk1dsJmSBGBT&#10;ceN4dUNNiQk6XHy6XXysyTRxyVXQXAp9iOmbQsvypuWGei7EcNjERK0T9ALJ9zh80MYUs41jI3X7&#10;pb6tS0VEo2XOZlwM/W5tAjtAfi/ly0IQ2ytYwL2ThW1QIL+e9wm0Oe0JbxyVXQQ4SblDedyGTJfP&#10;ydBCfH58+cW8jAvqzy+y+g0AAP//AwBQSwMEFAAGAAgAAAAhAK/DUpnYAAAABQEAAA8AAABkcnMv&#10;ZG93bnJldi54bWxMj0FPwzAMhe9I/IfISNxYChpT1zWdYBKX3SgTcPQa01Y0TtVkXfvv8bjAyfZ7&#10;1vPnfDu5To00hNazgftFAoq48rbl2sDh7eUuBRUissXOMxmYKcC2uL7KMbP+zK80lrFWEsIhQwNN&#10;jH2mdagachgWvicW78sPDqOMQ63tgGcJd51+SJKVdtiyXGiwp11D1Xd5cpLy+JE+7zE9zHNXfq6X&#10;u/f9yM6Y25vpaQMq0hT/luGCL+hQCNPRn9gG1RmQR6KoUi5mslpKd/wVdJHr//TFDwAAAP//AwBQ&#10;SwECLQAUAAYACAAAACEAtoM4kv4AAADhAQAAEwAAAAAAAAAAAAAAAAAAAAAAW0NvbnRlbnRfVHlw&#10;ZXNdLnhtbFBLAQItABQABgAIAAAAIQA4/SH/1gAAAJQBAAALAAAAAAAAAAAAAAAAAC8BAABfcmVs&#10;cy8ucmVsc1BLAQItABQABgAIAAAAIQAOuBi1vwEAAGoDAAAOAAAAAAAAAAAAAAAAAC4CAABkcnMv&#10;ZTJvRG9jLnhtbFBLAQItABQABgAIAAAAIQCvw1KZ2AAAAAUBAAAPAAAAAAAAAAAAAAAAABkEAABk&#10;cnMvZG93bnJldi54bWxQSwUGAAAAAAQABADzAAAAH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7035BA"/>
    <w:lvl w:ilvl="0" w:tplc="0409000F">
      <w:start w:val="1"/>
      <w:numFmt w:val="decimal"/>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decimal"/>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decimal"/>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abstractNum w:abstractNumId="1" w15:restartNumberingAfterBreak="0">
    <w:nsid w:val="00000002"/>
    <w:multiLevelType w:val="hybridMultilevel"/>
    <w:tmpl w:val="FF7035B9"/>
    <w:lvl w:ilvl="0" w:tplc="0409000F">
      <w:start w:val="1"/>
      <w:numFmt w:val="upperRoman"/>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decimal"/>
      <w:suff w:val="space"/>
      <w:lvlText w:val="%3)"/>
      <w:lvlJc w:val="right"/>
      <w:pPr>
        <w:ind w:left="2160" w:hanging="180"/>
      </w:pPr>
      <w:rPr>
        <w:rFonts w:cs="Times New Roman"/>
      </w:rPr>
    </w:lvl>
    <w:lvl w:ilvl="3" w:tplc="0409000F" w:tentative="1">
      <w:start w:val="1"/>
      <w:numFmt w:val="upperRoman"/>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decimal"/>
      <w:suff w:val="space"/>
      <w:lvlText w:val="%6)"/>
      <w:lvlJc w:val="right"/>
      <w:pPr>
        <w:ind w:left="4320" w:hanging="180"/>
      </w:pPr>
      <w:rPr>
        <w:rFonts w:cs="Times New Roman"/>
      </w:rPr>
    </w:lvl>
    <w:lvl w:ilvl="6" w:tplc="0409000F" w:tentative="1">
      <w:start w:val="1"/>
      <w:numFmt w:val="upperRoman"/>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decimal"/>
      <w:suff w:val="space"/>
      <w:lvlText w:val="%9)"/>
      <w:lvlJc w:val="right"/>
      <w:pPr>
        <w:ind w:left="6480" w:hanging="180"/>
      </w:pPr>
      <w:rPr>
        <w:rFonts w:cs="Times New Roman"/>
      </w:rPr>
    </w:lvl>
  </w:abstractNum>
  <w:abstractNum w:abstractNumId="2" w15:restartNumberingAfterBreak="0">
    <w:nsid w:val="00000003"/>
    <w:multiLevelType w:val="hybridMultilevel"/>
    <w:tmpl w:val="FF7035B8"/>
    <w:lvl w:ilvl="0" w:tplc="0409000F">
      <w:start w:val="1"/>
      <w:numFmt w:val="upperLetter"/>
      <w:suff w:val="space"/>
      <w:lvlText w:val="%1)"/>
      <w:lvlJc w:val="left"/>
      <w:pPr>
        <w:ind w:left="720" w:hanging="360"/>
      </w:pPr>
      <w:rPr>
        <w:rFonts w:cs="Times New Roman"/>
      </w:rPr>
    </w:lvl>
    <w:lvl w:ilvl="1" w:tplc="04090019">
      <w:start w:val="1"/>
      <w:numFmt w:val="decimal"/>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upperLetter"/>
      <w:suff w:val="space"/>
      <w:lvlText w:val="%4)"/>
      <w:lvlJc w:val="left"/>
      <w:pPr>
        <w:ind w:left="2880" w:hanging="360"/>
      </w:pPr>
      <w:rPr>
        <w:rFonts w:cs="Times New Roman"/>
      </w:rPr>
    </w:lvl>
    <w:lvl w:ilvl="4" w:tplc="04090019" w:tentative="1">
      <w:start w:val="1"/>
      <w:numFmt w:val="decimal"/>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upperLetter"/>
      <w:suff w:val="space"/>
      <w:lvlText w:val="%7)"/>
      <w:lvlJc w:val="left"/>
      <w:pPr>
        <w:ind w:left="5040" w:hanging="360"/>
      </w:pPr>
      <w:rPr>
        <w:rFonts w:cs="Times New Roman"/>
      </w:rPr>
    </w:lvl>
    <w:lvl w:ilvl="7" w:tplc="04090019" w:tentative="1">
      <w:start w:val="1"/>
      <w:numFmt w:val="decimal"/>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3A"/>
    <w:rsid w:val="0032793A"/>
    <w:rsid w:val="00F3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829E700"/>
  <w14:defaultImageDpi w14:val="0"/>
  <w15:docId w15:val="{A8121D15-B9E7-405C-8AC7-23E2D854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4910</Words>
  <Characters>27993</Characters>
  <Application>Microsoft Office Word</Application>
  <DocSecurity>0</DocSecurity>
  <Lines>233</Lines>
  <Paragraphs>65</Paragraphs>
  <ScaleCrop>false</ScaleCrop>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Holmes</dc:creator>
  <cp:keywords/>
  <dc:description/>
  <cp:lastModifiedBy>Ken Holmes</cp:lastModifiedBy>
  <cp:revision>2</cp:revision>
  <dcterms:created xsi:type="dcterms:W3CDTF">2022-07-01T21:45:00Z</dcterms:created>
  <dcterms:modified xsi:type="dcterms:W3CDTF">2022-07-01T21:45:00Z</dcterms:modified>
</cp:coreProperties>
</file>