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40" w:type="dxa"/>
        <w:tblLayout w:type="fixed"/>
        <w:tblCellMar>
          <w:left w:w="0" w:type="dxa"/>
          <w:right w:w="0" w:type="dxa"/>
        </w:tblCellMar>
        <w:tblLook w:val="0000" w:firstRow="0" w:lastRow="0" w:firstColumn="0" w:lastColumn="0" w:noHBand="0" w:noVBand="0"/>
      </w:tblPr>
      <w:tblGrid>
        <w:gridCol w:w="10640"/>
      </w:tblGrid>
      <w:tr w:rsidR="00000000" w14:paraId="0EC81C02" w14:textId="77777777">
        <w:tblPrEx>
          <w:tblCellMar>
            <w:bottom w:w="0" w:type="dxa"/>
          </w:tblCellMar>
        </w:tblPrEx>
        <w:trPr>
          <w:trHeight w:val="8"/>
        </w:trPr>
        <w:tc>
          <w:tcPr>
            <w:tcW w:w="10640" w:type="dxa"/>
            <w:tcBorders>
              <w:top w:val="nil"/>
              <w:left w:val="nil"/>
              <w:bottom w:val="nil"/>
              <w:right w:val="nil"/>
            </w:tcBorders>
            <w:shd w:val="clear" w:color="auto" w:fill="FFFFFF"/>
          </w:tcPr>
          <w:p w14:paraId="251E1994"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p>
        </w:tc>
      </w:tr>
      <w:tr w:rsidR="00000000" w14:paraId="1A832273" w14:textId="77777777">
        <w:tblPrEx>
          <w:tblCellMar>
            <w:top w:w="58" w:type="dxa"/>
            <w:left w:w="72" w:type="dxa"/>
            <w:bottom w:w="0" w:type="dxa"/>
            <w:right w:w="72" w:type="dxa"/>
          </w:tblCellMar>
        </w:tblPrEx>
        <w:trPr>
          <w:trHeight w:val="200"/>
          <w:tblHeader/>
        </w:trPr>
        <w:tc>
          <w:tcPr>
            <w:tcW w:w="10640" w:type="dxa"/>
            <w:tcBorders>
              <w:top w:val="single" w:sz="12" w:space="0" w:color="D0D0C5"/>
              <w:left w:val="single" w:sz="12" w:space="0" w:color="D0D0C5"/>
              <w:bottom w:val="single" w:sz="12" w:space="0" w:color="D0D0C5"/>
              <w:right w:val="single" w:sz="12" w:space="0" w:color="D0D0C5"/>
            </w:tcBorders>
            <w:shd w:val="clear" w:color="auto" w:fill="003366"/>
          </w:tcPr>
          <w:p w14:paraId="2DE73904" w14:textId="77777777" w:rsidR="00000000" w:rsidRDefault="00E44304">
            <w:pPr>
              <w:keepLines/>
              <w:widowControl w:val="0"/>
              <w:autoSpaceDE w:val="0"/>
              <w:autoSpaceDN w:val="0"/>
              <w:adjustRightInd w:val="0"/>
              <w:spacing w:after="0" w:line="240" w:lineRule="auto"/>
              <w:rPr>
                <w:rFonts w:ascii="Arial" w:hAnsi="Arial" w:cs="Times New Roman"/>
                <w:b/>
                <w:color w:val="FFFFFF"/>
                <w:sz w:val="16"/>
                <w:szCs w:val="24"/>
              </w:rPr>
            </w:pPr>
            <w:r>
              <w:rPr>
                <w:rFonts w:ascii="Arial" w:hAnsi="Arial" w:cs="Times New Roman"/>
                <w:b/>
                <w:color w:val="FFFFFF"/>
                <w:sz w:val="16"/>
                <w:szCs w:val="24"/>
              </w:rPr>
              <w:t>Customize View</w:t>
            </w:r>
          </w:p>
        </w:tc>
      </w:tr>
      <w:tr w:rsidR="00000000" w14:paraId="690F4B49" w14:textId="77777777">
        <w:tblPrEx>
          <w:tblCellMar>
            <w:bottom w:w="0" w:type="dxa"/>
          </w:tblCellMar>
        </w:tblPrEx>
        <w:trPr>
          <w:trHeight w:val="8"/>
        </w:trPr>
        <w:tc>
          <w:tcPr>
            <w:tcW w:w="10640" w:type="dxa"/>
            <w:tcBorders>
              <w:top w:val="nil"/>
              <w:left w:val="nil"/>
              <w:bottom w:val="nil"/>
              <w:right w:val="nil"/>
            </w:tcBorders>
            <w:shd w:val="clear" w:color="auto" w:fill="FFFFFF"/>
          </w:tcPr>
          <w:p w14:paraId="33CD6102"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Recently disclosed suppliers only (within the last two years)</w:t>
            </w:r>
          </w:p>
        </w:tc>
      </w:tr>
      <w:tr w:rsidR="00000000" w14:paraId="3C7CC226" w14:textId="77777777">
        <w:tblPrEx>
          <w:tblCellMar>
            <w:bottom w:w="0" w:type="dxa"/>
          </w:tblCellMar>
        </w:tblPrEx>
        <w:trPr>
          <w:trHeight w:val="8"/>
        </w:trPr>
        <w:tc>
          <w:tcPr>
            <w:tcW w:w="10640" w:type="dxa"/>
            <w:tcBorders>
              <w:top w:val="nil"/>
              <w:left w:val="nil"/>
              <w:bottom w:val="nil"/>
              <w:right w:val="nil"/>
            </w:tcBorders>
            <w:shd w:val="clear" w:color="auto" w:fill="FFFFFF"/>
          </w:tcPr>
          <w:p w14:paraId="0AC82D41"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Include Suppliers for:Current subsidiaries</w:t>
            </w:r>
          </w:p>
        </w:tc>
      </w:tr>
    </w:tbl>
    <w:p w14:paraId="1930F3BD" w14:textId="77777777" w:rsidR="00000000" w:rsidRDefault="00E44304">
      <w:pPr>
        <w:widowControl w:val="0"/>
        <w:autoSpaceDE w:val="0"/>
        <w:autoSpaceDN w:val="0"/>
        <w:adjustRightInd w:val="0"/>
        <w:spacing w:after="0" w:line="240" w:lineRule="auto"/>
        <w:rPr>
          <w:rFonts w:ascii="Arial" w:hAnsi="Arial" w:cs="Times New Roman"/>
          <w:sz w:val="16"/>
          <w:szCs w:val="24"/>
        </w:rPr>
      </w:pPr>
    </w:p>
    <w:p w14:paraId="06035B87" w14:textId="77777777" w:rsidR="00000000" w:rsidRDefault="00E44304">
      <w:pPr>
        <w:widowControl w:val="0"/>
        <w:autoSpaceDE w:val="0"/>
        <w:autoSpaceDN w:val="0"/>
        <w:adjustRightInd w:val="0"/>
        <w:spacing w:after="0" w:line="240" w:lineRule="auto"/>
        <w:rPr>
          <w:rFonts w:ascii="Arial" w:hAnsi="Arial" w:cs="Times New Roman"/>
          <w:sz w:val="16"/>
          <w:szCs w:val="24"/>
        </w:rPr>
      </w:pPr>
    </w:p>
    <w:tbl>
      <w:tblPr>
        <w:tblW w:w="10640" w:type="dxa"/>
        <w:tblInd w:w="72" w:type="dxa"/>
        <w:tblLayout w:type="fixed"/>
        <w:tblCellMar>
          <w:top w:w="58" w:type="dxa"/>
          <w:left w:w="72" w:type="dxa"/>
          <w:right w:w="72" w:type="dxa"/>
        </w:tblCellMar>
        <w:tblLook w:val="0000" w:firstRow="0" w:lastRow="0" w:firstColumn="0" w:lastColumn="0" w:noHBand="0" w:noVBand="0"/>
      </w:tblPr>
      <w:tblGrid>
        <w:gridCol w:w="2660"/>
        <w:gridCol w:w="2660"/>
        <w:gridCol w:w="2660"/>
        <w:gridCol w:w="2660"/>
      </w:tblGrid>
      <w:tr w:rsidR="00000000" w14:paraId="6F4B5F5C" w14:textId="77777777">
        <w:tblPrEx>
          <w:tblCellMar>
            <w:bottom w:w="0" w:type="dxa"/>
          </w:tblCellMar>
        </w:tblPrEx>
        <w:trPr>
          <w:trHeight w:val="200"/>
          <w:tblHeader/>
        </w:trPr>
        <w:tc>
          <w:tcPr>
            <w:tcW w:w="10640" w:type="dxa"/>
            <w:gridSpan w:val="4"/>
            <w:tcBorders>
              <w:top w:val="single" w:sz="12" w:space="0" w:color="D0D0C5"/>
              <w:left w:val="single" w:sz="12" w:space="0" w:color="D0D0C5"/>
              <w:bottom w:val="single" w:sz="12" w:space="0" w:color="D0D0C5"/>
              <w:right w:val="single" w:sz="12" w:space="0" w:color="D0D0C5"/>
            </w:tcBorders>
            <w:shd w:val="clear" w:color="auto" w:fill="003366"/>
          </w:tcPr>
          <w:p w14:paraId="49DAF08E" w14:textId="77777777" w:rsidR="00000000" w:rsidRDefault="00E44304">
            <w:pPr>
              <w:keepLines/>
              <w:widowControl w:val="0"/>
              <w:autoSpaceDE w:val="0"/>
              <w:autoSpaceDN w:val="0"/>
              <w:adjustRightInd w:val="0"/>
              <w:spacing w:after="0" w:line="240" w:lineRule="auto"/>
              <w:rPr>
                <w:rFonts w:ascii="Arial" w:hAnsi="Arial" w:cs="Times New Roman"/>
                <w:b/>
                <w:color w:val="FFFFFF"/>
                <w:sz w:val="16"/>
                <w:szCs w:val="24"/>
              </w:rPr>
            </w:pPr>
            <w:r>
              <w:rPr>
                <w:rFonts w:ascii="Arial" w:hAnsi="Arial" w:cs="Times New Roman"/>
                <w:b/>
                <w:color w:val="FFFFFF"/>
                <w:sz w:val="16"/>
                <w:szCs w:val="24"/>
              </w:rPr>
              <w:t>Suppliers</w:t>
            </w:r>
          </w:p>
        </w:tc>
      </w:tr>
      <w:tr w:rsidR="00000000" w14:paraId="5390E41E"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39963C37"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p>
        </w:tc>
      </w:tr>
      <w:tr w:rsidR="00000000" w14:paraId="37911E52" w14:textId="77777777">
        <w:tblPrEx>
          <w:tblCellMar>
            <w:bottom w:w="0" w:type="dxa"/>
          </w:tblCellMar>
        </w:tblPrEx>
        <w:trPr>
          <w:trHeight w:val="8"/>
          <w:tblHeader/>
        </w:trPr>
        <w:tc>
          <w:tcPr>
            <w:tcW w:w="10640" w:type="dxa"/>
            <w:gridSpan w:val="4"/>
            <w:tcBorders>
              <w:top w:val="single" w:sz="4" w:space="0" w:color="D0D0C5"/>
              <w:left w:val="single" w:sz="4" w:space="0" w:color="D0D0C5"/>
              <w:bottom w:val="single" w:sz="4" w:space="0" w:color="D0D0C5"/>
              <w:right w:val="single" w:sz="4" w:space="0" w:color="D0D0C5"/>
            </w:tcBorders>
            <w:shd w:val="clear" w:color="auto" w:fill="E1E1C8"/>
          </w:tcPr>
          <w:p w14:paraId="788C4071" w14:textId="77777777" w:rsidR="00000000" w:rsidRDefault="00E44304">
            <w:pPr>
              <w:pBdr>
                <w:bottom w:val="single" w:sz="4" w:space="0" w:color="auto"/>
              </w:pBdr>
              <w:autoSpaceDE w:val="0"/>
              <w:autoSpaceDN w:val="0"/>
              <w:adjustRightInd w:val="0"/>
              <w:spacing w:after="20" w:line="240" w:lineRule="auto"/>
              <w:rPr>
                <w:rFonts w:ascii="Arial" w:hAnsi="Arial" w:cs="Times New Roman"/>
                <w:color w:val="000000"/>
                <w:sz w:val="16"/>
                <w:szCs w:val="24"/>
              </w:rPr>
            </w:pPr>
            <w:r>
              <w:rPr>
                <w:rFonts w:ascii="Arial" w:hAnsi="Arial" w:cs="Times New Roman"/>
                <w:color w:val="000000"/>
                <w:sz w:val="16"/>
                <w:szCs w:val="24"/>
              </w:rPr>
              <w:t>Recently Disclosed Suppliers</w:t>
            </w:r>
          </w:p>
        </w:tc>
      </w:tr>
      <w:tr w:rsidR="00000000" w14:paraId="290036B2" w14:textId="77777777">
        <w:tblPrEx>
          <w:tblCellMar>
            <w:bottom w:w="0" w:type="dxa"/>
          </w:tblCellMar>
        </w:tblPrEx>
        <w:trPr>
          <w:trHeight w:val="7"/>
          <w:tblHeader/>
        </w:trPr>
        <w:tc>
          <w:tcPr>
            <w:tcW w:w="2660"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5544FF96" w14:textId="77777777" w:rsidR="00000000" w:rsidRDefault="00E44304">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Supplier Name</w:t>
            </w:r>
          </w:p>
        </w:tc>
        <w:tc>
          <w:tcPr>
            <w:tcW w:w="2660"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530E087D" w14:textId="77777777" w:rsidR="00000000" w:rsidRDefault="00E44304">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Relationship Type</w:t>
            </w:r>
          </w:p>
        </w:tc>
        <w:tc>
          <w:tcPr>
            <w:tcW w:w="2660"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5C688BEF" w14:textId="77777777" w:rsidR="00000000" w:rsidRDefault="00E44304">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Primary Industry</w:t>
            </w:r>
          </w:p>
        </w:tc>
        <w:tc>
          <w:tcPr>
            <w:tcW w:w="2660"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31CD3893" w14:textId="77777777" w:rsidR="00000000" w:rsidRDefault="00E44304">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Source</w:t>
            </w:r>
          </w:p>
        </w:tc>
      </w:tr>
      <w:tr w:rsidR="00000000" w14:paraId="052F5867"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083F1599"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Cominar Real Estate Investment Trust</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772C3445"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Landlord</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75DE22EA"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REITs</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65EE61EB"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Cominar Real Estate Investment Trust 2021 Form Doc</w:t>
            </w:r>
          </w:p>
        </w:tc>
      </w:tr>
      <w:tr w:rsidR="00000000" w14:paraId="52691467"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045F2DB4"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Cominar is one of the largest diversified real estate investment trusts in Canada and is the largest commercial property owner in the Province of Québec. Our portfolio consists of 314 high-quality office, retail and industrial properties, totalling 35.8 mi</w:t>
            </w:r>
            <w:r>
              <w:rPr>
                <w:rFonts w:ascii="Arial" w:hAnsi="Arial" w:cs="Times New Roman"/>
                <w:color w:val="000000"/>
                <w:sz w:val="16"/>
                <w:szCs w:val="24"/>
              </w:rPr>
              <w:t>llion square feet located in the Montreal, Québec City and Ottawa areas. Cominar's primary objective is to maximize total return to unitholders by way of tax-efficient distributions and maximizing the unit value through the proactive management of our port</w:t>
            </w:r>
            <w:r>
              <w:rPr>
                <w:rFonts w:ascii="Arial" w:hAnsi="Arial" w:cs="Times New Roman"/>
                <w:color w:val="000000"/>
                <w:sz w:val="16"/>
                <w:szCs w:val="24"/>
              </w:rPr>
              <w:t>folio.</w:t>
            </w:r>
          </w:p>
        </w:tc>
      </w:tr>
      <w:tr w:rsidR="00000000" w14:paraId="01481F62"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24408E3C"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Computershare Trust Company of Canada</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5B9D4CF7"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3C9E9046"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Data Processing and Outsourced Services</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2A11A087"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Canadian National Railway Company (TSX:CNR) 2022 Form 40-F</w:t>
            </w:r>
          </w:p>
        </w:tc>
      </w:tr>
      <w:tr w:rsidR="00000000" w14:paraId="643E35B3"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46E898E4"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2FBC1C79"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419EF549"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Computershare Trust Company, National Association</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0A34C285"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2517295B"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Investment Banking and Brokerage</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049A5504"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Canadian National Railway Company (TSX:CNR) 2022 Form 40-F</w:t>
            </w:r>
          </w:p>
        </w:tc>
      </w:tr>
      <w:tr w:rsidR="00000000" w14:paraId="4AF8F237"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5E9D1344"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1A4800DA"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4B711201"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IT Link SA (ENXTPA:ALITL)</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4BCC8B07"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00FE5D25"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39480080"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IT Link SA (ENXTPA:ALITL) - Form </w:t>
            </w:r>
          </w:p>
        </w:tc>
      </w:tr>
      <w:tr w:rsidR="00000000" w14:paraId="00AAC355"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57555BAC"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IT Link SA provides digitalization solutions in France. The company offers sensors, actuators, and embedded intelligence systems; Internet of things (IoT) and industrial connected systems; dependability and critical systems analysis; data intelligence syst</w:t>
            </w:r>
            <w:r>
              <w:rPr>
                <w:rFonts w:ascii="Arial" w:hAnsi="Arial" w:cs="Times New Roman"/>
                <w:color w:val="000000"/>
                <w:sz w:val="16"/>
                <w:szCs w:val="24"/>
              </w:rPr>
              <w:t>ems, including scientific and industrial big data; business information systems and web interfaces; mobile applications; connected systems engineering services; and co-construction dynamics and tools. It serves automotive, energy, defense, aerospace, telec</w:t>
            </w:r>
            <w:r>
              <w:rPr>
                <w:rFonts w:ascii="Arial" w:hAnsi="Arial" w:cs="Times New Roman"/>
                <w:color w:val="000000"/>
                <w:sz w:val="16"/>
                <w:szCs w:val="24"/>
              </w:rPr>
              <w:t>om and IOT, public transportation, services and retail, health and biomedical, and media and entertainment sectors. The company is based in Le Kremlin-Bicêtre, France.</w:t>
            </w:r>
          </w:p>
        </w:tc>
      </w:tr>
      <w:tr w:rsidR="00000000" w14:paraId="336CEF04"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3214524C"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JPMorgan Chase Bank, National Association (BDL:166810345)</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50A5ECD9"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087C31DD"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1F91B22B"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w:t>
            </w:r>
            <w:r>
              <w:rPr>
                <w:rFonts w:ascii="Arial" w:hAnsi="Arial" w:cs="Times New Roman"/>
                <w:color w:val="000000"/>
                <w:sz w:val="16"/>
                <w:szCs w:val="24"/>
              </w:rPr>
              <w:t>nadian National Railway Company (TSX:CNR) 2021 Form F-4</w:t>
            </w:r>
          </w:p>
        </w:tc>
      </w:tr>
      <w:tr w:rsidR="00000000" w14:paraId="0CFBD1EE"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751A4CA8"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JPMorgan Chase Bank, National Association operates as a bank. The company is an asset manager. It provides demand deposits and non-interest bearing time and savings deposits. The company's deposits include deposits in transaction accounts, brokered deposit</w:t>
            </w:r>
            <w:r>
              <w:rPr>
                <w:rFonts w:ascii="Arial" w:hAnsi="Arial" w:cs="Times New Roman"/>
                <w:color w:val="000000"/>
                <w:sz w:val="16"/>
                <w:szCs w:val="24"/>
              </w:rPr>
              <w:t>s which represent funds, retail time deposits, individual retirement accounts and Keogh plan time deposits, money market deposit accounts and jumbo deposits. The company provides consumer loans, including credit card loans, revolving credit plans, personal</w:t>
            </w:r>
            <w:r>
              <w:rPr>
                <w:rFonts w:ascii="Arial" w:hAnsi="Arial" w:cs="Times New Roman"/>
                <w:color w:val="000000"/>
                <w:sz w:val="16"/>
                <w:szCs w:val="24"/>
              </w:rPr>
              <w:t xml:space="preserve"> loans and automotive loans. It provides domestic commercial and industrial loans. Also, it provides commercial real estate loans for land development and on-site construction of industrial, commercial, residential, or farm buildings in the United States. </w:t>
            </w:r>
            <w:r>
              <w:rPr>
                <w:rFonts w:ascii="Arial" w:hAnsi="Arial" w:cs="Times New Roman"/>
                <w:color w:val="000000"/>
                <w:sz w:val="16"/>
                <w:szCs w:val="24"/>
              </w:rPr>
              <w:t>The company offers real estate-backed residential loans. In addition, the company offers commercial loans collateralized by real estate properties. In addition, it provides loans for the purpose of financing agricultural production. In addition, the compan</w:t>
            </w:r>
            <w:r>
              <w:rPr>
                <w:rFonts w:ascii="Arial" w:hAnsi="Arial" w:cs="Times New Roman"/>
                <w:color w:val="000000"/>
                <w:sz w:val="16"/>
                <w:szCs w:val="24"/>
              </w:rPr>
              <w:t>y offers loans to other banks, other depository institutions, other associations, companies, and financial intermediaries. In addition, it provides loans which include planned and unplanned overdrafts, to governments in non-U. S. Countries, to their offici</w:t>
            </w:r>
            <w:r>
              <w:rPr>
                <w:rFonts w:ascii="Arial" w:hAnsi="Arial" w:cs="Times New Roman"/>
                <w:color w:val="000000"/>
                <w:sz w:val="16"/>
                <w:szCs w:val="24"/>
              </w:rPr>
              <w:t>al institutions, and to international and regional institutions. The company was formerly known as JPMorgan Chase Bank and changed its name to JPMorgan Chase Bank, National Association in November 2004. The company was founded in 1824 and is based in Colum</w:t>
            </w:r>
            <w:r>
              <w:rPr>
                <w:rFonts w:ascii="Arial" w:hAnsi="Arial" w:cs="Times New Roman"/>
                <w:color w:val="000000"/>
                <w:sz w:val="16"/>
                <w:szCs w:val="24"/>
              </w:rPr>
              <w:t>bus, Ohio.</w:t>
            </w:r>
          </w:p>
        </w:tc>
      </w:tr>
      <w:tr w:rsidR="00000000" w14:paraId="21FC7A12"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33B1458B"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ORBCOMM Inc.</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32C5B42C"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659DCB2E"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Alternative Carriers</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7188A3B0"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ORBCOMM Inc. 2020 Form 10-K</w:t>
            </w:r>
          </w:p>
        </w:tc>
      </w:tr>
      <w:tr w:rsidR="00000000" w14:paraId="55E32E6F"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6DE3C400"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ORBCOMM Inc. provides Internet of Things solutions in the United States, South America, Japan, Europe, and internationally. The company offers network</w:t>
            </w:r>
            <w:r>
              <w:rPr>
                <w:rFonts w:ascii="Arial" w:hAnsi="Arial" w:cs="Times New Roman"/>
                <w:color w:val="000000"/>
                <w:sz w:val="16"/>
                <w:szCs w:val="24"/>
              </w:rPr>
              <w:t xml:space="preserve"> connectivity, devices, device management, and web reporting applications that are designed to track, monitor, control, and enhance security for various assets, such as trailers, trucks, rail cars, sea containers, power generators, fluid tanks, marine vess</w:t>
            </w:r>
            <w:r>
              <w:rPr>
                <w:rFonts w:ascii="Arial" w:hAnsi="Arial" w:cs="Times New Roman"/>
                <w:color w:val="000000"/>
                <w:sz w:val="16"/>
                <w:szCs w:val="24"/>
              </w:rPr>
              <w:t>els, diesel or electric powered generators, oil and gas wells, pipeline monitoring equipment, irrigation control systems, and utility meters in transportation and supply chain, heavy equipment, fixed asset monitoring, and maritime industries, as well as fo</w:t>
            </w:r>
            <w:r>
              <w:rPr>
                <w:rFonts w:ascii="Arial" w:hAnsi="Arial" w:cs="Times New Roman"/>
                <w:color w:val="000000"/>
                <w:sz w:val="16"/>
                <w:szCs w:val="24"/>
              </w:rPr>
              <w:t>r governments. It also provides satellite automatic identification service data services to assist in vessel navigation and to enhance maritime safety for government and commercial customers; and vehicle fleet management, as well as in-cab and fleet vehicl</w:t>
            </w:r>
            <w:r>
              <w:rPr>
                <w:rFonts w:ascii="Arial" w:hAnsi="Arial" w:cs="Times New Roman"/>
                <w:color w:val="000000"/>
                <w:sz w:val="16"/>
                <w:szCs w:val="24"/>
              </w:rPr>
              <w:t>e solutions using various network platforms, including its own constellation of low-earth orbit satellites and accompanying ground infrastructure, as well as terrestrial-based cellular communication services through reseller agreements with various cellula</w:t>
            </w:r>
            <w:r>
              <w:rPr>
                <w:rFonts w:ascii="Arial" w:hAnsi="Arial" w:cs="Times New Roman"/>
                <w:color w:val="000000"/>
                <w:sz w:val="16"/>
                <w:szCs w:val="24"/>
              </w:rPr>
              <w:t>r wireless providers. In addition, the company offers customer solutions utilizing additional satellite network service options through service agreements with third party mobile satellite providers; and resells service using the two-way Inmarsat plc satel</w:t>
            </w:r>
            <w:r>
              <w:rPr>
                <w:rFonts w:ascii="Arial" w:hAnsi="Arial" w:cs="Times New Roman"/>
                <w:color w:val="000000"/>
                <w:sz w:val="16"/>
                <w:szCs w:val="24"/>
              </w:rPr>
              <w:t>lite network to provide higher bandwidth. The company provides asset management solution that allows devices to switch networks between geographies with the certifications and type approvals to meet the needs of international operators. It markets and sell</w:t>
            </w:r>
            <w:r>
              <w:rPr>
                <w:rFonts w:ascii="Arial" w:hAnsi="Arial" w:cs="Times New Roman"/>
                <w:color w:val="000000"/>
                <w:sz w:val="16"/>
                <w:szCs w:val="24"/>
              </w:rPr>
              <w:t>s its products and services directly to original equipment manufacturers, government customers, and end-users, as well as indirectly through market channel partners and affiliates. ORBCOMM Inc. was founded in 1993 and is headquartered in Rochelle Park, New</w:t>
            </w:r>
            <w:r>
              <w:rPr>
                <w:rFonts w:ascii="Arial" w:hAnsi="Arial" w:cs="Times New Roman"/>
                <w:color w:val="000000"/>
                <w:sz w:val="16"/>
                <w:szCs w:val="24"/>
              </w:rPr>
              <w:t xml:space="preserve"> Jersey. As of September 1, 2021, ORBCOMM Inc. was taken private.</w:t>
            </w:r>
          </w:p>
        </w:tc>
      </w:tr>
      <w:tr w:rsidR="00000000" w14:paraId="30E10817"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07792AAD"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RBC Capital Markets, LLC</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4E66D3DD"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59DA94C8"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Investment Banking and Brokerage</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318AB225"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Canadian National Railway Company (TSX:CNR) 2021 Form </w:t>
            </w:r>
            <w:r>
              <w:rPr>
                <w:rFonts w:ascii="Arial" w:hAnsi="Arial" w:cs="Times New Roman"/>
                <w:color w:val="000000"/>
                <w:sz w:val="16"/>
                <w:szCs w:val="24"/>
              </w:rPr>
              <w:lastRenderedPageBreak/>
              <w:t>F-4</w:t>
            </w:r>
          </w:p>
        </w:tc>
      </w:tr>
      <w:tr w:rsidR="00000000" w14:paraId="5321FEE7"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44001B3E"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RBC Capital Markets, LLC is an investment banks, brokers and capital markets company. It operates as a national broker/dealer. It was formerly known as RBC Capital Markets Corporation and changed its name to RBC Capital Markets, LLC in November 2010. It wa</w:t>
            </w:r>
            <w:r>
              <w:rPr>
                <w:rFonts w:ascii="Arial" w:hAnsi="Arial" w:cs="Times New Roman"/>
                <w:color w:val="000000"/>
                <w:sz w:val="16"/>
                <w:szCs w:val="24"/>
              </w:rPr>
              <w:t>s founded in 1909 and is headquartered in New York, New York.</w:t>
            </w:r>
          </w:p>
        </w:tc>
      </w:tr>
      <w:tr w:rsidR="00000000" w14:paraId="563CCDB1" w14:textId="77777777">
        <w:tblPrEx>
          <w:tblCellMar>
            <w:bottom w:w="0" w:type="dxa"/>
          </w:tblCellMar>
        </w:tblPrEx>
        <w:trPr>
          <w:trHeight w:val="10"/>
        </w:trPr>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5A3CB48A"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Royal Bank of Canada (TSX:RY)</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65E6FD0E"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6986E3A4"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660" w:type="dxa"/>
            <w:tcBorders>
              <w:top w:val="single" w:sz="4" w:space="0" w:color="D0D0C5"/>
              <w:left w:val="single" w:sz="4" w:space="0" w:color="D0D0C5"/>
              <w:bottom w:val="single" w:sz="4" w:space="0" w:color="D0D0C5"/>
              <w:right w:val="single" w:sz="4" w:space="0" w:color="D0D0C5"/>
            </w:tcBorders>
            <w:shd w:val="clear" w:color="auto" w:fill="FFFFFF"/>
          </w:tcPr>
          <w:p w14:paraId="76D7F772"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Canadian National Railway Company (TSX:CNR) 2021 Form F-4</w:t>
            </w:r>
          </w:p>
        </w:tc>
      </w:tr>
      <w:tr w:rsidR="00000000" w14:paraId="60C0DD31" w14:textId="77777777">
        <w:tblPrEx>
          <w:tblCellMar>
            <w:top w:w="0" w:type="dxa"/>
            <w:left w:w="0" w:type="dxa"/>
            <w:bottom w:w="0" w:type="dxa"/>
            <w:right w:w="0" w:type="dxa"/>
          </w:tblCellMar>
        </w:tblPrEx>
        <w:trPr>
          <w:trHeight w:val="8"/>
        </w:trPr>
        <w:tc>
          <w:tcPr>
            <w:tcW w:w="10640" w:type="dxa"/>
            <w:gridSpan w:val="4"/>
            <w:tcBorders>
              <w:top w:val="nil"/>
              <w:left w:val="nil"/>
              <w:bottom w:val="nil"/>
              <w:right w:val="nil"/>
            </w:tcBorders>
            <w:shd w:val="clear" w:color="auto" w:fill="FFFFFF"/>
          </w:tcPr>
          <w:p w14:paraId="75ABF41C"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Royal Bank of Canada operates as a diversified financial service company worldwide. The company</w:t>
            </w:r>
            <w:r>
              <w:rPr>
                <w:rFonts w:ascii="Arial" w:hAnsi="Arial" w:cs="Times New Roman"/>
                <w:color w:val="000000"/>
                <w:sz w:val="16"/>
                <w:szCs w:val="24"/>
              </w:rPr>
              <w:t>’</w:t>
            </w:r>
            <w:r>
              <w:rPr>
                <w:rFonts w:ascii="Arial" w:hAnsi="Arial" w:cs="Times New Roman"/>
                <w:color w:val="000000"/>
                <w:sz w:val="16"/>
                <w:szCs w:val="24"/>
              </w:rPr>
              <w:t>s Personal &amp; Commercial Banking segment offers checking and savings accounts, home equity financing, personal lending, private banking, indirect lending, includ</w:t>
            </w:r>
            <w:r>
              <w:rPr>
                <w:rFonts w:ascii="Arial" w:hAnsi="Arial" w:cs="Times New Roman"/>
                <w:color w:val="000000"/>
                <w:sz w:val="16"/>
                <w:szCs w:val="24"/>
              </w:rPr>
              <w:t>ing auto financing, mutual funds and self-directed brokerage accounts, guaranteed investment certificates, credit cards, and payment products and solutions; and lending, leasing, deposit, investment, foreign exchange, cash management, auto dealer financing</w:t>
            </w:r>
            <w:r>
              <w:rPr>
                <w:rFonts w:ascii="Arial" w:hAnsi="Arial" w:cs="Times New Roman"/>
                <w:color w:val="000000"/>
                <w:sz w:val="16"/>
                <w:szCs w:val="24"/>
              </w:rPr>
              <w:t>, trade products, and services to small and medium-sized commercial businesses. This segment offers financial products and services through branches, automated teller machines, and mobile sales network. Its Wealth Management segment provides a suite of adv</w:t>
            </w:r>
            <w:r>
              <w:rPr>
                <w:rFonts w:ascii="Arial" w:hAnsi="Arial" w:cs="Times New Roman"/>
                <w:color w:val="000000"/>
                <w:sz w:val="16"/>
                <w:szCs w:val="24"/>
              </w:rPr>
              <w:t>ice-based solutions and strategies to high net worth and ultra-high net worth individuals, and institutional clients. The company</w:t>
            </w:r>
            <w:r>
              <w:rPr>
                <w:rFonts w:ascii="Arial" w:hAnsi="Arial" w:cs="Times New Roman"/>
                <w:color w:val="000000"/>
                <w:sz w:val="16"/>
                <w:szCs w:val="24"/>
              </w:rPr>
              <w:t>’</w:t>
            </w:r>
            <w:r>
              <w:rPr>
                <w:rFonts w:ascii="Arial" w:hAnsi="Arial" w:cs="Times New Roman"/>
                <w:color w:val="000000"/>
                <w:sz w:val="16"/>
                <w:szCs w:val="24"/>
              </w:rPr>
              <w:t>s Insurance segment offers life, health, home, auto, travel, wealth, annuities, and reinsurance advice and solutions; and busi</w:t>
            </w:r>
            <w:r>
              <w:rPr>
                <w:rFonts w:ascii="Arial" w:hAnsi="Arial" w:cs="Times New Roman"/>
                <w:color w:val="000000"/>
                <w:sz w:val="16"/>
                <w:szCs w:val="24"/>
              </w:rPr>
              <w:t>ness insurance services to individual, business, and group clients through its advice centers, RBC insurance stores, and mobile advisors; digital, mobile, and social platforms; independent brokers; and travel partners. Its Investor &amp; Treasury Services segm</w:t>
            </w:r>
            <w:r>
              <w:rPr>
                <w:rFonts w:ascii="Arial" w:hAnsi="Arial" w:cs="Times New Roman"/>
                <w:color w:val="000000"/>
                <w:sz w:val="16"/>
                <w:szCs w:val="24"/>
              </w:rPr>
              <w:t>ent provides asset servicing, custody, payments, and treasury services to financial and other investors; and fund and investment administration, shareholder, private capital, performance measurement and compliance monitoring, distribution, transaction bank</w:t>
            </w:r>
            <w:r>
              <w:rPr>
                <w:rFonts w:ascii="Arial" w:hAnsi="Arial" w:cs="Times New Roman"/>
                <w:color w:val="000000"/>
                <w:sz w:val="16"/>
                <w:szCs w:val="24"/>
              </w:rPr>
              <w:t>ing, cash and liquidity management, foreign exchange, and global securities finance services. The company</w:t>
            </w:r>
            <w:r>
              <w:rPr>
                <w:rFonts w:ascii="Arial" w:hAnsi="Arial" w:cs="Times New Roman"/>
                <w:color w:val="000000"/>
                <w:sz w:val="16"/>
                <w:szCs w:val="24"/>
              </w:rPr>
              <w:t>’</w:t>
            </w:r>
            <w:r>
              <w:rPr>
                <w:rFonts w:ascii="Arial" w:hAnsi="Arial" w:cs="Times New Roman"/>
                <w:color w:val="000000"/>
                <w:sz w:val="16"/>
                <w:szCs w:val="24"/>
              </w:rPr>
              <w:t xml:space="preserve">s Capital Markets segment offers corporate and investment banking, as well as equity and debt origination, distribution, advisory services, sale, and </w:t>
            </w:r>
            <w:r>
              <w:rPr>
                <w:rFonts w:ascii="Arial" w:hAnsi="Arial" w:cs="Times New Roman"/>
                <w:color w:val="000000"/>
                <w:sz w:val="16"/>
                <w:szCs w:val="24"/>
              </w:rPr>
              <w:t>trading services for corporations, institutional investors, asset managers, private equity firms, and governments. The company was founded in 1864 and is headquartered in Toronto, Canada.</w:t>
            </w:r>
          </w:p>
        </w:tc>
      </w:tr>
    </w:tbl>
    <w:p w14:paraId="61F286ED" w14:textId="77777777" w:rsidR="00000000" w:rsidRDefault="00E44304">
      <w:pPr>
        <w:widowControl w:val="0"/>
        <w:autoSpaceDE w:val="0"/>
        <w:autoSpaceDN w:val="0"/>
        <w:adjustRightInd w:val="0"/>
        <w:spacing w:after="0" w:line="240" w:lineRule="auto"/>
      </w:pPr>
      <w:r>
        <w:rPr>
          <w:rFonts w:ascii="Arial" w:hAnsi="Arial" w:cs="Times New Roman"/>
          <w:color w:val="008000"/>
          <w:sz w:val="16"/>
          <w:szCs w:val="24"/>
        </w:rPr>
        <w:t>*</w:t>
      </w:r>
      <w:r>
        <w:rPr>
          <w:rFonts w:ascii="Arial" w:hAnsi="Arial" w:cs="Times New Roman"/>
          <w:color w:val="000000"/>
          <w:sz w:val="16"/>
          <w:szCs w:val="24"/>
        </w:rPr>
        <w:t>denotes proprietary relationship</w:t>
      </w:r>
    </w:p>
    <w:sectPr w:rsidR="00000000">
      <w:headerReference w:type="default" r:id="rId7"/>
      <w:footerReference w:type="default" r:id="rId8"/>
      <w:headerReference w:type="first" r:id="rId9"/>
      <w:footerReference w:type="first" r:id="rId10"/>
      <w:pgSz w:w="12240" w:h="15840"/>
      <w:pgMar w:top="792" w:right="792" w:bottom="792" w:left="792"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CB7C" w14:textId="77777777" w:rsidR="00000000" w:rsidRDefault="00E44304">
      <w:pPr>
        <w:spacing w:after="0" w:line="240" w:lineRule="auto"/>
      </w:pPr>
      <w:r>
        <w:separator/>
      </w:r>
    </w:p>
  </w:endnote>
  <w:endnote w:type="continuationSeparator" w:id="0">
    <w:p w14:paraId="62BD6010" w14:textId="77777777" w:rsidR="00000000" w:rsidRDefault="00E4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3192"/>
      <w:gridCol w:w="7448"/>
    </w:tblGrid>
    <w:tr w:rsidR="00000000" w14:paraId="5041246A" w14:textId="77777777">
      <w:tblPrEx>
        <w:tblCellMar>
          <w:bottom w:w="0" w:type="dxa"/>
        </w:tblCellMar>
      </w:tblPrEx>
      <w:trPr>
        <w:trHeight w:val="7"/>
      </w:trPr>
      <w:tc>
        <w:tcPr>
          <w:tcW w:w="3192" w:type="dxa"/>
          <w:tcBorders>
            <w:top w:val="single" w:sz="16" w:space="0" w:color="auto"/>
            <w:left w:val="nil"/>
            <w:bottom w:val="nil"/>
            <w:right w:val="nil"/>
          </w:tcBorders>
          <w:shd w:val="clear" w:color="auto" w:fill="FFFFFF"/>
        </w:tcPr>
        <w:p w14:paraId="25B4836A" w14:textId="77777777" w:rsidR="00000000" w:rsidRDefault="00E44304">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Date Created: Jul-01-2022</w:t>
          </w:r>
        </w:p>
      </w:tc>
      <w:tc>
        <w:tcPr>
          <w:tcW w:w="7448" w:type="dxa"/>
          <w:tcBorders>
            <w:top w:val="single" w:sz="16" w:space="0" w:color="auto"/>
            <w:left w:val="nil"/>
            <w:bottom w:val="nil"/>
            <w:right w:val="nil"/>
          </w:tcBorders>
          <w:shd w:val="clear" w:color="auto" w:fill="FFFFFF"/>
        </w:tcPr>
        <w:p w14:paraId="19223467" w14:textId="77777777" w:rsidR="00000000" w:rsidRDefault="00E44304">
          <w:pPr>
            <w:keepLines/>
            <w:widowControl w:val="0"/>
            <w:autoSpaceDE w:val="0"/>
            <w:autoSpaceDN w:val="0"/>
            <w:adjustRightInd w:val="0"/>
            <w:spacing w:after="0" w:line="240" w:lineRule="auto"/>
            <w:jc w:val="right"/>
            <w:rPr>
              <w:rFonts w:ascii="Arial" w:hAnsi="Arial" w:cs="Times New Roman"/>
              <w:color w:val="FF0000"/>
              <w:sz w:val="16"/>
              <w:szCs w:val="24"/>
            </w:rPr>
          </w:pPr>
          <w:r>
            <w:rPr>
              <w:rFonts w:ascii="Arial" w:hAnsi="Arial" w:cs="Times New Roman"/>
              <w:color w:val="FF0000"/>
              <w:sz w:val="16"/>
              <w:szCs w:val="24"/>
            </w:rPr>
            <w:t>Copyright © 2022 S&amp;P Global Market Inte</w:t>
          </w:r>
          <w:r>
            <w:rPr>
              <w:rFonts w:ascii="Arial" w:hAnsi="Arial" w:cs="Times New Roman"/>
              <w:color w:val="FF0000"/>
              <w:sz w:val="16"/>
              <w:szCs w:val="24"/>
            </w:rPr>
            <w:t>lligence, a division of S&amp;P Global Inc. All Rights reserved.</w:t>
          </w:r>
        </w:p>
      </w:tc>
    </w:tr>
    <w:tr w:rsidR="00000000" w14:paraId="31340099"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6E1EDDE8" w14:textId="77777777" w:rsidR="00000000" w:rsidRDefault="00E44304">
          <w:pPr>
            <w:keepLines/>
            <w:widowControl w:val="0"/>
            <w:autoSpaceDE w:val="0"/>
            <w:autoSpaceDN w:val="0"/>
            <w:adjustRightInd w:val="0"/>
            <w:spacing w:after="0" w:line="240" w:lineRule="auto"/>
            <w:jc w:val="right"/>
            <w:rPr>
              <w:rFonts w:ascii="Arial" w:hAnsi="Arial" w:cs="Times New Roman"/>
              <w:color w:val="000000"/>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14:paraId="3307B60A" w14:textId="77777777" w:rsidR="00000000" w:rsidRDefault="00E44304">
    <w:pPr>
      <w:widowControl w:val="0"/>
      <w:autoSpaceDE w:val="0"/>
      <w:autoSpaceDN w:val="0"/>
      <w:adjustRightInd w:val="0"/>
      <w:spacing w:after="0" w:line="240" w:lineRule="auto"/>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320"/>
      <w:gridCol w:w="5320"/>
    </w:tblGrid>
    <w:tr w:rsidR="00000000" w14:paraId="6D83A23E" w14:textId="77777777">
      <w:tblPrEx>
        <w:tblCellMar>
          <w:bottom w:w="0" w:type="dxa"/>
        </w:tblCellMar>
      </w:tblPrEx>
      <w:trPr>
        <w:trHeight w:val="7"/>
      </w:trPr>
      <w:tc>
        <w:tcPr>
          <w:tcW w:w="5320" w:type="dxa"/>
          <w:tcBorders>
            <w:top w:val="single" w:sz="16" w:space="0" w:color="auto"/>
            <w:left w:val="nil"/>
            <w:bottom w:val="nil"/>
            <w:right w:val="nil"/>
          </w:tcBorders>
          <w:shd w:val="clear" w:color="auto" w:fill="FFFFFF"/>
        </w:tcPr>
        <w:p w14:paraId="66C58630" w14:textId="77777777" w:rsidR="00000000" w:rsidRDefault="00E44304">
          <w:pPr>
            <w:keepLines/>
            <w:widowControl w:val="0"/>
            <w:autoSpaceDE w:val="0"/>
            <w:autoSpaceDN w:val="0"/>
            <w:adjustRightInd w:val="0"/>
            <w:spacing w:after="0" w:line="240" w:lineRule="auto"/>
            <w:rPr>
              <w:rFonts w:ascii="Arial" w:hAnsi="Arial" w:cs="Times New Roman"/>
              <w:sz w:val="16"/>
              <w:szCs w:val="24"/>
            </w:rPr>
          </w:pPr>
          <w:r>
            <w:rPr>
              <w:rFonts w:ascii="Arial" w:hAnsi="Arial" w:cs="Times New Roman"/>
              <w:sz w:val="16"/>
              <w:szCs w:val="24"/>
            </w:rPr>
            <w:t>Date Created: Jul-01-2022</w:t>
          </w:r>
        </w:p>
      </w:tc>
      <w:tc>
        <w:tcPr>
          <w:tcW w:w="5320" w:type="dxa"/>
          <w:tcBorders>
            <w:top w:val="single" w:sz="16" w:space="0" w:color="auto"/>
            <w:left w:val="nil"/>
            <w:bottom w:val="nil"/>
            <w:right w:val="nil"/>
          </w:tcBorders>
          <w:shd w:val="clear" w:color="auto" w:fill="FFFFFF"/>
        </w:tcPr>
        <w:p w14:paraId="42B9D094" w14:textId="77777777" w:rsidR="00000000" w:rsidRDefault="00E44304">
          <w:pPr>
            <w:keepLines/>
            <w:widowControl w:val="0"/>
            <w:autoSpaceDE w:val="0"/>
            <w:autoSpaceDN w:val="0"/>
            <w:adjustRightInd w:val="0"/>
            <w:spacing w:after="0" w:line="240" w:lineRule="auto"/>
            <w:jc w:val="right"/>
            <w:rPr>
              <w:rFonts w:ascii="Arial" w:hAnsi="Arial" w:cs="Times New Roman"/>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14:paraId="6DF4149D" w14:textId="77777777" w:rsidR="00000000" w:rsidRDefault="00E44304">
    <w:pPr>
      <w:widowControl w:val="0"/>
      <w:autoSpaceDE w:val="0"/>
      <w:autoSpaceDN w:val="0"/>
      <w:adjustRightInd w:val="0"/>
      <w:spacing w:after="0" w:line="240" w:lineRule="auto"/>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220B" w14:textId="77777777" w:rsidR="00000000" w:rsidRDefault="00E44304">
      <w:pPr>
        <w:spacing w:after="0" w:line="240" w:lineRule="auto"/>
      </w:pPr>
      <w:r>
        <w:separator/>
      </w:r>
    </w:p>
  </w:footnote>
  <w:footnote w:type="continuationSeparator" w:id="0">
    <w:p w14:paraId="11C9220F" w14:textId="77777777" w:rsidR="00000000" w:rsidRDefault="00E44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691"/>
      <w:gridCol w:w="4949"/>
    </w:tblGrid>
    <w:tr w:rsidR="00000000" w14:paraId="1A72378B" w14:textId="77777777">
      <w:tblPrEx>
        <w:tblCellMar>
          <w:bottom w:w="0" w:type="dxa"/>
        </w:tblCellMar>
      </w:tblPrEx>
      <w:trPr>
        <w:trHeight w:val="200"/>
      </w:trPr>
      <w:tc>
        <w:tcPr>
          <w:tcW w:w="6500" w:type="dxa"/>
          <w:tcBorders>
            <w:top w:val="nil"/>
            <w:left w:val="nil"/>
            <w:bottom w:val="nil"/>
            <w:right w:val="nil"/>
          </w:tcBorders>
          <w:shd w:val="clear" w:color="auto" w:fill="FFFFFF"/>
        </w:tcPr>
        <w:p w14:paraId="2C0FAA7C" w14:textId="263E7210" w:rsidR="00000000" w:rsidRDefault="00E44304">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CC782" wp14:editId="09CD5B91">
                <wp:extent cx="114300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14:paraId="700C1443" w14:textId="77777777" w:rsidR="00000000" w:rsidRDefault="00E44304">
          <w:pPr>
            <w:keepLines/>
            <w:widowControl w:val="0"/>
            <w:autoSpaceDE w:val="0"/>
            <w:autoSpaceDN w:val="0"/>
            <w:adjustRightInd w:val="0"/>
            <w:spacing w:after="0" w:line="240" w:lineRule="auto"/>
            <w:jc w:val="right"/>
            <w:rPr>
              <w:rFonts w:ascii="Arial" w:hAnsi="Arial" w:cs="Times New Roman"/>
              <w:sz w:val="16"/>
              <w:szCs w:val="24"/>
            </w:rPr>
          </w:pPr>
        </w:p>
      </w:tc>
    </w:tr>
    <w:tr w:rsidR="00000000" w14:paraId="0FD4DA95"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2AC983DF" w14:textId="77777777" w:rsidR="00000000" w:rsidRDefault="00E44304">
          <w:pPr>
            <w:keepLines/>
            <w:widowControl w:val="0"/>
            <w:autoSpaceDE w:val="0"/>
            <w:autoSpaceDN w:val="0"/>
            <w:adjustRightInd w:val="0"/>
            <w:spacing w:after="0" w:line="240" w:lineRule="auto"/>
            <w:rPr>
              <w:rFonts w:ascii="Verdana" w:hAnsi="Verdana" w:cs="Times New Roman"/>
              <w:color w:val="000000"/>
              <w:sz w:val="26"/>
              <w:szCs w:val="24"/>
            </w:rPr>
          </w:pPr>
          <w:r>
            <w:rPr>
              <w:rFonts w:ascii="Verdana" w:hAnsi="Verdana" w:cs="Times New Roman"/>
              <w:b/>
              <w:sz w:val="26"/>
              <w:szCs w:val="24"/>
            </w:rPr>
            <w:t>Canadian National Railway Company (TSX:CNR) &gt; Suppliers</w:t>
          </w:r>
        </w:p>
      </w:tc>
    </w:tr>
  </w:tbl>
  <w:p w14:paraId="73D22E10" w14:textId="2BEF72D5" w:rsidR="00000000" w:rsidRDefault="00E44304">
    <w:pPr>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0DEAA1B" wp14:editId="2D6C39BA">
              <wp:simplePos x="0" y="0"/>
              <wp:positionH relativeFrom="column">
                <wp:posOffset>0</wp:posOffset>
              </wp:positionH>
              <wp:positionV relativeFrom="paragraph">
                <wp:posOffset>6350</wp:posOffset>
              </wp:positionV>
              <wp:extent cx="67564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572E7"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320"/>
      <w:gridCol w:w="5320"/>
    </w:tblGrid>
    <w:tr w:rsidR="00000000" w14:paraId="2CA76444" w14:textId="77777777">
      <w:tblPrEx>
        <w:tblCellMar>
          <w:bottom w:w="0" w:type="dxa"/>
        </w:tblCellMar>
      </w:tblPrEx>
      <w:trPr>
        <w:trHeight w:val="200"/>
      </w:trPr>
      <w:tc>
        <w:tcPr>
          <w:tcW w:w="5650" w:type="dxa"/>
          <w:tcBorders>
            <w:top w:val="nil"/>
            <w:left w:val="nil"/>
            <w:bottom w:val="nil"/>
            <w:right w:val="nil"/>
          </w:tcBorders>
          <w:shd w:val="clear" w:color="auto" w:fill="FFFFFF"/>
        </w:tcPr>
        <w:p w14:paraId="1AEEE60A" w14:textId="73D9A245" w:rsidR="00000000" w:rsidRDefault="00E44304">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30AC97" wp14:editId="31FDE226">
                <wp:extent cx="114300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14:paraId="59FBD1AB" w14:textId="77777777" w:rsidR="00000000" w:rsidRDefault="00E44304">
          <w:pPr>
            <w:keepLines/>
            <w:widowControl w:val="0"/>
            <w:autoSpaceDE w:val="0"/>
            <w:autoSpaceDN w:val="0"/>
            <w:adjustRightInd w:val="0"/>
            <w:spacing w:after="0" w:line="240" w:lineRule="auto"/>
            <w:jc w:val="right"/>
            <w:rPr>
              <w:rFonts w:ascii="Arial" w:hAnsi="Arial" w:cs="Times New Roman"/>
              <w:sz w:val="16"/>
              <w:szCs w:val="24"/>
            </w:rPr>
          </w:pPr>
        </w:p>
      </w:tc>
    </w:tr>
    <w:tr w:rsidR="00000000" w14:paraId="19EB1DF6"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2CBE41B2" w14:textId="77777777" w:rsidR="00000000" w:rsidRDefault="00E44304">
          <w:pPr>
            <w:keepLines/>
            <w:widowControl w:val="0"/>
            <w:autoSpaceDE w:val="0"/>
            <w:autoSpaceDN w:val="0"/>
            <w:adjustRightInd w:val="0"/>
            <w:spacing w:after="0" w:line="240" w:lineRule="auto"/>
            <w:rPr>
              <w:rFonts w:ascii="Verdana" w:hAnsi="Verdana" w:cs="Times New Roman"/>
              <w:sz w:val="26"/>
              <w:szCs w:val="24"/>
            </w:rPr>
          </w:pPr>
          <w:r>
            <w:rPr>
              <w:rFonts w:ascii="Verdana" w:hAnsi="Verdana" w:cs="Times New Roman"/>
              <w:sz w:val="26"/>
              <w:szCs w:val="24"/>
            </w:rPr>
            <w:t>Canadian National Railway Company (TSX:CNR) &gt; Suppliers</w:t>
          </w:r>
        </w:p>
      </w:tc>
    </w:tr>
  </w:tbl>
  <w:p w14:paraId="6BE9271A" w14:textId="4581C808" w:rsidR="00000000" w:rsidRDefault="00E44304">
    <w:pPr>
      <w:widowControl w:val="0"/>
      <w:autoSpaceDE w:val="0"/>
      <w:autoSpaceDN w:val="0"/>
      <w:adjustRightInd w:val="0"/>
      <w:spacing w:after="0" w:line="240" w:lineRule="auto"/>
      <w:rPr>
        <w:rFonts w:ascii="Times New Roman" w:hAnsi="Times New Roman" w:cs="Times New Roman"/>
        <w:sz w:val="20"/>
        <w:szCs w:val="24"/>
      </w:rPr>
    </w:pPr>
    <w:r>
      <w:rPr>
        <w:noProof/>
      </w:rPr>
      <mc:AlternateContent>
        <mc:Choice Requires="wps">
          <w:drawing>
            <wp:anchor distT="0" distB="0" distL="114300" distR="114300" simplePos="0" relativeHeight="251659264" behindDoc="0" locked="0" layoutInCell="1" allowOverlap="1" wp14:anchorId="3B5A1471" wp14:editId="0916A9EE">
              <wp:simplePos x="0" y="0"/>
              <wp:positionH relativeFrom="column">
                <wp:posOffset>0</wp:posOffset>
              </wp:positionH>
              <wp:positionV relativeFrom="paragraph">
                <wp:posOffset>6350</wp:posOffset>
              </wp:positionV>
              <wp:extent cx="675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15D64"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7035BA"/>
    <w:lvl w:ilvl="0" w:tplc="0409000F">
      <w:start w:val="1"/>
      <w:numFmt w:val="decimal"/>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decimal"/>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decimal"/>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abstractNum w:abstractNumId="1" w15:restartNumberingAfterBreak="0">
    <w:nsid w:val="00000002"/>
    <w:multiLevelType w:val="hybridMultilevel"/>
    <w:tmpl w:val="FF7035B9"/>
    <w:lvl w:ilvl="0" w:tplc="0409000F">
      <w:start w:val="1"/>
      <w:numFmt w:val="upperRoman"/>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decimal"/>
      <w:suff w:val="space"/>
      <w:lvlText w:val="%3)"/>
      <w:lvlJc w:val="right"/>
      <w:pPr>
        <w:ind w:left="2160" w:hanging="180"/>
      </w:pPr>
      <w:rPr>
        <w:rFonts w:cs="Times New Roman"/>
      </w:rPr>
    </w:lvl>
    <w:lvl w:ilvl="3" w:tplc="0409000F" w:tentative="1">
      <w:start w:val="1"/>
      <w:numFmt w:val="upperRoman"/>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decimal"/>
      <w:suff w:val="space"/>
      <w:lvlText w:val="%6)"/>
      <w:lvlJc w:val="right"/>
      <w:pPr>
        <w:ind w:left="4320" w:hanging="180"/>
      </w:pPr>
      <w:rPr>
        <w:rFonts w:cs="Times New Roman"/>
      </w:rPr>
    </w:lvl>
    <w:lvl w:ilvl="6" w:tplc="0409000F" w:tentative="1">
      <w:start w:val="1"/>
      <w:numFmt w:val="upperRoman"/>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decimal"/>
      <w:suff w:val="space"/>
      <w:lvlText w:val="%9)"/>
      <w:lvlJc w:val="right"/>
      <w:pPr>
        <w:ind w:left="6480" w:hanging="180"/>
      </w:pPr>
      <w:rPr>
        <w:rFonts w:cs="Times New Roman"/>
      </w:rPr>
    </w:lvl>
  </w:abstractNum>
  <w:abstractNum w:abstractNumId="2" w15:restartNumberingAfterBreak="0">
    <w:nsid w:val="00000003"/>
    <w:multiLevelType w:val="hybridMultilevel"/>
    <w:tmpl w:val="FF7035B8"/>
    <w:lvl w:ilvl="0" w:tplc="0409000F">
      <w:start w:val="1"/>
      <w:numFmt w:val="upperLetter"/>
      <w:suff w:val="space"/>
      <w:lvlText w:val="%1)"/>
      <w:lvlJc w:val="left"/>
      <w:pPr>
        <w:ind w:left="720" w:hanging="360"/>
      </w:pPr>
      <w:rPr>
        <w:rFonts w:cs="Times New Roman"/>
      </w:rPr>
    </w:lvl>
    <w:lvl w:ilvl="1" w:tplc="04090019">
      <w:start w:val="1"/>
      <w:numFmt w:val="decimal"/>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upperLetter"/>
      <w:suff w:val="space"/>
      <w:lvlText w:val="%4)"/>
      <w:lvlJc w:val="left"/>
      <w:pPr>
        <w:ind w:left="2880" w:hanging="360"/>
      </w:pPr>
      <w:rPr>
        <w:rFonts w:cs="Times New Roman"/>
      </w:rPr>
    </w:lvl>
    <w:lvl w:ilvl="4" w:tplc="04090019" w:tentative="1">
      <w:start w:val="1"/>
      <w:numFmt w:val="decimal"/>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upperLetter"/>
      <w:suff w:val="space"/>
      <w:lvlText w:val="%7)"/>
      <w:lvlJc w:val="left"/>
      <w:pPr>
        <w:ind w:left="5040" w:hanging="360"/>
      </w:pPr>
      <w:rPr>
        <w:rFonts w:cs="Times New Roman"/>
      </w:rPr>
    </w:lvl>
    <w:lvl w:ilvl="7" w:tplc="04090019" w:tentative="1">
      <w:start w:val="1"/>
      <w:numFmt w:val="decimal"/>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04"/>
    <w:rsid w:val="00E4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698DF39"/>
  <w14:defaultImageDpi w14:val="0"/>
  <w15:docId w15:val="{37DE70CA-C256-4CCD-9F2B-DECE1FB8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Holmes</dc:creator>
  <cp:keywords/>
  <dc:description/>
  <cp:lastModifiedBy>Ken Holmes</cp:lastModifiedBy>
  <cp:revision>2</cp:revision>
  <dcterms:created xsi:type="dcterms:W3CDTF">2022-07-01T22:13:00Z</dcterms:created>
  <dcterms:modified xsi:type="dcterms:W3CDTF">2022-07-01T22:13:00Z</dcterms:modified>
</cp:coreProperties>
</file>