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0C7A3" w14:textId="77777777" w:rsidR="00D301FF" w:rsidRDefault="00000000">
      <w:pPr>
        <w:pStyle w:val="Heading1"/>
      </w:pPr>
      <w:r>
        <w:rPr>
          <w:color w:val="1F497D"/>
        </w:rPr>
        <w:t>Project Findings</w:t>
      </w:r>
    </w:p>
    <w:p w14:paraId="39B7BB6A" w14:textId="77777777" w:rsidR="00D301FF" w:rsidRDefault="00000000">
      <w:r>
        <w:t>Healthcare Medication Dispensing Analysis — Pyxis System (Mock Data)</w:t>
      </w:r>
    </w:p>
    <w:p w14:paraId="589DAD72" w14:textId="77777777" w:rsidR="00D301FF" w:rsidRDefault="00D301FF"/>
    <w:p w14:paraId="3413C362" w14:textId="77777777" w:rsidR="00D301FF" w:rsidRDefault="00000000">
      <w:pPr>
        <w:pStyle w:val="Heading2"/>
      </w:pPr>
      <w:r>
        <w:rPr>
          <w:color w:val="1F497D"/>
        </w:rPr>
        <w:t>1. Transaction Analysis</w:t>
      </w:r>
    </w:p>
    <w:p w14:paraId="753B5FB0" w14:textId="77777777" w:rsidR="00D301FF" w:rsidRDefault="00000000">
      <w:r>
        <w:rPr>
          <w:b/>
        </w:rPr>
        <w:t>Findings</w:t>
      </w:r>
    </w:p>
    <w:p w14:paraId="01D2E205" w14:textId="77777777" w:rsidR="00D301FF" w:rsidRDefault="00000000">
      <w:pPr>
        <w:pStyle w:val="ListBullet"/>
      </w:pPr>
      <w:r>
        <w:t>Remove is the most common transaction type, followed by Waste and Refill — consistent with standard Pyxis dispensing workflow.</w:t>
      </w:r>
    </w:p>
    <w:p w14:paraId="12358FB1" w14:textId="77777777" w:rsidR="00D301FF" w:rsidRDefault="00000000">
      <w:pPr>
        <w:pStyle w:val="ListBullet"/>
      </w:pPr>
      <w:r>
        <w:t>Medication Class 4 (non-controlled analgesics/antipyretics) has the highest transaction count, followed by Class 0 and Class 3.</w:t>
      </w:r>
    </w:p>
    <w:p w14:paraId="2BD643C9" w14:textId="77777777" w:rsidR="00D301FF" w:rsidRDefault="00000000">
      <w:pPr>
        <w:pStyle w:val="ListBullet"/>
      </w:pPr>
      <w:r>
        <w:t>36.6% of all transactions involved controlled medications.</w:t>
      </w:r>
    </w:p>
    <w:p w14:paraId="55F32F44" w14:textId="77777777" w:rsidR="00D301FF" w:rsidRDefault="00000000">
      <w:pPr>
        <w:pStyle w:val="ListBullet"/>
      </w:pPr>
      <w:r>
        <w:t>Most frequently removed medications: Piperacillin-Tazobactam 3.375g (45 removals), Vancomycin 1g (39), and Lactated Ringers 1L (37).</w:t>
      </w:r>
    </w:p>
    <w:p w14:paraId="6D6914D9" w14:textId="77777777" w:rsidR="00D301FF" w:rsidRDefault="00000000">
      <w:pPr>
        <w:pStyle w:val="ListBullet"/>
      </w:pPr>
      <w:r>
        <w:t>ICU had the highest transaction volume of all departments, followed by Emergency Room 2 and PACU.</w:t>
      </w:r>
    </w:p>
    <w:p w14:paraId="7351BE2B" w14:textId="77777777" w:rsidR="00D301FF" w:rsidRDefault="00000000">
      <w:r>
        <w:rPr>
          <w:b/>
        </w:rPr>
        <w:t xml:space="preserve">Why it matters — </w:t>
      </w:r>
      <w:r>
        <w:t>Transaction mix aligns with expected Pyxis dispensing patterns — Remove transactions dominating over Waste indicates that correct dispensing procedures are being followed with minimal waste events.</w:t>
      </w:r>
    </w:p>
    <w:p w14:paraId="21F962D8" w14:textId="77777777" w:rsidR="00D301FF" w:rsidRDefault="00000000">
      <w:r>
        <w:rPr>
          <w:b/>
        </w:rPr>
        <w:t xml:space="preserve">Recommendation — </w:t>
      </w:r>
      <w:r>
        <w:t>No action required. Continue monitoring transaction type ratios monthly to detect any unusual shift toward Override or Waste volumes.</w:t>
      </w:r>
    </w:p>
    <w:p w14:paraId="7751CF9B" w14:textId="77777777" w:rsidR="00D301FF" w:rsidRDefault="00D301FF"/>
    <w:p w14:paraId="18967708" w14:textId="77777777" w:rsidR="00D301FF" w:rsidRDefault="00000000">
      <w:pPr>
        <w:pStyle w:val="Heading2"/>
      </w:pPr>
      <w:r>
        <w:rPr>
          <w:color w:val="1F497D"/>
        </w:rPr>
        <w:t>2. Peak Transaction Period</w:t>
      </w:r>
    </w:p>
    <w:p w14:paraId="5F611BFC" w14:textId="77777777" w:rsidR="00D301FF" w:rsidRDefault="00000000">
      <w:r>
        <w:rPr>
          <w:b/>
        </w:rPr>
        <w:t>Findings</w:t>
      </w:r>
    </w:p>
    <w:p w14:paraId="2B7B8796" w14:textId="77777777" w:rsidR="00D301FF" w:rsidRDefault="00000000">
      <w:pPr>
        <w:pStyle w:val="ListBullet"/>
      </w:pPr>
      <w:r>
        <w:t>Peak transaction hours are 7 AM, 8 AM, and 2 PM — aligning with morning med administration and post-lunch rounds.</w:t>
      </w:r>
    </w:p>
    <w:p w14:paraId="3D0D54B1" w14:textId="77777777" w:rsidR="00D301FF" w:rsidRDefault="00000000">
      <w:pPr>
        <w:pStyle w:val="ListBullet"/>
      </w:pPr>
      <w:r>
        <w:t>March and April recorded the highest monthly transaction volumes across the 6-month period.</w:t>
      </w:r>
    </w:p>
    <w:p w14:paraId="4376E3EA" w14:textId="77777777" w:rsidR="00D301FF" w:rsidRDefault="00000000">
      <w:pPr>
        <w:pStyle w:val="ListBullet"/>
      </w:pPr>
      <w:r>
        <w:t>Discrepancy transactions have the highest average duration in seconds, followed by Waste and Remove — reflecting the additional steps required to resolve a count discrepancy.</w:t>
      </w:r>
    </w:p>
    <w:p w14:paraId="43126B23" w14:textId="77777777" w:rsidR="00D301FF" w:rsidRDefault="00000000">
      <w:r>
        <w:rPr>
          <w:b/>
        </w:rPr>
        <w:t xml:space="preserve">Why it matters — </w:t>
      </w:r>
      <w:r>
        <w:t>Peak hours correspond to typical nursing shift handovers and scheduled medication administration times, which is expected. The elevated average duration for discrepancy transactions confirms that resolving discrepancies adds workflow burden on staff.</w:t>
      </w:r>
    </w:p>
    <w:p w14:paraId="34A50378" w14:textId="77777777" w:rsidR="00D301FF" w:rsidRDefault="00000000">
      <w:r>
        <w:rPr>
          <w:b/>
        </w:rPr>
        <w:lastRenderedPageBreak/>
        <w:t xml:space="preserve">Recommendation — </w:t>
      </w:r>
      <w:r>
        <w:t>Ensure adequate pharmacist coverage during peak hours (7–9 AM and 2–3 PM) to reduce override likelihood during high-demand periods.</w:t>
      </w:r>
    </w:p>
    <w:p w14:paraId="3982DFB2" w14:textId="77777777" w:rsidR="00D301FF" w:rsidRDefault="00D301FF"/>
    <w:p w14:paraId="6CCC85FB" w14:textId="77777777" w:rsidR="00D301FF" w:rsidRDefault="00000000">
      <w:pPr>
        <w:pStyle w:val="Heading2"/>
      </w:pPr>
      <w:r>
        <w:rPr>
          <w:color w:val="1F497D"/>
        </w:rPr>
        <w:t>3. Override Analysis</w:t>
      </w:r>
    </w:p>
    <w:p w14:paraId="7D3CD19C" w14:textId="77777777" w:rsidR="00D301FF" w:rsidRDefault="00000000">
      <w:r>
        <w:rPr>
          <w:b/>
        </w:rPr>
        <w:t>Findings</w:t>
      </w:r>
    </w:p>
    <w:p w14:paraId="21424F60" w14:textId="476D1E6C" w:rsidR="00D301FF" w:rsidRDefault="00284E22">
      <w:pPr>
        <w:pStyle w:val="ListBullet"/>
      </w:pPr>
      <w:proofErr w:type="spellStart"/>
      <w:r>
        <w:t>MedSurg</w:t>
      </w:r>
      <w:proofErr w:type="spellEnd"/>
      <w:r w:rsidR="00000000">
        <w:t xml:space="preserve"> has the highest number of override transactions, followed by </w:t>
      </w:r>
      <w:r>
        <w:t>PACU</w:t>
      </w:r>
      <w:r w:rsidR="00000000">
        <w:t xml:space="preserve"> and </w:t>
      </w:r>
      <w:r>
        <w:t>ICU</w:t>
      </w:r>
      <w:r w:rsidR="00000000">
        <w:t xml:space="preserve"> — all high-acuity departments where urgent medication access is clinically expected.</w:t>
      </w:r>
    </w:p>
    <w:p w14:paraId="07EBD98A" w14:textId="77777777" w:rsidR="00D301FF" w:rsidRDefault="00000000">
      <w:pPr>
        <w:pStyle w:val="ListBullet"/>
      </w:pPr>
      <w:r>
        <w:t>Override transactions peak at 3 PM, with secondary peaks at 8 AM and 6 AM.</w:t>
      </w:r>
    </w:p>
    <w:p w14:paraId="7E05376E" w14:textId="77777777" w:rsidR="00D301FF" w:rsidRDefault="00000000">
      <w:pPr>
        <w:pStyle w:val="ListBullet"/>
      </w:pPr>
      <w:r>
        <w:t>ICU_Surg-A, PACU-Station-1, and PEDS-Station-1 have similar override counts, suggesting a system-wide pattern rather than isolated device issues.</w:t>
      </w:r>
    </w:p>
    <w:p w14:paraId="292C6EEC" w14:textId="77777777" w:rsidR="00D301FF" w:rsidRDefault="00000000">
      <w:pPr>
        <w:pStyle w:val="ListBullet"/>
      </w:pPr>
      <w:r>
        <w:t>Most overridden medications: Meperidine 50mg/mL, Lorazepam 2mg/mL, and Hydromorphone 2mg — all Schedule II/IV controlled substances.</w:t>
      </w:r>
    </w:p>
    <w:p w14:paraId="28A8263B" w14:textId="77777777" w:rsidR="00D301FF" w:rsidRDefault="00000000">
      <w:pPr>
        <w:pStyle w:val="ListBullet"/>
      </w:pPr>
      <w:r>
        <w:t>Override transactions are significantly more common for controlled substances (100) than non-controlled (44), which increases diversion risk.</w:t>
      </w:r>
    </w:p>
    <w:p w14:paraId="55CF7EBF" w14:textId="77777777" w:rsidR="00D301FF" w:rsidRDefault="00000000">
      <w:r>
        <w:rPr>
          <w:b/>
        </w:rPr>
        <w:t xml:space="preserve">Why it matters — </w:t>
      </w:r>
      <w:r>
        <w:t>Overrides bypass pharmacist verification, increasing the risk of wrong drug, wrong dose, or drug interactions. A concentration of overrides on controlled substances is a compliance concern and should be reviewed against regulatory thresholds. The 3 PM peak may reflect end-of-shift urgency when order entry is lagging.</w:t>
      </w:r>
    </w:p>
    <w:p w14:paraId="143E5303" w14:textId="77777777" w:rsidR="00D301FF" w:rsidRDefault="00000000">
      <w:r>
        <w:rPr>
          <w:b/>
        </w:rPr>
        <w:t xml:space="preserve">Recommendation — </w:t>
      </w:r>
      <w:r>
        <w:t>Flag top override users for pharmacy review to determine if overrides were clinically justified. Investigate whether high-override departments have sufficient pharmacist coverage during peak override hours. Consider setting an override rate threshold (e.g. &gt;15% of a user's transactions) as a compliance alert trigger in the dashboard.</w:t>
      </w:r>
    </w:p>
    <w:p w14:paraId="3603439A" w14:textId="77777777" w:rsidR="00D301FF" w:rsidRDefault="00D301FF"/>
    <w:p w14:paraId="3645368D" w14:textId="77777777" w:rsidR="00D301FF" w:rsidRDefault="00000000">
      <w:pPr>
        <w:pStyle w:val="Heading2"/>
      </w:pPr>
      <w:r>
        <w:rPr>
          <w:color w:val="1F497D"/>
        </w:rPr>
        <w:t>4. Top Override Users</w:t>
      </w:r>
    </w:p>
    <w:p w14:paraId="184A7D44" w14:textId="77777777" w:rsidR="00D301FF" w:rsidRDefault="00000000">
      <w:r>
        <w:rPr>
          <w:b/>
        </w:rPr>
        <w:t>Findings</w:t>
      </w:r>
    </w:p>
    <w:p w14:paraId="7CB45C76" w14:textId="77777777" w:rsidR="00D301FF" w:rsidRDefault="00000000">
      <w:pPr>
        <w:pStyle w:val="ListBullet"/>
      </w:pPr>
      <w:r>
        <w:t>User B.Young has the highest override transaction count, followed by O.Robinson and H.White.</w:t>
      </w:r>
    </w:p>
    <w:p w14:paraId="2E4C1500" w14:textId="77777777" w:rsidR="00D301FF" w:rsidRDefault="00000000">
      <w:pPr>
        <w:pStyle w:val="ListBullet"/>
      </w:pPr>
      <w:r>
        <w:t>H.White also appears frequently as a witness — indicating active involvement in controlled medication transactions across multiple roles.</w:t>
      </w:r>
    </w:p>
    <w:p w14:paraId="37CE7DD6" w14:textId="77777777" w:rsidR="00D301FF" w:rsidRDefault="00000000">
      <w:r>
        <w:rPr>
          <w:b/>
        </w:rPr>
        <w:t xml:space="preserve">Why it matters — </w:t>
      </w:r>
      <w:r>
        <w:t>High override rates at the individual user level may indicate workflow gaps (orders not entered before medication is needed) or a pattern that warrants closer review for potential diversion or non-compliance.</w:t>
      </w:r>
    </w:p>
    <w:p w14:paraId="07BE569C" w14:textId="77777777" w:rsidR="00D301FF" w:rsidRDefault="00000000">
      <w:r>
        <w:rPr>
          <w:b/>
        </w:rPr>
        <w:t xml:space="preserve">Recommendation — </w:t>
      </w:r>
      <w:r>
        <w:t>Review override justifications for the top 3 override users. If overrides are consistently for the same medications at the same times, escalate for pharmacy or compliance review. Cross-reference with discrepancy flags for the same users.</w:t>
      </w:r>
    </w:p>
    <w:p w14:paraId="2C0D464F" w14:textId="77777777" w:rsidR="00D301FF" w:rsidRDefault="00D301FF"/>
    <w:p w14:paraId="144F21EA" w14:textId="77777777" w:rsidR="00D301FF" w:rsidRDefault="00000000">
      <w:pPr>
        <w:pStyle w:val="Heading2"/>
      </w:pPr>
      <w:r>
        <w:rPr>
          <w:color w:val="1F497D"/>
        </w:rPr>
        <w:t>5. Discrepancy Analysis</w:t>
      </w:r>
    </w:p>
    <w:p w14:paraId="3AD4BFFC" w14:textId="77777777" w:rsidR="00D301FF" w:rsidRDefault="00000000">
      <w:r>
        <w:rPr>
          <w:b/>
        </w:rPr>
        <w:t>Findings</w:t>
      </w:r>
    </w:p>
    <w:p w14:paraId="0ED6064F" w14:textId="77777777" w:rsidR="00D301FF" w:rsidRDefault="00000000">
      <w:pPr>
        <w:pStyle w:val="ListBullet"/>
      </w:pPr>
      <w:r>
        <w:t>Out of 1,460 transactions, 42 were flagged with a discrepancy — an overall discrepancy rate of 2.9%.</w:t>
      </w:r>
    </w:p>
    <w:p w14:paraId="43BCBD6C" w14:textId="77777777" w:rsidR="00D301FF" w:rsidRDefault="00000000">
      <w:pPr>
        <w:pStyle w:val="ListBullet"/>
      </w:pPr>
      <w:r>
        <w:t>Discrepancy rate for controlled medications: 3.93% — higher than the overall average.</w:t>
      </w:r>
    </w:p>
    <w:p w14:paraId="3ABB9EF8" w14:textId="77777777" w:rsidR="00D301FF" w:rsidRDefault="00000000">
      <w:pPr>
        <w:pStyle w:val="ListBullet"/>
      </w:pPr>
      <w:r>
        <w:t>Devices with highest discrepancy counts: ICU-Station-3, PHR_A-Backup, and PACU-Station-1.</w:t>
      </w:r>
    </w:p>
    <w:p w14:paraId="4ACE558D" w14:textId="77777777" w:rsidR="00D301FF" w:rsidRDefault="00000000">
      <w:pPr>
        <w:pStyle w:val="ListBullet"/>
      </w:pPr>
      <w:r>
        <w:t>Medication Class 0 (Schedule II narcotics) has the most discrepancies, followed by Class 4 and Class 3.</w:t>
      </w:r>
    </w:p>
    <w:p w14:paraId="68B4EAAC" w14:textId="77777777" w:rsidR="00D301FF" w:rsidRDefault="00000000">
      <w:pPr>
        <w:pStyle w:val="ListBullet"/>
      </w:pPr>
      <w:r>
        <w:t>January had the highest monthly discrepancy count, followed by March and February.</w:t>
      </w:r>
    </w:p>
    <w:p w14:paraId="7F9BAA43" w14:textId="77777777" w:rsidR="00D301FF" w:rsidRDefault="00000000">
      <w:r>
        <w:rPr>
          <w:b/>
        </w:rPr>
        <w:t xml:space="preserve">Why it matters — </w:t>
      </w:r>
      <w:r>
        <w:t>The overall discrepancy rate is low, indicating that proper counting and documentation procedures are largely being followed. However, the elevated rate for Class 0 controlled substances is notable — Schedule II narcotics require the strictest accountability and any discrepancy in this class warrants investigation.</w:t>
      </w:r>
    </w:p>
    <w:p w14:paraId="11DFCE1E" w14:textId="77777777" w:rsidR="00D301FF" w:rsidRDefault="00000000">
      <w:r>
        <w:rPr>
          <w:b/>
        </w:rPr>
        <w:t xml:space="preserve">Recommendation — </w:t>
      </w:r>
      <w:r>
        <w:t>Investigate ICU-Station-3 and PACU-Station-1, which appear in both the high-override and high-discrepancy lists — this overlap suggests these devices should be prioritized for operational review. Monitor monthly discrepancy trends to ensure the January spike does not recur.</w:t>
      </w:r>
    </w:p>
    <w:p w14:paraId="51F31F74" w14:textId="77777777" w:rsidR="00D301FF" w:rsidRDefault="00D301FF"/>
    <w:p w14:paraId="770A74B6" w14:textId="77777777" w:rsidR="00D301FF" w:rsidRDefault="00000000">
      <w:pPr>
        <w:pStyle w:val="Heading2"/>
      </w:pPr>
      <w:r>
        <w:rPr>
          <w:color w:val="1F497D"/>
        </w:rPr>
        <w:t>6. Witness Compliance</w:t>
      </w:r>
    </w:p>
    <w:p w14:paraId="672C6692" w14:textId="77777777" w:rsidR="00D301FF" w:rsidRDefault="00000000">
      <w:r>
        <w:rPr>
          <w:b/>
        </w:rPr>
        <w:t>Findings</w:t>
      </w:r>
    </w:p>
    <w:p w14:paraId="2D67E401" w14:textId="77777777" w:rsidR="00D301FF" w:rsidRDefault="00000000">
      <w:pPr>
        <w:pStyle w:val="ListBullet"/>
      </w:pPr>
      <w:r>
        <w:t>100% of controlled medication Return and Waste transactions had a witness present — zero compliance breaches identified.</w:t>
      </w:r>
    </w:p>
    <w:p w14:paraId="05A2C299" w14:textId="77777777" w:rsidR="00D301FF" w:rsidRDefault="00000000">
      <w:pPr>
        <w:pStyle w:val="ListBullet"/>
      </w:pPr>
      <w:r>
        <w:t>Most frequently appearing witnesses: E.Harris, H.White, and M.Johnson.</w:t>
      </w:r>
    </w:p>
    <w:p w14:paraId="50101EF4" w14:textId="77777777" w:rsidR="00D301FF" w:rsidRDefault="00000000">
      <w:pPr>
        <w:pStyle w:val="ListBullet"/>
      </w:pPr>
      <w:r>
        <w:t>0 transactions found with missing witness for controlled Return/Waste — confirming full regulatory compliance in this area.</w:t>
      </w:r>
    </w:p>
    <w:p w14:paraId="15805966" w14:textId="11B37E54" w:rsidR="00D301FF" w:rsidRDefault="00000000">
      <w:r>
        <w:rPr>
          <w:b/>
        </w:rPr>
        <w:t xml:space="preserve">Why it matters — </w:t>
      </w:r>
      <w:r>
        <w:t xml:space="preserve">Witness requirements for controlled medication Return and Waste transactions </w:t>
      </w:r>
      <w:r w:rsidR="00751701">
        <w:t xml:space="preserve">ensures proper procedures are being followed. </w:t>
      </w:r>
      <w:r>
        <w:t>Full compliance in this area eliminates a common regulatory risk and reflects strong staff adherence to protocol.</w:t>
      </w:r>
    </w:p>
    <w:p w14:paraId="77F260F6" w14:textId="77777777" w:rsidR="00D301FF" w:rsidRDefault="00000000">
      <w:r>
        <w:rPr>
          <w:b/>
        </w:rPr>
        <w:t xml:space="preserve">Recommendation — </w:t>
      </w:r>
      <w:r>
        <w:t>No action required. Continue monitoring witness compliance monthly. Recognize staff for maintaining 100% compliance — this is a measurable positive outcome.</w:t>
      </w:r>
    </w:p>
    <w:p w14:paraId="287EC570" w14:textId="77777777" w:rsidR="00D301FF" w:rsidRDefault="00D301FF"/>
    <w:p w14:paraId="22692E22" w14:textId="77777777" w:rsidR="00D301FF" w:rsidRDefault="00000000">
      <w:pPr>
        <w:pStyle w:val="Heading2"/>
      </w:pPr>
      <w:r>
        <w:rPr>
          <w:color w:val="1F497D"/>
        </w:rPr>
        <w:lastRenderedPageBreak/>
        <w:t>7. Device &amp; Department Analysis</w:t>
      </w:r>
    </w:p>
    <w:p w14:paraId="381B9D07" w14:textId="77777777" w:rsidR="00D301FF" w:rsidRDefault="00000000">
      <w:r>
        <w:rPr>
          <w:b/>
        </w:rPr>
        <w:t>Findings</w:t>
      </w:r>
    </w:p>
    <w:p w14:paraId="1663E4BF" w14:textId="77777777" w:rsidR="00D301FF" w:rsidRDefault="00000000">
      <w:pPr>
        <w:pStyle w:val="ListBullet"/>
      </w:pPr>
      <w:r>
        <w:t>Top 3 devices by transaction volume: TELE-Station-1, ICU_Surg-A, and NICU_A-Station-2.</w:t>
      </w:r>
    </w:p>
    <w:p w14:paraId="114B26A4" w14:textId="77777777" w:rsidR="00D301FF" w:rsidRDefault="00000000">
      <w:pPr>
        <w:pStyle w:val="ListBullet"/>
      </w:pPr>
      <w:r>
        <w:t>Departments with highest controlled medication consumption: ICU, Emergency Room 2, and Med/Surg Ward — reflecting acuity levels.</w:t>
      </w:r>
    </w:p>
    <w:p w14:paraId="0B161E59" w14:textId="77777777" w:rsidR="00D301FF" w:rsidRDefault="00000000">
      <w:pPr>
        <w:pStyle w:val="ListBullet"/>
      </w:pPr>
      <w:r>
        <w:t>Top 3 devices by discrepancy count: ICU-Station-3, PHR_A-Backup, and PACU-Station-1.</w:t>
      </w:r>
    </w:p>
    <w:p w14:paraId="6A96FBB8" w14:textId="77777777" w:rsidR="00D301FF" w:rsidRDefault="00000000">
      <w:pPr>
        <w:pStyle w:val="ListBullet"/>
      </w:pPr>
      <w:r>
        <w:t>Highest average transaction duration by department: Cardiology (168.1 sec), Oncology (164.5 sec), Emergency Room 2 (163.3 sec).</w:t>
      </w:r>
    </w:p>
    <w:p w14:paraId="3D43B54F" w14:textId="77777777" w:rsidR="00D301FF" w:rsidRDefault="00000000">
      <w:pPr>
        <w:pStyle w:val="ListBullet"/>
      </w:pPr>
      <w:r>
        <w:t>Most accessed drawers across all devices: Drawer-1, Drawer-3, and Drawer-2.</w:t>
      </w:r>
    </w:p>
    <w:p w14:paraId="698F6E04" w14:textId="77777777" w:rsidR="00D301FF" w:rsidRDefault="00000000">
      <w:r>
        <w:rPr>
          <w:b/>
        </w:rPr>
        <w:t xml:space="preserve">Why it matters — </w:t>
      </w:r>
      <w:r>
        <w:t>High-volume devices in ICU and TELE units reflect the patient acuity and medication complexity in those areas. The fact that ICU-Station-3 and PACU-Station-1 appear in both high-discrepancy and high-override lists is a signal that these specific devices should be reviewed — it may indicate a workflow issue, a training gap, or a device configuration problem.</w:t>
      </w:r>
    </w:p>
    <w:p w14:paraId="3E7C72E2" w14:textId="77777777" w:rsidR="00D301FF" w:rsidRDefault="00000000">
      <w:r>
        <w:rPr>
          <w:b/>
        </w:rPr>
        <w:t xml:space="preserve">Recommendation — </w:t>
      </w:r>
      <w:r>
        <w:t>Prioritize ICU-Station-3 and PACU-Station-1 for operational review given their presence in multiple risk categories. Review high transaction duration in Cardiology and Oncology — longer durations may indicate complex medication protocols or user interface friction that could be addressed through training or device configuration.</w:t>
      </w:r>
    </w:p>
    <w:p w14:paraId="4750235D" w14:textId="77777777" w:rsidR="00D301FF" w:rsidRDefault="00D301FF"/>
    <w:p w14:paraId="686989C3" w14:textId="77777777" w:rsidR="00D301FF" w:rsidRDefault="00000000">
      <w:pPr>
        <w:pStyle w:val="Heading2"/>
      </w:pPr>
      <w:r>
        <w:rPr>
          <w:color w:val="1F497D"/>
        </w:rPr>
        <w:t>8. Inventory Analysis</w:t>
      </w:r>
    </w:p>
    <w:p w14:paraId="33D6FC05" w14:textId="77777777" w:rsidR="00D301FF" w:rsidRDefault="00000000">
      <w:r>
        <w:rPr>
          <w:b/>
        </w:rPr>
        <w:t>Findings</w:t>
      </w:r>
    </w:p>
    <w:p w14:paraId="598F2129" w14:textId="77777777" w:rsidR="00D301FF" w:rsidRDefault="00000000">
      <w:pPr>
        <w:pStyle w:val="ListBullet"/>
      </w:pPr>
      <w:r>
        <w:t>Total stock: 3,922 units of non-controlled medications and 3,461 units of controlled medications across all devices.</w:t>
      </w:r>
    </w:p>
    <w:p w14:paraId="62F7F776" w14:textId="77777777" w:rsidR="00D301FF" w:rsidRDefault="00000000">
      <w:pPr>
        <w:pStyle w:val="ListBullet"/>
      </w:pPr>
      <w:r>
        <w:t>300 medication slots are currently flagged as needing restock (current quantity &lt; 25% of par level).</w:t>
      </w:r>
    </w:p>
    <w:p w14:paraId="5DDD5457" w14:textId="77777777" w:rsidR="00D301FF" w:rsidRDefault="00000000">
      <w:pPr>
        <w:pStyle w:val="ListBullet"/>
      </w:pPr>
      <w:r>
        <w:t>Most understocked devices: TELE-Station-1, ER2-Station-3, and ER1-Station-1.</w:t>
      </w:r>
    </w:p>
    <w:p w14:paraId="0EF96BB8" w14:textId="77777777" w:rsidR="00D301FF" w:rsidRDefault="00000000">
      <w:pPr>
        <w:pStyle w:val="ListBullet"/>
      </w:pPr>
      <w:r>
        <w:t>Overstocked medications identified: Acetaminophen 1000mg IV (ER2-Station-2), Acetaminophen 500mg (ICU-Station-4), and Aspirin 81mg (PHR_A-Main).</w:t>
      </w:r>
    </w:p>
    <w:p w14:paraId="11A62AB8" w14:textId="77777777" w:rsidR="00D301FF" w:rsidRDefault="00000000">
      <w:pPr>
        <w:pStyle w:val="ListBullet"/>
      </w:pPr>
      <w:r>
        <w:t>Departments with lowest average stock levels: Emergency Room 2, Pharmacy B, and NICU-B.</w:t>
      </w:r>
    </w:p>
    <w:p w14:paraId="2EC18327" w14:textId="77777777" w:rsidR="00D301FF" w:rsidRDefault="00000000">
      <w:r>
        <w:rPr>
          <w:b/>
        </w:rPr>
        <w:t xml:space="preserve">Why it matters — </w:t>
      </w:r>
      <w:r>
        <w:t>Understocked devices in high-acuity areas like the Emergency Room increase the risk of medication unavailability during emergencies, potentially forcing overrides. Overstocked medications waste drawer space and may indicate par levels are set incorrectly for actual usage patterns. ER2 appearing in both low stock and high override lists suggests a direct connection — staff may be overriding because stock is insufficient.</w:t>
      </w:r>
    </w:p>
    <w:p w14:paraId="50D12C62" w14:textId="77777777" w:rsidR="00D301FF" w:rsidRDefault="00000000">
      <w:r>
        <w:rPr>
          <w:b/>
        </w:rPr>
        <w:lastRenderedPageBreak/>
        <w:t xml:space="preserve">Recommendation — </w:t>
      </w:r>
      <w:r>
        <w:t>Prioritize restocking TELE-Station-1 and ER1/ER2 stations given their high transaction volumes and low stock levels. Review and adjust par levels for Acetaminophen and Aspirin at the overstocked devices. Investigate whether ER2's low stock is contributing to its elevated override rate.</w:t>
      </w:r>
    </w:p>
    <w:p w14:paraId="03A094CE" w14:textId="77777777" w:rsidR="00D301FF" w:rsidRDefault="00D301FF"/>
    <w:p w14:paraId="42795736" w14:textId="77777777" w:rsidR="00D301FF" w:rsidRDefault="00000000">
      <w:pPr>
        <w:pStyle w:val="Heading2"/>
      </w:pPr>
      <w:r>
        <w:rPr>
          <w:color w:val="1F497D"/>
        </w:rPr>
        <w:t>Overall Conclusion</w:t>
      </w:r>
    </w:p>
    <w:p w14:paraId="44138B2F" w14:textId="77777777" w:rsidR="00D301FF" w:rsidRDefault="00000000">
      <w:r>
        <w:t>The Pyxis medication dispensing system is operating within acceptable compliance boundaries. Witness compliance for controlled medication Return and Waste transactions is 100%, and the overall discrepancy rate of 2.9% is low. However, two areas warrant closer attention: the override rate — particularly for controlled substances in PACU and ICU — and the inventory levels in Emergency Room units, where low stock appears to be driving unnecessary overrides. ICU-Station-3 and PACU-Station-1 consistently appear across override, discrepancy, and device risk categories and should be prioritized for operational review. Addressing pharmacist coverage during peak hours (7–9 AM and 2–3 PM) and restocking high-volume ER devices would meaningfully reduce compliance risk across the organization.</w:t>
      </w:r>
    </w:p>
    <w:sectPr w:rsidR="00D301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240385">
    <w:abstractNumId w:val="8"/>
  </w:num>
  <w:num w:numId="2" w16cid:durableId="1282151977">
    <w:abstractNumId w:val="6"/>
  </w:num>
  <w:num w:numId="3" w16cid:durableId="929896129">
    <w:abstractNumId w:val="5"/>
  </w:num>
  <w:num w:numId="4" w16cid:durableId="170992311">
    <w:abstractNumId w:val="4"/>
  </w:num>
  <w:num w:numId="5" w16cid:durableId="117526921">
    <w:abstractNumId w:val="7"/>
  </w:num>
  <w:num w:numId="6" w16cid:durableId="496920790">
    <w:abstractNumId w:val="3"/>
  </w:num>
  <w:num w:numId="7" w16cid:durableId="749236114">
    <w:abstractNumId w:val="2"/>
  </w:num>
  <w:num w:numId="8" w16cid:durableId="888106036">
    <w:abstractNumId w:val="1"/>
  </w:num>
  <w:num w:numId="9" w16cid:durableId="213930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E22"/>
    <w:rsid w:val="0029639D"/>
    <w:rsid w:val="00326F90"/>
    <w:rsid w:val="00357F1D"/>
    <w:rsid w:val="00751701"/>
    <w:rsid w:val="00AA1D8D"/>
    <w:rsid w:val="00B47730"/>
    <w:rsid w:val="00CB0664"/>
    <w:rsid w:val="00D301FF"/>
    <w:rsid w:val="00F60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80E6F"/>
  <w14:defaultImageDpi w14:val="300"/>
  <w15:docId w15:val="{831F2761-F104-47B5-9B53-E7C43DF6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Viraj Parab</cp:lastModifiedBy>
  <cp:revision>3</cp:revision>
  <dcterms:created xsi:type="dcterms:W3CDTF">2013-12-23T23:15:00Z</dcterms:created>
  <dcterms:modified xsi:type="dcterms:W3CDTF">2026-10-28T17:51:00Z</dcterms:modified>
  <cp:category/>
</cp:coreProperties>
</file>