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Arial" w:cs="Arial" w:eastAsia="Arial" w:hAnsi="Arial"/>
          <w:b/>
          <w:bCs/>
          <w:color w:val="7D5F3C"/>
          <w:sz w:val="16"/>
          <w:szCs w:val="16"/>
        </w:rPr>
        <w:t xml:space="preserve">BEFORE REGRET · PRESS OUTREACH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New Outreach Targets</w:t>
      </w:r>
    </w:p>
    <w:p>
      <w:pPr>
        <w:pBdr>
          <w:bottom w:val="single" w:color="D9D3C7" w:sz="6" w:space="6"/>
        </w:pBdr>
        <w:spacing w:after="240" w:before="0" w:line="276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Ten new desks for the four studies that have never been pitched. Compiled 9 September 2026.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Read this first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Who is already contacted — do not include them here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five trade-press editors have had pitches for Risk Without Price and Outside the Zone. Anything further to them is a follow-up, which is a different job from this document.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Chad Hemenway, William Rabb, Don Jergler, Ezra Amacher, Susanne Sclafane — Insurance Journal and trade press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Andrea Wells — held on a reply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local desks in the Outside the Zone pack, including the Houston Chronicle city desk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None of the ten below overlaps with any of those. Local, national and trade are separate desks, so these can go out without stepping on the earlier sends.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The address rule, learned the hard way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first Houston pitch went to a named business editor taken from the Chronicle’s own published staff list. It hard-bounced:</w:t>
      </w:r>
    </w:p>
    <w:p>
      <w:pPr>
        <w:spacing w:after="120" w:before="0" w:line="276"/>
        <w:ind w:left="360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550 5.4.1 Recipient address rejected: Access denied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Large newsrooms publish staff addresses for attribution while the mail server refuses external senders. Published is not the same as reachable. So: pitch cold to a shared desk address only. A named address is for replying to a reporter who wrote to you first.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Where these addresses came from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address below was read off that outlet’s own contact page on 9 September 2026 and is reproduced exactly. Nothing is inferred from a pattern and nothing is invented. Four outlets publish no address at all; those entries say web form and give the URL, because a guessed address is worse than a form.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only address for your signature is hello@beforeregret.com. There is no other real mailbox.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One pitch per newsroom, one study per pitch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emails to the same masthead reads as two people pitching. Where a city has two outlets listed, they are genuinely separate newsrooms and can both be sent the same day.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The ten targets</w:t>
      </w:r>
    </w:p>
    <w:p>
      <w:pPr>
        <w:spacing w:after="160" w:before="0" w:line="276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Ordered by how winnable each looks: local desks with a number about their own county first, national desks last.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2200"/>
        <w:gridCol w:w="1500"/>
      </w:tblGrid>
      <w:tr>
        <w:trPr>
          <w:tblHeader/>
        </w:trPr>
        <w:tc>
          <w:tcPr>
            <w:tcW w:type="dxa" w:w="2600"/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Outlet</w:t>
            </w:r>
          </w:p>
        </w:tc>
        <w:tc>
          <w:tcPr>
            <w:tcW w:type="dxa" w:w="3100"/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Send to</w:t>
            </w:r>
          </w:p>
        </w:tc>
        <w:tc>
          <w:tcPr>
            <w:tcW w:type="dxa" w:w="2200"/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Study</w:t>
            </w:r>
          </w:p>
        </w:tc>
        <w:tc>
          <w:tcPr>
            <w:tcW w:type="dxa" w:w="1500"/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WESA 90.5 (Pittsburgh NPR)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news@wesa.fm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Allegheny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PublicSource (Pittsburgh)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info@publicsource.org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Allegheny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 Dallas Morning News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newstips@dallasnews.com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North Texas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Fort Worth Report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news@fortworthreport.org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North Texas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Dallas Observer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editorial@dallasobserver.com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North Texas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 Texas Tribune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pitches@texastribune.org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North Texas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Inside Climate News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web form, subject “tips”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Raise or Remove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Form only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Grist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web form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Raise or Remove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Form only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ProPublica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web form (tips)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High-Hazard Dams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Form only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 Associated Press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web form (tips)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High-Hazard Dams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Form only</w:t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  <w:color w:val="5A5A5A"/>
          <w:sz w:val="17"/>
          <w:szCs w:val="17"/>
        </w:rPr>
        <w:t xml:space="preserve">Form URLs: insideclimatenews.org/contact/ · grist.org/contact/ · propublica.org/tips/ · ap.org/tips/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Allegheny — Pittsburgh desks</w:t>
      </w:r>
    </w:p>
    <w:p>
      <w:pPr>
        <w:spacing w:after="200" w:before="0" w:line="276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Study: Third Stormiest, Sixth Cheapest · https://www.beforeregret.com/research/allegheny-storm-premium/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1 · WESA 90.5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TO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news@wesa.fm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SUBJECT</w:t>
      </w:r>
    </w:p>
    <w:p>
      <w:pPr>
        <w:spacing w:after="14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Allegheny County had the third most severe weather of 100 large US counties — and one of the smallest shares paying over $3,000 to insure a home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BODY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Dear WESA news desk,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 have finished a county-level analysis that puts Allegheny County in an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unusual position, and the local number is the story rather than the national one.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Across the 100 largest US counties by housing stock, using NOAA Storm Events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for 2015-2024 and Census ACS table B25141 for what mortgaged households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report actually paying: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1,108  severe weather events recorded in Allegheny County over the decade,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third highest of the 100. The median county recorded 285.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58.8%  of the county’s 206,078 mortgaged households report paying under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$1,000 a year to insure the home - seventh highest share.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2.9%  report paying over $3,000 - sixth LOWEST share of the hundred.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The comparison that makes it land: Oklahoma County, Oklahoma recorded 864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severe weather events over the same decade, fewer than Allegheny, and 24.0%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of its mortgaged households pay over $3,000. Allegheny records more weather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and has a quarter as many households paying that much.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One correction before it prints, because it is the sentence that gets away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this data: it does NOT say Pittsburgh has the cheapest home insurance in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America. The ACS reports what households say they pay, in bands, with no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published mean, so no county here has an average premium and none is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calculated. What the data supports is a share, not a price.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Study, method, limitations and the full 100-county CSV: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https://www.beforeregret.com/research/allegheny-storm-premium/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All of it is public federal data and the files are linked from the page.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[Your name]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hello@beforeregret.com</w:t>
      </w:r>
    </w:p>
    <w:p>
      <w:pPr>
        <w:pageBreakBefore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2 · PublicSource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TO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info@publicsource.org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SUBJECT</w:t>
      </w:r>
    </w:p>
    <w:p>
      <w:pPr>
        <w:spacing w:after="14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County-level data on Pittsburgh home insurance: what 206,078 mortgaged households report paying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BODY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Dear PublicSource,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Something for a data or accountability desk, with the caveat attached.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 have analysed the 100 largest US counties on three public federal sources -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NOAA Storm Events 2015-2024, Census ACS table B25141, and the EPA radon map.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Allegheny County comes out third for severe weather frequency, with 1,108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recorded events against a 100-county median of 285, while 58.8% of its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206,078 mortgaged households report paying under $1,000 a year to insure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the home, and only 2.9% report paying over $3,000.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The housing context matters for your readers specifically: 77.2% of the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county’s stock is pre-1980 and 36.7% is pre-1950, on an EPA Zone 1 radon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designation, the highest of three.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What I cannot tell you is why the price sits where it does. The ACS reports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bands, not premiums, so this is descriptive. Rate regulation, loss history,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construction cost and market structure all plausibly contribute and this data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separates none of them. I would rather say that up front than have it surface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 an edit.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The full county table is published as CSV and the figures as JSON, free to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reuse with attribution: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https://www.beforeregret.com/research/allegheny-storm-premium/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[Your name]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hello@beforeregret.com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North Texas — DFW desks</w:t>
      </w:r>
    </w:p>
    <w:p>
      <w:pPr>
        <w:spacing w:after="200" w:before="0" w:line="276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Study: Built Together, Due Together · https://www.beforeregret.com/research/north-texas-roof-age/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3 · The Dallas Morning News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TO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newstips@dallasnews.com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SUBJECT</w:t>
      </w:r>
    </w:p>
    <w:p>
      <w:pPr>
        <w:spacing w:after="14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Collin and Denton are two of only three US counties where half the housing went up in one 20-year window and the hail keeps coming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BODY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Dear news desk,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 finding about Collin and Denton counties that I do not think has been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reported, from Census ACS year-built estimates and NOAA Storm Events.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Of the 100 largest US counties by housing stock, only three have BOTH at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least 45% of their homes built inside a single twenty-year window AND at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least 100 recorded hailstorms in 2015-2024. Two of the three share a border,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and they are Collin and Denton. The third is Wake County, North Carolina.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50.9%  of Collin County’s 421,938 homes were built in the 2000s or 2010s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50.7%  the same for Denton County’s 364,120 homes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1,240  hailstorms recorded across Tarrant, Denton, Collin and Dallas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counties over the decade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The argument in one line: roofs go on when houses go up, so a county built in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one burst has roofs coming due together rather than one at a time - and these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two sit in a hail corridor that wears roofs out faster than most places.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The sentence I would ask you not to print: "half the roofs in Collin County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are about to fail." The study does not say that. Decade of construction is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not roof age - a 2005 house may have been re-roofed twice since, and hail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claims are one of the commonest reasons it would have been. The concentration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figure sets the clock. It does not read it.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Study, method and the full 100-county CSV: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https://www.beforeregret.com/research/north-texas-roof-age/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[Your name]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hello@beforeregret.com</w:t>
      </w:r>
    </w:p>
    <w:p>
      <w:pPr>
        <w:pageBreakBefore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4 · Fort Worth Report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TO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news@fortworthreport.org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SUBJECT</w:t>
      </w:r>
    </w:p>
    <w:p>
      <w:pPr>
        <w:spacing w:after="14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Tarrant sits inside a four-county hail corridor with 1,240 recorded hailstorms in a decade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BODY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Dear Fort Worth Report,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 North Texas finding with a Tarrant County angle, from public federal data.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Across Tarrant, Denton, Collin and Dallas counties, NOAA recorded 1,240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hailstorms between 2015 and 2024. What makes the region unusual nationally is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what that weather is landing on. Of the 100 largest US counties by housing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stock, only three combine at least 45% of homes built in one twenty-year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window with at least 100 recorded hailstorms - and two of them, Collin and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Denton, are your neighbours.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Tarrant’s own housing is spread across more decades than Collin’s or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Denton’s, which is the contrast worth drawing: the same hail corridor, a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different replacement profile, and so a different exposure for homeowners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and for the market.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One caveat I would rather give you than have you find: decade of construction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is not roof age. It establishes when the first roof went on, not what is up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there now. Hail claims are one of the commonest reasons a roof would already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have been replaced.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Full county table as CSV, figures as JSON, free to reuse with attribution: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https://www.beforeregret.com/research/north-texas-roof-age/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[Your name]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hello@beforeregret.com</w:t>
      </w:r>
    </w:p>
    <w:p>
      <w:pPr>
        <w:pageBreakBefore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5 · The Texas Tribune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TO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pitches@texastribune.org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SUBJECT</w:t>
      </w:r>
    </w:p>
    <w:p>
      <w:pPr>
        <w:spacing w:after="14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adjoining Texas counties are national outliers for synchronised housing plus hail exposure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BODY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Dear Texas Tribune,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 statewide-interest finding from Census and NOAA data, offered with its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limits attached.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Of the 100 largest US counties by housing stock, exactly three have at least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45% of their homes built within a single twenty-year window and at least 100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recorded hailstorms in 2015-2024. Two of the three are Texan and adjoining: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Collin, where 50.9% of 421,938 homes went up in the 2000s or 2010s, and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Denton, at 50.7% of 364,120. The third is Wake County, North Carolina.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Across the four-county DFW core, NOAA recorded 1,240 hailstorms over that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decade.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The policy-relevant version is about timing rather than damage. Housing built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 a burst produces replacement demand in a burst, and Texas has the clearest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example of that in the country sitting in a hail corridor. It is a question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about the insurance market and the roofing trade as much as about weather.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What the data does not support: any claim about how many roofs are currently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failing. Construction decade sets the clock on the first roof; it does not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tell you what has been replaced since.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Method, limitations and the full CSV: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https://www.beforeregret.com/research/north-texas-roof-age/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[Your name]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hello@beforeregret.com</w:t>
      </w:r>
    </w:p>
    <w:p>
      <w:pPr>
        <w:pageBreakBefore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6 · Dallas Observer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TO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editorial@dallasobserver.com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SUBJECT</w:t>
      </w:r>
    </w:p>
    <w:p>
      <w:pPr>
        <w:spacing w:after="14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Why Collin and Denton homeowners keep getting roofing letters: the data behind it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BODY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Dear Dallas Observer,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If you have ever wondered why entire Collin and Denton neighbourhoods seem to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get roofed in the same summer, there is now a number behind it.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Half the housing in each county - 50.9% of Collin’s 421,938 homes and 50.7%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of Denton’s 364,120 - went up inside a single twenty-year window. Across the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four-county DFW core, NOAA recorded 1,240 hailstorms between 2015 and 2024.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Of the 100 largest counties in America, only three combine that kind of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construction concentration with that much hail, and two of them are here.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Roofs go on when houses go up. A county built in one burst gets its roofs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coming due together, and hail moves that schedule forward.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To keep you out of trouble with it: this is not a claim that half the roofs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 Collin County are failing. A 2005 house may already have been re-roofed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twice. The data sets the clock; it does not read it.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Everything is public federal data and the county table is free to reuse: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https://www.beforeregret.com/research/north-texas-roof-age/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[Your name]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hello@beforeregret.com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National — climate and investigative desks</w:t>
      </w:r>
    </w:p>
    <w:p>
      <w:pPr>
        <w:spacing w:after="200" w:before="0" w:line="276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These four take web-form submissions rather than email. Keep the text short; forms truncate.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7 · Inside Climate News — insideclimatenews.org/contact/</w:t>
      </w:r>
    </w:p>
    <w:p>
      <w:pPr>
        <w:spacing w:after="120" w:before="0" w:line="276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Use the contact form and set the subject to “tips”, which is what their contact page asks for.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BODY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Managed retreat is usually discussed as a national policy question. FEMA’s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own grant file says it is really five states.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Across 32,779 federally funded decisions on flooded single-family homes,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fiscal 1996-2025, 24,020 homes were bought and demolished and 8,759 were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raised in place - demolition wins 2.7 to 1. Ranked by how often they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demolish, the 25 states with meaningful volume do not form a spectrum. They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form two groups with an empty gap between them: Florida, Louisiana, New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Jersey, Virginia and Washington sit between 22.6% and 51.2%, then nothing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until North Carolina at 71.5%. Kansas and Oklahoma have never raised a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single-family home with these grants.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The finding nearly did not survive. Sorted by foundation, 93.4% of homes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with basements were demolished against 46.3% on piers - a clean engineering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gradient. It does not hold: Louisiana has pier-built housing and raises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houses, Iowa has basements and demolishes them, so state could account for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all of it. Asking within states is what produces the real result - foundation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moves the outcome by 48.9 points in the five states that elevate, and by 22.7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against a 90.7% base rate in the other twenty, where everything goes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regardless.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Study, method, limitations, and the state and ZIP tables as CSV: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https://www.beforeregret.com/research/raise-or-remove/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All public-domain federal data. 1,196 counties, 1,461 ZIP codes.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[Your name] - hello@beforeregret.com</w:t>
      </w:r>
    </w:p>
    <w:p>
      <w:pPr>
        <w:pageBreakBefore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8 · Grist — grist.org/contact/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BODY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 national number on buyouts versus elevation, with the disconfirmation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attached because that is the part worth checking.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FEMA publishes every property its mitigation grants have paid to alter or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remove. Filtered to single-family homes facing the buy-or-raise choice, that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is 32,779 decisions across fiscal 1996-2025: 24,020 demolished, 8,759 raised.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73.3% of the time the house goes.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Five states - Florida, Louisiana, New Jersey, Virginia and Washington - do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nearly all of America’s elevating, demolishing 31.1% of the time. The other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twenty demolish 90.7% of the time. So "should America retreat or adapt" is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not really a live national question; twenty states answered it one way and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five the other, and the line between them is not gradual.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What this cannot tell you: it is FEMA-funded decisions only. States, counties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and cities run their own buyout programmes and homeowners elevate privately,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and none of that is in the file. A ZIP with no record is not a ZIP where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nothing happened. Cost is also unknowable here - a payment amount appears on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only 47.8% of the relevant rows, which is why no cost figure appears anywhere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 the study.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https://www.beforeregret.com/research/raise-or-remove/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[Your name] - hello@beforeregret.com</w:t>
      </w:r>
    </w:p>
    <w:p>
      <w:pPr>
        <w:pageBreakBefore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9 · ProPublica — propublica.org/tips/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BODY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636 US dams are rated in poor or unsatisfactory condition AND have no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emergency action plan on file. That intersection is the number, and it is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not one the National Inventory of Dams publishes directly.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Of 92,766 dams in the inventory, 17,049 are classified high hazard potential -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meaning failure is expected to cause loss of life. Of those, 2,791 (16.4%)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are rated Poor or Unsatisfactory and 2,476 (14.5%) have no emergency action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plan recorded. 636 are in both groups.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Two things I would want a reporter to have before writing it. "High hazard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potential" is a statement about consequences, not condition - it is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constantly conflated with "dangerous dam". And the version of this that gets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written by mistake is "over 2,000 dams in poor condition with no emergency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plan", which runs the two groups together and describes neither.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Every figure is the regulating agencies’ own assessment, aggregated by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county and published as CSV: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https://www.beforeregret.com/research/high-hazard-dams/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[Your name] - hello@beforeregret.com</w:t>
      </w:r>
    </w:p>
    <w:p>
      <w:pPr>
        <w:pageBreakBefore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10 · The Associated Press — ap.org/tips/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color w:val="5A5A5A"/>
          <w:sz w:val="16"/>
          <w:szCs w:val="16"/>
        </w:rPr>
        <w:t xml:space="preserve">BODY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 county-level cut of the National Inventory of Dams that surfaces an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intersection the file does not publish on its own.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Of the 17,049 dams the US Army Corps of Engineers classifies high hazard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potential - failure expected to cause loss of life - 2,791 carry a condition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rating of Poor or Unsatisfactory, 2,476 have no emergency action plan on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file, and 636 are in both groups. Their median completion year is 1955.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The data is aggregated by county, so it localises for member newsrooms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anywhere in the country, and it is published as CSV and JSON with no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restriction beyond attribution.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Note for accuracy, since it is the commonest error with this dataset: high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hazard potential describes the consequence of failure, not the condition of</w:t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the dam. A well-maintained dam above a town is high hazard potential.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https://www.beforeregret.com/research/high-hazard-dams/</w:t>
      </w:r>
    </w:p>
    <w:p>
      <w:pPr>
        <w:spacing w:after="10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pacing w:after="40" w:before="0" w:line="276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[Your name] - hello@beforeregret.com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If a reporter comes back</w:t>
      </w:r>
    </w:p>
    <w:p>
      <w:pPr>
        <w:spacing w:after="160" w:before="0" w:line="276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The four answers that come up on every one of these studies.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“Is this every buyout / every dam / every premium?”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No, and each study leads with that. Raise or Remove is FEMA-funded decisions only. The dam figures are the regulating agencies’ own assessments, not an independent inspection. The insurance figures are what households report in Census bands, not quoted rates.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“What did it cost?”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Unknown from the FEMA file. A payment amount is present on only 47.8% of the relevant rows, which is why no cost-per-decision figure appears anywhere in Raise or Remove. Anyone publishing an average cost from that dataset is estimating.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“Hasn’t this been done?”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Partly, and say so first. NRDC and Climate Central have both published on FEMA acquisitions. What appears to be new is the cut by foundation type and the two-regime state split.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D5F3C"/>
          <w:sz w:val="24"/>
          <w:szCs w:val="24"/>
        </w:rPr>
        <w:t xml:space="preserve">“Are you selling something?”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Yes. BeforeRegret sells a property report to home buyers. The studies are free, the data is public domain, and the analysis does not depend on the product.</w:t>
      </w:r>
    </w:p>
    <w:p>
      <w:pPr>
        <w:spacing w:after="120" w:before="200" w:line="276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Corrections and questions: hello@beforeregret.com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2026-09-09T08:03:02.963Z</dcterms:created>
  <dcterms:modified xsi:type="dcterms:W3CDTF">2026-09-09T08:03:02.964Z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