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Princeton Laboratory for Artificial Intelligence seeks AI Policy Fellows to work with federal government AI policy initiatives. Federal agencies tasked with extensive responsibilities in the 2023 Executive Order on the Safe, Secure, and Trustworthy Development and Use of Artificial Intelligence would benefit from additional support to advance the responsible development and utilization of AI.  Fellows will help to:</w:t>
      </w:r>
    </w:p>
    <w:p w:rsidR="00000000" w:rsidDel="00000000" w:rsidP="00000000" w:rsidRDefault="00000000" w:rsidRPr="00000000" w14:paraId="00000002">
      <w:pPr>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03">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1. Build internal capacity in federal agencies to advance AI policy.</w:t>
      </w:r>
    </w:p>
    <w:p w:rsidR="00000000" w:rsidDel="00000000" w:rsidP="00000000" w:rsidRDefault="00000000" w:rsidRPr="00000000" w14:paraId="00000004">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2. Increase public interest technology experts in government.</w:t>
      </w:r>
    </w:p>
    <w:p w:rsidR="00000000" w:rsidDel="00000000" w:rsidP="00000000" w:rsidRDefault="00000000" w:rsidRPr="00000000" w14:paraId="00000005">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3. Provide civil society technical experts with agency experience.</w:t>
      </w:r>
    </w:p>
    <w:p w:rsidR="00000000" w:rsidDel="00000000" w:rsidP="00000000" w:rsidRDefault="00000000" w:rsidRPr="00000000" w14:paraId="00000006">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4. Address AI risks and harms to promote an equitable future.</w:t>
      </w:r>
    </w:p>
    <w:p w:rsidR="00000000" w:rsidDel="00000000" w:rsidP="00000000" w:rsidRDefault="00000000" w:rsidRPr="00000000" w14:paraId="00000007">
      <w:pPr>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08">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Responsibilities: </w:t>
      </w:r>
    </w:p>
    <w:p w:rsidR="00000000" w:rsidDel="00000000" w:rsidP="00000000" w:rsidRDefault="00000000" w:rsidRPr="00000000" w14:paraId="00000009">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Work with federal agency leadership for one year, starting between October 2024 and December 2025, pending a federal background check. Potential placements include the Departments of Commerce, Energy, Homeland Security, Justice, and State, and other executive branch offices developing AI policy such as OSTP and USAISI. Tasks may include:</w:t>
      </w:r>
    </w:p>
    <w:p w:rsidR="00000000" w:rsidDel="00000000" w:rsidP="00000000" w:rsidRDefault="00000000" w:rsidRPr="00000000" w14:paraId="0000000A">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*Researching risk management, safety, and auditing.</w:t>
      </w:r>
    </w:p>
    <w:p w:rsidR="00000000" w:rsidDel="00000000" w:rsidP="00000000" w:rsidRDefault="00000000" w:rsidRPr="00000000" w14:paraId="0000000B">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*Preparing AI opportunity/risk/threat assessments with government experts.</w:t>
      </w:r>
    </w:p>
    <w:p w:rsidR="00000000" w:rsidDel="00000000" w:rsidP="00000000" w:rsidRDefault="00000000" w:rsidRPr="00000000" w14:paraId="0000000C">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*Supporting AI/ML evaluations.</w:t>
      </w:r>
    </w:p>
    <w:p w:rsidR="00000000" w:rsidDel="00000000" w:rsidP="00000000" w:rsidRDefault="00000000" w:rsidRPr="00000000" w14:paraId="0000000D">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*Communicating technical AI knowledge to develop best practices.</w:t>
      </w:r>
    </w:p>
    <w:p w:rsidR="00000000" w:rsidDel="00000000" w:rsidP="00000000" w:rsidRDefault="00000000" w:rsidRPr="00000000" w14:paraId="0000000E">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*Advising agency leadership on AI policy.</w:t>
      </w:r>
    </w:p>
    <w:p w:rsidR="00000000" w:rsidDel="00000000" w:rsidP="00000000" w:rsidRDefault="00000000" w:rsidRPr="00000000" w14:paraId="0000000F">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*Explaining AI concepts to diverse audiences.</w:t>
      </w:r>
    </w:p>
    <w:p w:rsidR="00000000" w:rsidDel="00000000" w:rsidP="00000000" w:rsidRDefault="00000000" w:rsidRPr="00000000" w14:paraId="00000010">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*Building coalitions for responsible AI implementation.</w:t>
      </w:r>
    </w:p>
    <w:p w:rsidR="00000000" w:rsidDel="00000000" w:rsidP="00000000" w:rsidRDefault="00000000" w:rsidRPr="00000000" w14:paraId="00000011">
      <w:pPr>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12">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AI Policy Fellows will give a seminar at Princeton during their term, contribute to the intellectual life of the university and the AI Lab, and bring relevant insights from the academic community to their agency work.</w:t>
      </w:r>
    </w:p>
    <w:p w:rsidR="00000000" w:rsidDel="00000000" w:rsidP="00000000" w:rsidRDefault="00000000" w:rsidRPr="00000000" w14:paraId="00000013">
      <w:pPr>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14">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Eligibility: </w:t>
      </w:r>
    </w:p>
    <w:p w:rsidR="00000000" w:rsidDel="00000000" w:rsidP="00000000" w:rsidRDefault="00000000" w:rsidRPr="00000000" w14:paraId="00000015">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While successful candidates may not meet all of these requirements, below is what we're looking for:</w:t>
      </w:r>
    </w:p>
    <w:p w:rsidR="00000000" w:rsidDel="00000000" w:rsidP="00000000" w:rsidRDefault="00000000" w:rsidRPr="00000000" w14:paraId="00000016">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*Seven or more years of work experience or postgraduate study in artificial intelligence and machine learning, computer science or engineering, AI product policy, or other relevant technology fields.</w:t>
      </w:r>
    </w:p>
    <w:p w:rsidR="00000000" w:rsidDel="00000000" w:rsidP="00000000" w:rsidRDefault="00000000" w:rsidRPr="00000000" w14:paraId="00000017">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*Tech savvy or socio-technical expertise, with experience working in or studying in the technology industry or the public interest technology sector.</w:t>
      </w:r>
    </w:p>
    <w:p w:rsidR="00000000" w:rsidDel="00000000" w:rsidP="00000000" w:rsidRDefault="00000000" w:rsidRPr="00000000" w14:paraId="00000018">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*Advanced technical ability and training. </w:t>
      </w:r>
    </w:p>
    <w:p w:rsidR="00000000" w:rsidDel="00000000" w:rsidP="00000000" w:rsidRDefault="00000000" w:rsidRPr="00000000" w14:paraId="00000019">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*Great interpersonal and communication skills.</w:t>
      </w:r>
    </w:p>
    <w:p w:rsidR="00000000" w:rsidDel="00000000" w:rsidP="00000000" w:rsidRDefault="00000000" w:rsidRPr="00000000" w14:paraId="0000001A">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*Ability to work with cross-sector stakeholders from industry, academia, civil society, government, among others.</w:t>
      </w:r>
    </w:p>
    <w:p w:rsidR="00000000" w:rsidDel="00000000" w:rsidP="00000000" w:rsidRDefault="00000000" w:rsidRPr="00000000" w14:paraId="0000001B">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*Ability to work in a fast-paced, collaborative environment.</w:t>
      </w:r>
    </w:p>
    <w:p w:rsidR="00000000" w:rsidDel="00000000" w:rsidP="00000000" w:rsidRDefault="00000000" w:rsidRPr="00000000" w14:paraId="0000001C">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*Flexibility and comfort with ambiguity in a rapidly evolving issue space.</w:t>
      </w:r>
    </w:p>
    <w:p w:rsidR="00000000" w:rsidDel="00000000" w:rsidP="00000000" w:rsidRDefault="00000000" w:rsidRPr="00000000" w14:paraId="0000001D">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Appointment will require an advanced or professional degree.</w:t>
      </w:r>
    </w:p>
    <w:p w:rsidR="00000000" w:rsidDel="00000000" w:rsidP="00000000" w:rsidRDefault="00000000" w:rsidRPr="00000000" w14:paraId="0000001E">
      <w:pPr>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1F">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Location: Remote with travel to Washington, DC and Princeton. </w:t>
      </w:r>
    </w:p>
    <w:p w:rsidR="00000000" w:rsidDel="00000000" w:rsidP="00000000" w:rsidRDefault="00000000" w:rsidRPr="00000000" w14:paraId="00000020">
      <w:pPr>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21">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AI Policy Fellows will be appointed for one year as Professional Specialists, with possible extensions, through the Princeton Laboratory for Artificial Intelligence and will receive a competitive salary and benefits. Candidates should apply by the start-of-review date, October 24, 2024, to guarantee consideration.  </w:t>
      </w:r>
    </w:p>
    <w:p w:rsidR="00000000" w:rsidDel="00000000" w:rsidP="00000000" w:rsidRDefault="00000000" w:rsidRPr="00000000" w14:paraId="00000022">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Applicants must apply online at</w:t>
      </w:r>
      <w:hyperlink r:id="rId6">
        <w:r w:rsidDel="00000000" w:rsidR="00000000" w:rsidRPr="00000000">
          <w:rPr>
            <w:rFonts w:ascii="Roboto" w:cs="Roboto" w:eastAsia="Roboto" w:hAnsi="Roboto"/>
            <w:color w:val="333333"/>
            <w:sz w:val="21"/>
            <w:szCs w:val="21"/>
            <w:rtl w:val="0"/>
          </w:rPr>
          <w:t xml:space="preserve"> </w:t>
        </w:r>
      </w:hyperlink>
      <w:hyperlink r:id="rId7">
        <w:r w:rsidDel="00000000" w:rsidR="00000000" w:rsidRPr="00000000">
          <w:rPr>
            <w:rFonts w:ascii="Roboto" w:cs="Roboto" w:eastAsia="Roboto" w:hAnsi="Roboto"/>
            <w:color w:val="e77500"/>
            <w:sz w:val="21"/>
            <w:szCs w:val="21"/>
            <w:rtl w:val="0"/>
          </w:rPr>
          <w:t xml:space="preserve">https://www.princeton.edu/acad-positions/position/36663</w:t>
        </w:r>
      </w:hyperlink>
      <w:r w:rsidDel="00000000" w:rsidR="00000000" w:rsidRPr="00000000">
        <w:rPr>
          <w:rFonts w:ascii="Roboto" w:cs="Roboto" w:eastAsia="Roboto" w:hAnsi="Roboto"/>
          <w:color w:val="333333"/>
          <w:sz w:val="21"/>
          <w:szCs w:val="21"/>
          <w:rtl w:val="0"/>
        </w:rPr>
        <w:t xml:space="preserve"> and submit a current CV, research statement, and cover letter, as well as contact information for three references.</w:t>
      </w:r>
    </w:p>
    <w:p w:rsidR="00000000" w:rsidDel="00000000" w:rsidP="00000000" w:rsidRDefault="00000000" w:rsidRPr="00000000" w14:paraId="00000023">
      <w:pPr>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24">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To learn about AI at Princeton, please visit</w:t>
      </w:r>
      <w:hyperlink r:id="rId8">
        <w:r w:rsidDel="00000000" w:rsidR="00000000" w:rsidRPr="00000000">
          <w:rPr>
            <w:rFonts w:ascii="Roboto" w:cs="Roboto" w:eastAsia="Roboto" w:hAnsi="Roboto"/>
            <w:color w:val="333333"/>
            <w:sz w:val="21"/>
            <w:szCs w:val="21"/>
            <w:rtl w:val="0"/>
          </w:rPr>
          <w:t xml:space="preserve"> </w:t>
        </w:r>
      </w:hyperlink>
      <w:hyperlink r:id="rId9">
        <w:r w:rsidDel="00000000" w:rsidR="00000000" w:rsidRPr="00000000">
          <w:rPr>
            <w:rFonts w:ascii="Roboto" w:cs="Roboto" w:eastAsia="Roboto" w:hAnsi="Roboto"/>
            <w:color w:val="e77500"/>
            <w:sz w:val="21"/>
            <w:szCs w:val="21"/>
            <w:rtl w:val="0"/>
          </w:rPr>
          <w:t xml:space="preserve">https://ai.princeton.edu</w:t>
        </w:r>
      </w:hyperlink>
      <w:r w:rsidDel="00000000" w:rsidR="00000000" w:rsidRPr="00000000">
        <w:rPr>
          <w:rFonts w:ascii="Roboto" w:cs="Roboto" w:eastAsia="Roboto" w:hAnsi="Roboto"/>
          <w:color w:val="333333"/>
          <w:sz w:val="21"/>
          <w:szCs w:val="21"/>
          <w:rtl w:val="0"/>
        </w:rPr>
        <w:t xml:space="preserve">. Princeton University is committed to fostering a diverse and inclusive academic community. We strongly encourage applications from members of groups that have been historically underrepresented in their chosen field. If you have any questions about this position or the application process, please contact us at </w:t>
      </w:r>
      <w:r w:rsidDel="00000000" w:rsidR="00000000" w:rsidRPr="00000000">
        <w:rPr>
          <w:rFonts w:ascii="Roboto" w:cs="Roboto" w:eastAsia="Roboto" w:hAnsi="Roboto"/>
          <w:color w:val="e77500"/>
          <w:sz w:val="21"/>
          <w:szCs w:val="21"/>
          <w:rtl w:val="0"/>
        </w:rPr>
        <w:t xml:space="preserve">ailab@princeton.edu</w:t>
      </w:r>
      <w:r w:rsidDel="00000000" w:rsidR="00000000" w:rsidRPr="00000000">
        <w:rPr>
          <w:rFonts w:ascii="Roboto" w:cs="Roboto" w:eastAsia="Roboto" w:hAnsi="Roboto"/>
          <w:color w:val="333333"/>
          <w:sz w:val="21"/>
          <w:szCs w:val="21"/>
          <w:rtl w:val="0"/>
        </w:rPr>
        <w:t xml:space="preserve">. All offers and appointments are subject to review and approval by the Dean of the Faculty. These positions are subject to the University's background check policy.</w:t>
      </w:r>
    </w:p>
    <w:p w:rsidR="00000000" w:rsidDel="00000000" w:rsidP="00000000" w:rsidRDefault="00000000" w:rsidRPr="00000000" w14:paraId="00000025">
      <w:pPr>
        <w:spacing w:after="160" w:line="342.8568"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Princeton University is an Equal Opportunity/Affirmative Action employer, and all qualified applicants will receive consideration for employment without regard to age, race, color, religion, sex, sexual orientation, gender identity or expression, national origin, disability status, protected veteran status, or any other characteristic protected by law.</w:t>
      </w:r>
    </w:p>
    <w:p w:rsidR="00000000" w:rsidDel="00000000" w:rsidP="00000000" w:rsidRDefault="00000000" w:rsidRPr="00000000" w14:paraId="00000026">
      <w:pPr>
        <w:spacing w:after="160" w:line="342.8568" w:lineRule="auto"/>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27">
      <w:pPr>
        <w:spacing w:after="160" w:line="342.8568" w:lineRule="auto"/>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28">
      <w:pPr>
        <w:spacing w:after="160" w:line="342.8568" w:lineRule="auto"/>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i.princeton.edu/" TargetMode="External"/><Relationship Id="rId5" Type="http://schemas.openxmlformats.org/officeDocument/2006/relationships/styles" Target="styles.xml"/><Relationship Id="rId6" Type="http://schemas.openxmlformats.org/officeDocument/2006/relationships/hyperlink" Target="https://www.princeton.edu/acad-positions/position/36663" TargetMode="External"/><Relationship Id="rId7" Type="http://schemas.openxmlformats.org/officeDocument/2006/relationships/hyperlink" Target="https://www.princeton.edu/acad-positions/position/36663" TargetMode="External"/><Relationship Id="rId8" Type="http://schemas.openxmlformats.org/officeDocument/2006/relationships/hyperlink" Target="https://ai.princeton.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