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557A13">
      <w:r>
        <w:t>Step 19: Average House price index based on Geography and Year in Bar Chart:</w:t>
      </w:r>
    </w:p>
    <w:p w:rsidR="00557A13" w:rsidRDefault="00557A13"/>
    <w:p w:rsidR="00557A13" w:rsidRDefault="00557A13">
      <w:bookmarkStart w:id="0" w:name="_GoBack"/>
      <w:r>
        <w:rPr>
          <w:noProof/>
        </w:rPr>
        <w:drawing>
          <wp:inline distT="0" distB="0" distL="0" distR="0" wp14:anchorId="45E5D879" wp14:editId="4A8C2DA4">
            <wp:extent cx="639127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13"/>
    <w:rsid w:val="00557A13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6556"/>
  <w15:chartTrackingRefBased/>
  <w15:docId w15:val="{916ABD42-06FD-44E1-8661-CAC502FD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2017-08-04T10:57:00Z</dcterms:created>
  <dcterms:modified xsi:type="dcterms:W3CDTF">2017-08-04T11:00:00Z</dcterms:modified>
</cp:coreProperties>
</file>