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3291" w14:textId="77777777" w:rsidR="00EE3EF2" w:rsidRPr="00EE3EF2" w:rsidRDefault="00EE3EF2" w:rsidP="00EE3EF2">
      <w:pPr>
        <w:jc w:val="center"/>
        <w:rPr>
          <w:rFonts w:ascii="Times New Roman" w:hAnsi="Times New Roman" w:cs="Times New Roman"/>
          <w:b/>
          <w:bCs/>
          <w:sz w:val="32"/>
          <w:szCs w:val="32"/>
          <w:u w:val="single"/>
        </w:rPr>
      </w:pPr>
      <w:r w:rsidRPr="00EE3EF2">
        <w:rPr>
          <w:rFonts w:ascii="Times New Roman" w:hAnsi="Times New Roman" w:cs="Times New Roman"/>
          <w:b/>
          <w:bCs/>
          <w:sz w:val="32"/>
          <w:szCs w:val="32"/>
          <w:u w:val="single"/>
        </w:rPr>
        <w:t>SIOP Reporting Dashboard — Case Study 2</w:t>
      </w:r>
    </w:p>
    <w:p w14:paraId="7335591D" w14:textId="2CAFD936" w:rsidR="00EE3EF2" w:rsidRDefault="00EE3EF2" w:rsidP="00EE3EF2">
      <w:pPr>
        <w:jc w:val="center"/>
        <w:rPr>
          <w:rFonts w:ascii="Times New Roman" w:hAnsi="Times New Roman" w:cs="Times New Roman"/>
          <w:sz w:val="24"/>
          <w:szCs w:val="24"/>
        </w:rPr>
      </w:pPr>
      <w:r w:rsidRPr="00EE3EF2">
        <w:rPr>
          <w:rFonts w:ascii="Times New Roman" w:hAnsi="Times New Roman" w:cs="Times New Roman"/>
          <w:sz w:val="24"/>
          <w:szCs w:val="24"/>
        </w:rPr>
        <w:t xml:space="preserve">Virat Dwivedi </w:t>
      </w:r>
    </w:p>
    <w:p w14:paraId="142FCF55" w14:textId="54C70C72" w:rsidR="00EE3EF2" w:rsidRDefault="00EE3EF2" w:rsidP="00EE3EF2">
      <w:pPr>
        <w:jc w:val="center"/>
        <w:rPr>
          <w:rFonts w:ascii="Times New Roman" w:hAnsi="Times New Roman" w:cs="Times New Roman"/>
          <w:sz w:val="24"/>
          <w:szCs w:val="24"/>
        </w:rPr>
      </w:pPr>
      <w:r w:rsidRPr="00EE3EF2">
        <w:rPr>
          <w:rFonts w:ascii="Times New Roman" w:hAnsi="Times New Roman" w:cs="Times New Roman"/>
          <w:b/>
          <w:bCs/>
          <w:sz w:val="24"/>
          <w:szCs w:val="24"/>
        </w:rPr>
        <w:t>Reg No.:</w:t>
      </w:r>
      <w:r w:rsidRPr="00EE3EF2">
        <w:rPr>
          <w:rFonts w:ascii="Times New Roman" w:hAnsi="Times New Roman" w:cs="Times New Roman"/>
          <w:sz w:val="24"/>
          <w:szCs w:val="24"/>
        </w:rPr>
        <w:t xml:space="preserve"> 22MIA1101</w:t>
      </w:r>
    </w:p>
    <w:p w14:paraId="3E9D25C2" w14:textId="63C8E2C0" w:rsidR="00EE3EF2" w:rsidRPr="00EE3EF2" w:rsidRDefault="00EE3EF2" w:rsidP="00EE3EF2">
      <w:pPr>
        <w:jc w:val="center"/>
        <w:rPr>
          <w:rFonts w:ascii="Times New Roman" w:hAnsi="Times New Roman" w:cs="Times New Roman"/>
          <w:sz w:val="24"/>
          <w:szCs w:val="24"/>
        </w:rPr>
      </w:pPr>
      <w:r>
        <w:rPr>
          <w:rFonts w:ascii="Times New Roman" w:hAnsi="Times New Roman" w:cs="Times New Roman"/>
          <w:sz w:val="24"/>
          <w:szCs w:val="24"/>
        </w:rPr>
        <w:t>Neo id: G5U8K5X8</w:t>
      </w:r>
    </w:p>
    <w:p w14:paraId="0931B4BE" w14:textId="2C77FAEF" w:rsidR="00EE3EF2" w:rsidRPr="00EE3EF2" w:rsidRDefault="00EE3EF2" w:rsidP="00EE3EF2"/>
    <w:p w14:paraId="52EF8DBA" w14:textId="0011B44C" w:rsidR="00EE3EF2" w:rsidRPr="00EE3EF2" w:rsidRDefault="00EE3EF2" w:rsidP="00EE3EF2">
      <w:pPr>
        <w:rPr>
          <w:b/>
          <w:bCs/>
          <w:sz w:val="28"/>
          <w:szCs w:val="28"/>
        </w:rPr>
      </w:pPr>
      <w:r w:rsidRPr="00EE3EF2">
        <w:rPr>
          <w:b/>
          <w:bCs/>
          <w:sz w:val="28"/>
          <w:szCs w:val="28"/>
        </w:rPr>
        <w:t xml:space="preserve">SECTION 1 </w:t>
      </w:r>
      <w:r>
        <w:rPr>
          <w:b/>
          <w:bCs/>
          <w:sz w:val="28"/>
          <w:szCs w:val="28"/>
        </w:rPr>
        <w:t xml:space="preserve">: </w:t>
      </w:r>
      <w:r w:rsidRPr="00EE3EF2">
        <w:rPr>
          <w:b/>
          <w:bCs/>
          <w:sz w:val="28"/>
          <w:szCs w:val="28"/>
        </w:rPr>
        <w:t>INTRODUCTION &amp; BUSINESS CONTEXT</w:t>
      </w:r>
    </w:p>
    <w:p w14:paraId="4B1CF4F5"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What is SIOP?</w:t>
      </w:r>
    </w:p>
    <w:p w14:paraId="30EE336C"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Sales, Inventory &amp; Operations Planning (SIOP) is a structured business process that aligns an organisation's supply chain, operations, and financial plans. At its core, SIOP relies on accurate demand forecasting to balance supply with demand across planning horizons. The process produces three categories of forecasts — Revenue (product sales volumes), Non-Revenue (service or internal items), and CAPEX (capital expenditure commitments) — and reviews them monthly in a cross-functional setting involving sales, supply chain, and finance.</w:t>
      </w:r>
    </w:p>
    <w:p w14:paraId="3D377699"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 xml:space="preserve">Forecasts in SIOP are not a single number — they are generated periodically and stored as monthly snapshots called </w:t>
      </w:r>
      <w:r w:rsidRPr="00EE3EF2">
        <w:rPr>
          <w:rFonts w:ascii="Times New Roman" w:hAnsi="Times New Roman" w:cs="Times New Roman"/>
          <w:b/>
          <w:bCs/>
          <w:sz w:val="24"/>
          <w:szCs w:val="24"/>
        </w:rPr>
        <w:t>"As Of Periods"</w:t>
      </w:r>
      <w:r w:rsidRPr="00EE3EF2">
        <w:rPr>
          <w:rFonts w:ascii="Times New Roman" w:hAnsi="Times New Roman" w:cs="Times New Roman"/>
          <w:sz w:val="24"/>
          <w:szCs w:val="24"/>
        </w:rPr>
        <w:t xml:space="preserve">. Each snapshot represents the organisation's belief about future demand at a specific point in time. By comparing successive snapshots, planners can answer the most important question in supply planning: </w:t>
      </w:r>
      <w:r w:rsidRPr="00EE3EF2">
        <w:rPr>
          <w:rFonts w:ascii="Times New Roman" w:hAnsi="Times New Roman" w:cs="Times New Roman"/>
          <w:i/>
          <w:iCs/>
          <w:sz w:val="24"/>
          <w:szCs w:val="24"/>
        </w:rPr>
        <w:t>"How much did our forecast change between reviews, and how close were we to what actually happened?"</w:t>
      </w:r>
    </w:p>
    <w:p w14:paraId="13CDA68C"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Snapshot Labelling Convention</w:t>
      </w:r>
    </w:p>
    <w:p w14:paraId="537B0FF7" w14:textId="77777777" w:rsid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This case study provided three snapshots from the Forecast table, each corresponding to a different As Of Period:</w:t>
      </w:r>
    </w:p>
    <w:p w14:paraId="20EA9317" w14:textId="77777777" w:rsidR="00EE3EF2" w:rsidRPr="00EE3EF2" w:rsidRDefault="00EE3EF2" w:rsidP="00EE3EF2">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294"/>
        <w:gridCol w:w="7115"/>
      </w:tblGrid>
      <w:tr w:rsidR="00EE3EF2" w:rsidRPr="00EE3EF2" w14:paraId="519F55BC" w14:textId="77777777">
        <w:trPr>
          <w:tblHeader/>
          <w:tblCellSpacing w:w="15" w:type="dxa"/>
        </w:trPr>
        <w:tc>
          <w:tcPr>
            <w:tcW w:w="0" w:type="auto"/>
            <w:vAlign w:val="center"/>
            <w:hideMark/>
          </w:tcPr>
          <w:p w14:paraId="33205F08" w14:textId="77777777" w:rsidR="00EE3EF2" w:rsidRPr="00EE3EF2" w:rsidRDefault="00EE3EF2" w:rsidP="00EE3EF2">
            <w:pPr>
              <w:rPr>
                <w:b/>
                <w:bCs/>
                <w:sz w:val="24"/>
                <w:szCs w:val="24"/>
              </w:rPr>
            </w:pPr>
            <w:r w:rsidRPr="00EE3EF2">
              <w:rPr>
                <w:b/>
                <w:bCs/>
                <w:sz w:val="24"/>
                <w:szCs w:val="24"/>
              </w:rPr>
              <w:t>Snapshot Label</w:t>
            </w:r>
          </w:p>
        </w:tc>
        <w:tc>
          <w:tcPr>
            <w:tcW w:w="0" w:type="auto"/>
            <w:vAlign w:val="center"/>
            <w:hideMark/>
          </w:tcPr>
          <w:p w14:paraId="7BEA89BF" w14:textId="77777777" w:rsidR="00EE3EF2" w:rsidRPr="00EE3EF2" w:rsidRDefault="00EE3EF2" w:rsidP="00EE3EF2">
            <w:pPr>
              <w:rPr>
                <w:b/>
                <w:bCs/>
                <w:sz w:val="24"/>
                <w:szCs w:val="24"/>
              </w:rPr>
            </w:pPr>
            <w:r w:rsidRPr="00EE3EF2">
              <w:rPr>
                <w:b/>
                <w:bCs/>
                <w:sz w:val="24"/>
                <w:szCs w:val="24"/>
              </w:rPr>
              <w:t>As Of Period</w:t>
            </w:r>
          </w:p>
        </w:tc>
        <w:tc>
          <w:tcPr>
            <w:tcW w:w="0" w:type="auto"/>
            <w:vAlign w:val="center"/>
            <w:hideMark/>
          </w:tcPr>
          <w:p w14:paraId="6FB36E67" w14:textId="77777777" w:rsidR="00EE3EF2" w:rsidRPr="00EE3EF2" w:rsidRDefault="00EE3EF2" w:rsidP="00EE3EF2">
            <w:pPr>
              <w:rPr>
                <w:b/>
                <w:bCs/>
                <w:sz w:val="24"/>
                <w:szCs w:val="24"/>
              </w:rPr>
            </w:pPr>
            <w:r w:rsidRPr="00EE3EF2">
              <w:rPr>
                <w:b/>
                <w:bCs/>
                <w:sz w:val="24"/>
                <w:szCs w:val="24"/>
              </w:rPr>
              <w:t>Meaning</w:t>
            </w:r>
          </w:p>
        </w:tc>
      </w:tr>
      <w:tr w:rsidR="00EE3EF2" w:rsidRPr="00EE3EF2" w14:paraId="56D3347B" w14:textId="77777777">
        <w:trPr>
          <w:tblCellSpacing w:w="15" w:type="dxa"/>
        </w:trPr>
        <w:tc>
          <w:tcPr>
            <w:tcW w:w="0" w:type="auto"/>
            <w:vAlign w:val="center"/>
            <w:hideMark/>
          </w:tcPr>
          <w:p w14:paraId="68A8F1EC" w14:textId="77777777" w:rsidR="00EE3EF2" w:rsidRPr="00EE3EF2" w:rsidRDefault="00EE3EF2" w:rsidP="00EE3EF2">
            <w:pPr>
              <w:rPr>
                <w:sz w:val="24"/>
                <w:szCs w:val="24"/>
              </w:rPr>
            </w:pPr>
            <w:r w:rsidRPr="00EE3EF2">
              <w:rPr>
                <w:b/>
                <w:bCs/>
                <w:sz w:val="24"/>
                <w:szCs w:val="24"/>
              </w:rPr>
              <w:t>Resultant</w:t>
            </w:r>
          </w:p>
        </w:tc>
        <w:tc>
          <w:tcPr>
            <w:tcW w:w="0" w:type="auto"/>
            <w:vAlign w:val="center"/>
            <w:hideMark/>
          </w:tcPr>
          <w:p w14:paraId="3455E8C4" w14:textId="77777777" w:rsidR="00EE3EF2" w:rsidRPr="00EE3EF2" w:rsidRDefault="00EE3EF2" w:rsidP="00EE3EF2">
            <w:pPr>
              <w:rPr>
                <w:sz w:val="24"/>
                <w:szCs w:val="24"/>
              </w:rPr>
            </w:pPr>
            <w:r w:rsidRPr="00EE3EF2">
              <w:rPr>
                <w:sz w:val="24"/>
                <w:szCs w:val="24"/>
              </w:rPr>
              <w:t>2023 P12</w:t>
            </w:r>
          </w:p>
        </w:tc>
        <w:tc>
          <w:tcPr>
            <w:tcW w:w="0" w:type="auto"/>
            <w:vAlign w:val="center"/>
            <w:hideMark/>
          </w:tcPr>
          <w:p w14:paraId="5ECF6E9C" w14:textId="77777777" w:rsidR="00EE3EF2" w:rsidRPr="00EE3EF2" w:rsidRDefault="00EE3EF2" w:rsidP="00EE3EF2">
            <w:pPr>
              <w:rPr>
                <w:sz w:val="24"/>
                <w:szCs w:val="24"/>
              </w:rPr>
            </w:pPr>
            <w:r w:rsidRPr="00EE3EF2">
              <w:rPr>
                <w:sz w:val="24"/>
                <w:szCs w:val="24"/>
              </w:rPr>
              <w:t>Most recent forecast — the final planning belief before the period closes</w:t>
            </w:r>
          </w:p>
        </w:tc>
      </w:tr>
      <w:tr w:rsidR="00EE3EF2" w:rsidRPr="00EE3EF2" w14:paraId="7475F4F2" w14:textId="77777777">
        <w:trPr>
          <w:tblCellSpacing w:w="15" w:type="dxa"/>
        </w:trPr>
        <w:tc>
          <w:tcPr>
            <w:tcW w:w="0" w:type="auto"/>
            <w:vAlign w:val="center"/>
            <w:hideMark/>
          </w:tcPr>
          <w:p w14:paraId="7F913C67" w14:textId="77777777" w:rsidR="00EE3EF2" w:rsidRPr="00EE3EF2" w:rsidRDefault="00EE3EF2" w:rsidP="00EE3EF2">
            <w:pPr>
              <w:rPr>
                <w:sz w:val="24"/>
                <w:szCs w:val="24"/>
              </w:rPr>
            </w:pPr>
            <w:r w:rsidRPr="00EE3EF2">
              <w:rPr>
                <w:b/>
                <w:bCs/>
                <w:sz w:val="24"/>
                <w:szCs w:val="24"/>
              </w:rPr>
              <w:t>Lag 0</w:t>
            </w:r>
          </w:p>
        </w:tc>
        <w:tc>
          <w:tcPr>
            <w:tcW w:w="0" w:type="auto"/>
            <w:vAlign w:val="center"/>
            <w:hideMark/>
          </w:tcPr>
          <w:p w14:paraId="01C746F0" w14:textId="77777777" w:rsidR="00EE3EF2" w:rsidRPr="00EE3EF2" w:rsidRDefault="00EE3EF2" w:rsidP="00EE3EF2">
            <w:pPr>
              <w:rPr>
                <w:sz w:val="24"/>
                <w:szCs w:val="24"/>
              </w:rPr>
            </w:pPr>
            <w:r w:rsidRPr="00EE3EF2">
              <w:rPr>
                <w:sz w:val="24"/>
                <w:szCs w:val="24"/>
              </w:rPr>
              <w:t>2023 P11</w:t>
            </w:r>
          </w:p>
        </w:tc>
        <w:tc>
          <w:tcPr>
            <w:tcW w:w="0" w:type="auto"/>
            <w:vAlign w:val="center"/>
            <w:hideMark/>
          </w:tcPr>
          <w:p w14:paraId="54F9210E" w14:textId="77777777" w:rsidR="00EE3EF2" w:rsidRPr="00EE3EF2" w:rsidRDefault="00EE3EF2" w:rsidP="00EE3EF2">
            <w:pPr>
              <w:rPr>
                <w:sz w:val="24"/>
                <w:szCs w:val="24"/>
              </w:rPr>
            </w:pPr>
            <w:r w:rsidRPr="00EE3EF2">
              <w:rPr>
                <w:sz w:val="24"/>
                <w:szCs w:val="24"/>
              </w:rPr>
              <w:t>One month prior — the previous review cycle's forecast</w:t>
            </w:r>
          </w:p>
        </w:tc>
      </w:tr>
      <w:tr w:rsidR="00EE3EF2" w:rsidRPr="00EE3EF2" w14:paraId="04E4F608" w14:textId="77777777">
        <w:trPr>
          <w:tblCellSpacing w:w="15" w:type="dxa"/>
        </w:trPr>
        <w:tc>
          <w:tcPr>
            <w:tcW w:w="0" w:type="auto"/>
            <w:vAlign w:val="center"/>
            <w:hideMark/>
          </w:tcPr>
          <w:p w14:paraId="6C42D71B" w14:textId="77777777" w:rsidR="00EE3EF2" w:rsidRPr="00EE3EF2" w:rsidRDefault="00EE3EF2" w:rsidP="00EE3EF2">
            <w:pPr>
              <w:rPr>
                <w:sz w:val="24"/>
                <w:szCs w:val="24"/>
              </w:rPr>
            </w:pPr>
            <w:r w:rsidRPr="00EE3EF2">
              <w:rPr>
                <w:b/>
                <w:bCs/>
                <w:sz w:val="24"/>
                <w:szCs w:val="24"/>
              </w:rPr>
              <w:t>Lag 1</w:t>
            </w:r>
          </w:p>
        </w:tc>
        <w:tc>
          <w:tcPr>
            <w:tcW w:w="0" w:type="auto"/>
            <w:vAlign w:val="center"/>
            <w:hideMark/>
          </w:tcPr>
          <w:p w14:paraId="5B4315ED" w14:textId="77777777" w:rsidR="00EE3EF2" w:rsidRPr="00EE3EF2" w:rsidRDefault="00EE3EF2" w:rsidP="00EE3EF2">
            <w:pPr>
              <w:rPr>
                <w:sz w:val="24"/>
                <w:szCs w:val="24"/>
              </w:rPr>
            </w:pPr>
            <w:r w:rsidRPr="00EE3EF2">
              <w:rPr>
                <w:sz w:val="24"/>
                <w:szCs w:val="24"/>
              </w:rPr>
              <w:t>2023 P10</w:t>
            </w:r>
          </w:p>
        </w:tc>
        <w:tc>
          <w:tcPr>
            <w:tcW w:w="0" w:type="auto"/>
            <w:vAlign w:val="center"/>
            <w:hideMark/>
          </w:tcPr>
          <w:p w14:paraId="37AD0D53" w14:textId="77777777" w:rsidR="00EE3EF2" w:rsidRPr="00EE3EF2" w:rsidRDefault="00EE3EF2" w:rsidP="00EE3EF2">
            <w:pPr>
              <w:rPr>
                <w:sz w:val="24"/>
                <w:szCs w:val="24"/>
              </w:rPr>
            </w:pPr>
            <w:r w:rsidRPr="00EE3EF2">
              <w:rPr>
                <w:sz w:val="24"/>
                <w:szCs w:val="24"/>
              </w:rPr>
              <w:t>Two months prior — the review cycle before that</w:t>
            </w:r>
          </w:p>
        </w:tc>
      </w:tr>
    </w:tbl>
    <w:p w14:paraId="5EBF5251" w14:textId="77777777" w:rsidR="00EE3EF2" w:rsidRPr="00EE3EF2" w:rsidRDefault="00EE3EF2" w:rsidP="00EE3EF2">
      <w:pPr>
        <w:rPr>
          <w:sz w:val="24"/>
          <w:szCs w:val="24"/>
        </w:rPr>
      </w:pPr>
      <w:r w:rsidRPr="00EE3EF2">
        <w:rPr>
          <w:sz w:val="24"/>
          <w:szCs w:val="24"/>
        </w:rPr>
        <w:t>Comparing Lag 1 → Lag 0 → Resultant reveals how much the team revised its demand view as the period approached, and comparing Resultant against Actuals reveals how far off the final forecast was.</w:t>
      </w:r>
    </w:p>
    <w:p w14:paraId="7DC4877B" w14:textId="711F5392" w:rsidR="00EE3EF2" w:rsidRPr="00EE3EF2" w:rsidRDefault="00EE3EF2" w:rsidP="00EE3EF2">
      <w:r>
        <w:br w:type="page"/>
      </w:r>
      <w:r w:rsidRPr="00EE3EF2">
        <w:rPr>
          <w:b/>
          <w:bCs/>
          <w:sz w:val="28"/>
          <w:szCs w:val="28"/>
        </w:rPr>
        <w:lastRenderedPageBreak/>
        <w:t xml:space="preserve">SECTION 2 </w:t>
      </w:r>
      <w:r>
        <w:rPr>
          <w:b/>
          <w:bCs/>
          <w:sz w:val="28"/>
          <w:szCs w:val="28"/>
        </w:rPr>
        <w:t>:</w:t>
      </w:r>
      <w:r w:rsidRPr="00EE3EF2">
        <w:rPr>
          <w:b/>
          <w:bCs/>
          <w:sz w:val="28"/>
          <w:szCs w:val="28"/>
        </w:rPr>
        <w:t xml:space="preserve"> TASK ASSIGNMENT &amp; OBJECTIVES</w:t>
      </w:r>
    </w:p>
    <w:p w14:paraId="778E674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The case study specified three distinct workstreams:</w:t>
      </w:r>
    </w:p>
    <w:p w14:paraId="2D1DEB4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Data Handling</w:t>
      </w:r>
    </w:p>
    <w:p w14:paraId="6FD8222A" w14:textId="77777777" w:rsidR="00EE3EF2" w:rsidRPr="00EE3EF2" w:rsidRDefault="00EE3EF2" w:rsidP="00EE3EF2">
      <w:pPr>
        <w:numPr>
          <w:ilvl w:val="0"/>
          <w:numId w:val="1"/>
        </w:numPr>
        <w:rPr>
          <w:rFonts w:ascii="Times New Roman" w:hAnsi="Times New Roman" w:cs="Times New Roman"/>
          <w:sz w:val="24"/>
          <w:szCs w:val="24"/>
        </w:rPr>
      </w:pPr>
      <w:r w:rsidRPr="00EE3EF2">
        <w:rPr>
          <w:rFonts w:ascii="Times New Roman" w:hAnsi="Times New Roman" w:cs="Times New Roman"/>
          <w:sz w:val="24"/>
          <w:szCs w:val="24"/>
        </w:rPr>
        <w:t>Transform multi-snapshot long-format forecast data into a single wide-format table with Resultant, Lag 0, and Lag 1 columns side by side</w:t>
      </w:r>
    </w:p>
    <w:p w14:paraId="51A38C82" w14:textId="77777777" w:rsidR="00EE3EF2" w:rsidRPr="00EE3EF2" w:rsidRDefault="00EE3EF2" w:rsidP="00EE3EF2">
      <w:pPr>
        <w:numPr>
          <w:ilvl w:val="0"/>
          <w:numId w:val="1"/>
        </w:numPr>
        <w:rPr>
          <w:rFonts w:ascii="Times New Roman" w:hAnsi="Times New Roman" w:cs="Times New Roman"/>
          <w:sz w:val="24"/>
          <w:szCs w:val="24"/>
        </w:rPr>
      </w:pPr>
      <w:r w:rsidRPr="00EE3EF2">
        <w:rPr>
          <w:rFonts w:ascii="Times New Roman" w:hAnsi="Times New Roman" w:cs="Times New Roman"/>
          <w:sz w:val="24"/>
          <w:szCs w:val="24"/>
        </w:rPr>
        <w:t>Merge the forecast table with actuals using the composite key: Period + Item + Country</w:t>
      </w:r>
    </w:p>
    <w:p w14:paraId="0A523CC2" w14:textId="77777777" w:rsidR="00EE3EF2" w:rsidRPr="00EE3EF2" w:rsidRDefault="00EE3EF2" w:rsidP="00EE3EF2">
      <w:pPr>
        <w:numPr>
          <w:ilvl w:val="0"/>
          <w:numId w:val="1"/>
        </w:numPr>
        <w:rPr>
          <w:rFonts w:ascii="Times New Roman" w:hAnsi="Times New Roman" w:cs="Times New Roman"/>
          <w:sz w:val="24"/>
          <w:szCs w:val="24"/>
        </w:rPr>
      </w:pPr>
      <w:r w:rsidRPr="00EE3EF2">
        <w:rPr>
          <w:rFonts w:ascii="Times New Roman" w:hAnsi="Times New Roman" w:cs="Times New Roman"/>
          <w:sz w:val="24"/>
          <w:szCs w:val="24"/>
        </w:rPr>
        <w:t>Enable side-by-side comparison of all three snapshots against actuals in a single row</w:t>
      </w:r>
    </w:p>
    <w:p w14:paraId="0FF196A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Dashboard Preparation (Power BI)</w:t>
      </w:r>
    </w:p>
    <w:p w14:paraId="422E272A" w14:textId="77777777" w:rsidR="00EE3EF2" w:rsidRPr="00EE3EF2" w:rsidRDefault="00EE3EF2" w:rsidP="00EE3EF2">
      <w:pPr>
        <w:numPr>
          <w:ilvl w:val="0"/>
          <w:numId w:val="2"/>
        </w:numPr>
        <w:rPr>
          <w:rFonts w:ascii="Times New Roman" w:hAnsi="Times New Roman" w:cs="Times New Roman"/>
          <w:sz w:val="24"/>
          <w:szCs w:val="24"/>
        </w:rPr>
      </w:pPr>
      <w:r w:rsidRPr="00EE3EF2">
        <w:rPr>
          <w:rFonts w:ascii="Times New Roman" w:hAnsi="Times New Roman" w:cs="Times New Roman"/>
          <w:sz w:val="24"/>
          <w:szCs w:val="24"/>
        </w:rPr>
        <w:t>Build executive-level charts for Revenue, Non-Revenue, and CAPEX Forecast by Country</w:t>
      </w:r>
    </w:p>
    <w:p w14:paraId="7FA1588F" w14:textId="77777777" w:rsidR="00EE3EF2" w:rsidRPr="00EE3EF2" w:rsidRDefault="00EE3EF2" w:rsidP="00EE3EF2">
      <w:pPr>
        <w:numPr>
          <w:ilvl w:val="0"/>
          <w:numId w:val="2"/>
        </w:numPr>
        <w:rPr>
          <w:rFonts w:ascii="Times New Roman" w:hAnsi="Times New Roman" w:cs="Times New Roman"/>
          <w:sz w:val="24"/>
          <w:szCs w:val="24"/>
        </w:rPr>
      </w:pPr>
      <w:r w:rsidRPr="00EE3EF2">
        <w:rPr>
          <w:rFonts w:ascii="Times New Roman" w:hAnsi="Times New Roman" w:cs="Times New Roman"/>
          <w:sz w:val="24"/>
          <w:szCs w:val="24"/>
        </w:rPr>
        <w:t>Implement a dynamic Lag Selection filter with three options: Resultant, Lag 0, Lag 1 — where selecting each option changes the measure displayed across all visuals</w:t>
      </w:r>
    </w:p>
    <w:p w14:paraId="6BCF7223" w14:textId="77777777" w:rsidR="00EE3EF2" w:rsidRPr="00EE3EF2" w:rsidRDefault="00EE3EF2" w:rsidP="00EE3EF2">
      <w:pPr>
        <w:numPr>
          <w:ilvl w:val="0"/>
          <w:numId w:val="2"/>
        </w:numPr>
        <w:rPr>
          <w:rFonts w:ascii="Times New Roman" w:hAnsi="Times New Roman" w:cs="Times New Roman"/>
          <w:sz w:val="24"/>
          <w:szCs w:val="24"/>
        </w:rPr>
      </w:pPr>
      <w:r w:rsidRPr="00EE3EF2">
        <w:rPr>
          <w:rFonts w:ascii="Times New Roman" w:hAnsi="Times New Roman" w:cs="Times New Roman"/>
          <w:sz w:val="24"/>
          <w:szCs w:val="24"/>
        </w:rPr>
        <w:t xml:space="preserve">Implement the two specified KPI formulas: </w:t>
      </w:r>
    </w:p>
    <w:p w14:paraId="105AA33A" w14:textId="77777777" w:rsidR="00EE3EF2" w:rsidRPr="00EE3EF2" w:rsidRDefault="00EE3EF2" w:rsidP="00EE3EF2">
      <w:pPr>
        <w:numPr>
          <w:ilvl w:val="1"/>
          <w:numId w:val="2"/>
        </w:numPr>
        <w:rPr>
          <w:rFonts w:ascii="Times New Roman" w:hAnsi="Times New Roman" w:cs="Times New Roman"/>
          <w:i/>
          <w:iCs/>
          <w:sz w:val="24"/>
          <w:szCs w:val="24"/>
        </w:rPr>
      </w:pPr>
      <w:r w:rsidRPr="00EE3EF2">
        <w:rPr>
          <w:rFonts w:ascii="Times New Roman" w:hAnsi="Times New Roman" w:cs="Times New Roman"/>
          <w:b/>
          <w:bCs/>
          <w:i/>
          <w:iCs/>
          <w:sz w:val="24"/>
          <w:szCs w:val="24"/>
        </w:rPr>
        <w:t>Forecast Accuracy %</w:t>
      </w:r>
      <w:r w:rsidRPr="00EE3EF2">
        <w:rPr>
          <w:rFonts w:ascii="Times New Roman" w:hAnsi="Times New Roman" w:cs="Times New Roman"/>
          <w:i/>
          <w:iCs/>
          <w:sz w:val="24"/>
          <w:szCs w:val="24"/>
        </w:rPr>
        <w:t xml:space="preserve"> = 1 − |Lags Qty − Actuals Qty| / Actuals Qty</w:t>
      </w:r>
    </w:p>
    <w:p w14:paraId="00349AF3" w14:textId="77777777" w:rsidR="00EE3EF2" w:rsidRPr="00EE3EF2" w:rsidRDefault="00EE3EF2" w:rsidP="00EE3EF2">
      <w:pPr>
        <w:numPr>
          <w:ilvl w:val="1"/>
          <w:numId w:val="2"/>
        </w:numPr>
        <w:rPr>
          <w:rFonts w:ascii="Times New Roman" w:hAnsi="Times New Roman" w:cs="Times New Roman"/>
          <w:i/>
          <w:iCs/>
          <w:sz w:val="24"/>
          <w:szCs w:val="24"/>
        </w:rPr>
      </w:pPr>
      <w:r w:rsidRPr="00EE3EF2">
        <w:rPr>
          <w:rFonts w:ascii="Times New Roman" w:hAnsi="Times New Roman" w:cs="Times New Roman"/>
          <w:b/>
          <w:bCs/>
          <w:i/>
          <w:iCs/>
          <w:sz w:val="24"/>
          <w:szCs w:val="24"/>
        </w:rPr>
        <w:t>Forecast Bias %</w:t>
      </w:r>
      <w:r w:rsidRPr="00EE3EF2">
        <w:rPr>
          <w:rFonts w:ascii="Times New Roman" w:hAnsi="Times New Roman" w:cs="Times New Roman"/>
          <w:i/>
          <w:iCs/>
          <w:sz w:val="24"/>
          <w:szCs w:val="24"/>
        </w:rPr>
        <w:t xml:space="preserve"> = (Lags Qty − Actuals Qty) / Actuals Qty</w:t>
      </w:r>
    </w:p>
    <w:p w14:paraId="7D291C9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EDA Notebook</w:t>
      </w:r>
    </w:p>
    <w:p w14:paraId="2D39BAAC" w14:textId="77777777" w:rsidR="00EE3EF2" w:rsidRPr="00EE3EF2" w:rsidRDefault="00EE3EF2" w:rsidP="00EE3EF2">
      <w:pPr>
        <w:numPr>
          <w:ilvl w:val="0"/>
          <w:numId w:val="3"/>
        </w:numPr>
        <w:rPr>
          <w:rFonts w:ascii="Times New Roman" w:hAnsi="Times New Roman" w:cs="Times New Roman"/>
          <w:sz w:val="24"/>
          <w:szCs w:val="24"/>
        </w:rPr>
      </w:pPr>
      <w:r w:rsidRPr="00EE3EF2">
        <w:rPr>
          <w:rFonts w:ascii="Times New Roman" w:hAnsi="Times New Roman" w:cs="Times New Roman"/>
          <w:sz w:val="24"/>
          <w:szCs w:val="24"/>
        </w:rPr>
        <w:t>Conduct complete exploratory analysis across both the Forecast and Actual datasets</w:t>
      </w:r>
    </w:p>
    <w:p w14:paraId="1ABB322D" w14:textId="77777777" w:rsidR="00EE3EF2" w:rsidRPr="00EE3EF2" w:rsidRDefault="00EE3EF2" w:rsidP="00EE3EF2">
      <w:pPr>
        <w:numPr>
          <w:ilvl w:val="0"/>
          <w:numId w:val="3"/>
        </w:numPr>
        <w:rPr>
          <w:rFonts w:ascii="Times New Roman" w:hAnsi="Times New Roman" w:cs="Times New Roman"/>
          <w:sz w:val="24"/>
          <w:szCs w:val="24"/>
        </w:rPr>
      </w:pPr>
      <w:r w:rsidRPr="00EE3EF2">
        <w:rPr>
          <w:rFonts w:ascii="Times New Roman" w:hAnsi="Times New Roman" w:cs="Times New Roman"/>
          <w:sz w:val="24"/>
          <w:szCs w:val="24"/>
        </w:rPr>
        <w:t>Visualise distributions, temporal trends, country-level patterns, and KPI computation</w:t>
      </w:r>
    </w:p>
    <w:p w14:paraId="1A80AC16" w14:textId="77777777" w:rsidR="00EE3EF2" w:rsidRPr="00EE3EF2" w:rsidRDefault="00EE3EF2" w:rsidP="00EE3EF2">
      <w:pPr>
        <w:numPr>
          <w:ilvl w:val="0"/>
          <w:numId w:val="3"/>
        </w:numPr>
        <w:rPr>
          <w:rFonts w:ascii="Times New Roman" w:hAnsi="Times New Roman" w:cs="Times New Roman"/>
          <w:sz w:val="24"/>
          <w:szCs w:val="24"/>
        </w:rPr>
      </w:pPr>
      <w:r w:rsidRPr="00EE3EF2">
        <w:rPr>
          <w:rFonts w:ascii="Times New Roman" w:hAnsi="Times New Roman" w:cs="Times New Roman"/>
          <w:sz w:val="24"/>
          <w:szCs w:val="24"/>
        </w:rPr>
        <w:t>Derive actionable business interpretations from every analysis</w:t>
      </w:r>
    </w:p>
    <w:p w14:paraId="72F66ED0" w14:textId="4A9C8175" w:rsidR="00EE3EF2" w:rsidRPr="00EE3EF2" w:rsidRDefault="00EE3EF2" w:rsidP="00EE3EF2">
      <w:r>
        <w:br w:type="page"/>
      </w:r>
      <w:r w:rsidRPr="00EE3EF2">
        <w:rPr>
          <w:b/>
          <w:bCs/>
          <w:sz w:val="28"/>
          <w:szCs w:val="28"/>
        </w:rPr>
        <w:lastRenderedPageBreak/>
        <w:t xml:space="preserve">SECTION 3 </w:t>
      </w:r>
      <w:r>
        <w:rPr>
          <w:b/>
          <w:bCs/>
          <w:sz w:val="28"/>
          <w:szCs w:val="28"/>
        </w:rPr>
        <w:t>:</w:t>
      </w:r>
      <w:r w:rsidRPr="00EE3EF2">
        <w:rPr>
          <w:b/>
          <w:bCs/>
          <w:sz w:val="28"/>
          <w:szCs w:val="28"/>
        </w:rPr>
        <w:t xml:space="preserve"> DATASET OVERVIEW &amp; SCHEMA</w:t>
      </w:r>
    </w:p>
    <w:p w14:paraId="73061AB8"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Source Data</w:t>
      </w:r>
    </w:p>
    <w:p w14:paraId="4C3BFA1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The source file was a .xlsb binary Excel workbook containing two sheets: </w:t>
      </w:r>
      <w:r w:rsidRPr="00EE3EF2">
        <w:rPr>
          <w:rFonts w:ascii="Times New Roman" w:hAnsi="Times New Roman" w:cs="Times New Roman"/>
          <w:b/>
          <w:bCs/>
          <w:sz w:val="24"/>
          <w:szCs w:val="24"/>
        </w:rPr>
        <w:t>Forecast</w:t>
      </w:r>
      <w:r w:rsidRPr="00EE3EF2">
        <w:rPr>
          <w:rFonts w:ascii="Times New Roman" w:hAnsi="Times New Roman" w:cs="Times New Roman"/>
          <w:sz w:val="24"/>
          <w:szCs w:val="24"/>
        </w:rPr>
        <w:t xml:space="preserve"> and </w:t>
      </w:r>
      <w:r w:rsidRPr="00EE3EF2">
        <w:rPr>
          <w:rFonts w:ascii="Times New Roman" w:hAnsi="Times New Roman" w:cs="Times New Roman"/>
          <w:b/>
          <w:bCs/>
          <w:sz w:val="24"/>
          <w:szCs w:val="24"/>
        </w:rPr>
        <w:t>Actual</w:t>
      </w:r>
      <w:r w:rsidRPr="00EE3EF2">
        <w:rPr>
          <w:rFonts w:ascii="Times New Roman" w:hAnsi="Times New Roman" w:cs="Times New Roman"/>
          <w:sz w:val="24"/>
          <w:szCs w:val="24"/>
        </w:rPr>
        <w:t>. This format required the pyxlsb engine for loading in Python — a non-standard dependency that was installed as a first step in the notebook.</w:t>
      </w:r>
    </w:p>
    <w:p w14:paraId="33F6C1F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Upon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970"/>
        <w:gridCol w:w="981"/>
        <w:gridCol w:w="2502"/>
        <w:gridCol w:w="4395"/>
      </w:tblGrid>
      <w:tr w:rsidR="00EE3EF2" w:rsidRPr="00EE3EF2" w14:paraId="1B1C408E" w14:textId="77777777">
        <w:trPr>
          <w:tblHeader/>
          <w:tblCellSpacing w:w="15" w:type="dxa"/>
        </w:trPr>
        <w:tc>
          <w:tcPr>
            <w:tcW w:w="0" w:type="auto"/>
            <w:vAlign w:val="center"/>
            <w:hideMark/>
          </w:tcPr>
          <w:p w14:paraId="1C7CDB22"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Dataset</w:t>
            </w:r>
          </w:p>
        </w:tc>
        <w:tc>
          <w:tcPr>
            <w:tcW w:w="0" w:type="auto"/>
            <w:vAlign w:val="center"/>
            <w:hideMark/>
          </w:tcPr>
          <w:p w14:paraId="7CEF611E"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Rows</w:t>
            </w:r>
          </w:p>
        </w:tc>
        <w:tc>
          <w:tcPr>
            <w:tcW w:w="0" w:type="auto"/>
            <w:vAlign w:val="center"/>
            <w:hideMark/>
          </w:tcPr>
          <w:p w14:paraId="066DBDD4"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Columns</w:t>
            </w:r>
          </w:p>
        </w:tc>
        <w:tc>
          <w:tcPr>
            <w:tcW w:w="0" w:type="auto"/>
            <w:vAlign w:val="center"/>
            <w:hideMark/>
          </w:tcPr>
          <w:p w14:paraId="3B18204B"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Primary Key Fields</w:t>
            </w:r>
          </w:p>
        </w:tc>
        <w:tc>
          <w:tcPr>
            <w:tcW w:w="0" w:type="auto"/>
            <w:vAlign w:val="center"/>
            <w:hideMark/>
          </w:tcPr>
          <w:p w14:paraId="279BB284"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Measure Fields</w:t>
            </w:r>
          </w:p>
        </w:tc>
      </w:tr>
      <w:tr w:rsidR="00EE3EF2" w:rsidRPr="00EE3EF2" w14:paraId="5579C7E6" w14:textId="77777777">
        <w:trPr>
          <w:tblCellSpacing w:w="15" w:type="dxa"/>
        </w:trPr>
        <w:tc>
          <w:tcPr>
            <w:tcW w:w="0" w:type="auto"/>
            <w:vAlign w:val="center"/>
            <w:hideMark/>
          </w:tcPr>
          <w:p w14:paraId="25E54FD2"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Forecast</w:t>
            </w:r>
          </w:p>
        </w:tc>
        <w:tc>
          <w:tcPr>
            <w:tcW w:w="0" w:type="auto"/>
            <w:vAlign w:val="center"/>
            <w:hideMark/>
          </w:tcPr>
          <w:p w14:paraId="6933E2A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246,477</w:t>
            </w:r>
          </w:p>
        </w:tc>
        <w:tc>
          <w:tcPr>
            <w:tcW w:w="0" w:type="auto"/>
            <w:vAlign w:val="center"/>
            <w:hideMark/>
          </w:tcPr>
          <w:p w14:paraId="068B502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15</w:t>
            </w:r>
          </w:p>
        </w:tc>
        <w:tc>
          <w:tcPr>
            <w:tcW w:w="0" w:type="auto"/>
            <w:vAlign w:val="center"/>
            <w:hideMark/>
          </w:tcPr>
          <w:p w14:paraId="298EAB1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Item, Country, AsOfPeriod, Period</w:t>
            </w:r>
          </w:p>
        </w:tc>
        <w:tc>
          <w:tcPr>
            <w:tcW w:w="0" w:type="auto"/>
            <w:vAlign w:val="center"/>
            <w:hideMark/>
          </w:tcPr>
          <w:p w14:paraId="6145FFF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Revenue Forecast, Non Revenue Forecast, CAPEX Forecast</w:t>
            </w:r>
          </w:p>
        </w:tc>
      </w:tr>
      <w:tr w:rsidR="00EE3EF2" w:rsidRPr="00EE3EF2" w14:paraId="199E13EA" w14:textId="77777777">
        <w:trPr>
          <w:tblCellSpacing w:w="15" w:type="dxa"/>
        </w:trPr>
        <w:tc>
          <w:tcPr>
            <w:tcW w:w="0" w:type="auto"/>
            <w:vAlign w:val="center"/>
            <w:hideMark/>
          </w:tcPr>
          <w:p w14:paraId="3BF6B79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Actual</w:t>
            </w:r>
          </w:p>
        </w:tc>
        <w:tc>
          <w:tcPr>
            <w:tcW w:w="0" w:type="auto"/>
            <w:vAlign w:val="center"/>
            <w:hideMark/>
          </w:tcPr>
          <w:p w14:paraId="02EE116C"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~500,000</w:t>
            </w:r>
          </w:p>
        </w:tc>
        <w:tc>
          <w:tcPr>
            <w:tcW w:w="0" w:type="auto"/>
            <w:vAlign w:val="center"/>
            <w:hideMark/>
          </w:tcPr>
          <w:p w14:paraId="021F0F7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6</w:t>
            </w:r>
          </w:p>
        </w:tc>
        <w:tc>
          <w:tcPr>
            <w:tcW w:w="0" w:type="auto"/>
            <w:vAlign w:val="center"/>
            <w:hideMark/>
          </w:tcPr>
          <w:p w14:paraId="7CA1EB2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Item, Country, Period</w:t>
            </w:r>
          </w:p>
        </w:tc>
        <w:tc>
          <w:tcPr>
            <w:tcW w:w="0" w:type="auto"/>
            <w:vAlign w:val="center"/>
            <w:hideMark/>
          </w:tcPr>
          <w:p w14:paraId="6AC81A1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Actuals Revenue Qty, Actuals NonRevenue Qty, Actuals Capex Qty</w:t>
            </w:r>
          </w:p>
        </w:tc>
      </w:tr>
      <w:tr w:rsidR="00EE3EF2" w:rsidRPr="00EE3EF2" w14:paraId="4BDE2EBC" w14:textId="77777777">
        <w:trPr>
          <w:tblCellSpacing w:w="15" w:type="dxa"/>
        </w:trPr>
        <w:tc>
          <w:tcPr>
            <w:tcW w:w="0" w:type="auto"/>
            <w:vAlign w:val="center"/>
            <w:hideMark/>
          </w:tcPr>
          <w:p w14:paraId="606EC1F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Combined</w:t>
            </w:r>
          </w:p>
        </w:tc>
        <w:tc>
          <w:tcPr>
            <w:tcW w:w="0" w:type="auto"/>
            <w:vAlign w:val="center"/>
            <w:hideMark/>
          </w:tcPr>
          <w:p w14:paraId="1413DEE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746,477</w:t>
            </w:r>
          </w:p>
        </w:tc>
        <w:tc>
          <w:tcPr>
            <w:tcW w:w="0" w:type="auto"/>
            <w:vAlign w:val="center"/>
            <w:hideMark/>
          </w:tcPr>
          <w:p w14:paraId="595BD46E"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w:t>
            </w:r>
          </w:p>
        </w:tc>
        <w:tc>
          <w:tcPr>
            <w:tcW w:w="0" w:type="auto"/>
            <w:vAlign w:val="center"/>
            <w:hideMark/>
          </w:tcPr>
          <w:p w14:paraId="32F171D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w:t>
            </w:r>
          </w:p>
        </w:tc>
        <w:tc>
          <w:tcPr>
            <w:tcW w:w="0" w:type="auto"/>
            <w:vAlign w:val="center"/>
            <w:hideMark/>
          </w:tcPr>
          <w:p w14:paraId="73A995A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w:t>
            </w:r>
          </w:p>
        </w:tc>
      </w:tr>
    </w:tbl>
    <w:p w14:paraId="25B3B5D8" w14:textId="77777777" w:rsid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Note: The source Forecast table had a typo in one column name — CAPEX Foreacast — which was corrected to CAPEX Forecast as the first cleaning step.</w:t>
      </w:r>
    </w:p>
    <w:p w14:paraId="2B472F1B" w14:textId="77777777" w:rsidR="00EE3EF2" w:rsidRPr="00EE3EF2" w:rsidRDefault="00EE3EF2" w:rsidP="00EE3EF2">
      <w:pPr>
        <w:rPr>
          <w:rFonts w:ascii="Times New Roman" w:hAnsi="Times New Roman" w:cs="Times New Roman"/>
          <w:sz w:val="24"/>
          <w:szCs w:val="24"/>
        </w:rPr>
      </w:pPr>
    </w:p>
    <w:p w14:paraId="7A53E73F"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Forecast Table Column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740"/>
        <w:gridCol w:w="2060"/>
        <w:gridCol w:w="1201"/>
        <w:gridCol w:w="1116"/>
      </w:tblGrid>
      <w:tr w:rsidR="00EE3EF2" w:rsidRPr="00EE3EF2" w14:paraId="7E05D34E" w14:textId="77777777">
        <w:trPr>
          <w:tblHeader/>
          <w:tblCellSpacing w:w="15" w:type="dxa"/>
        </w:trPr>
        <w:tc>
          <w:tcPr>
            <w:tcW w:w="0" w:type="auto"/>
            <w:vAlign w:val="center"/>
            <w:hideMark/>
          </w:tcPr>
          <w:p w14:paraId="7FDB5C89"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Column</w:t>
            </w:r>
          </w:p>
        </w:tc>
        <w:tc>
          <w:tcPr>
            <w:tcW w:w="0" w:type="auto"/>
            <w:vAlign w:val="center"/>
            <w:hideMark/>
          </w:tcPr>
          <w:p w14:paraId="1D79EF54"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Type</w:t>
            </w:r>
          </w:p>
        </w:tc>
        <w:tc>
          <w:tcPr>
            <w:tcW w:w="0" w:type="auto"/>
            <w:vAlign w:val="center"/>
            <w:hideMark/>
          </w:tcPr>
          <w:p w14:paraId="69DF3138"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Role</w:t>
            </w:r>
          </w:p>
        </w:tc>
        <w:tc>
          <w:tcPr>
            <w:tcW w:w="0" w:type="auto"/>
            <w:vAlign w:val="center"/>
            <w:hideMark/>
          </w:tcPr>
          <w:p w14:paraId="32702B07"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Null Count</w:t>
            </w:r>
          </w:p>
        </w:tc>
        <w:tc>
          <w:tcPr>
            <w:tcW w:w="0" w:type="auto"/>
            <w:vAlign w:val="center"/>
            <w:hideMark/>
          </w:tcPr>
          <w:p w14:paraId="142F84C9"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Coverage</w:t>
            </w:r>
          </w:p>
        </w:tc>
      </w:tr>
      <w:tr w:rsidR="00EE3EF2" w:rsidRPr="00EE3EF2" w14:paraId="3D22CC6E" w14:textId="77777777">
        <w:trPr>
          <w:tblCellSpacing w:w="15" w:type="dxa"/>
        </w:trPr>
        <w:tc>
          <w:tcPr>
            <w:tcW w:w="0" w:type="auto"/>
            <w:vAlign w:val="center"/>
            <w:hideMark/>
          </w:tcPr>
          <w:p w14:paraId="408851B2"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Item</w:t>
            </w:r>
          </w:p>
        </w:tc>
        <w:tc>
          <w:tcPr>
            <w:tcW w:w="0" w:type="auto"/>
            <w:vAlign w:val="center"/>
            <w:hideMark/>
          </w:tcPr>
          <w:p w14:paraId="48B2E4F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1206C6A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Identifier (SKU key)</w:t>
            </w:r>
          </w:p>
        </w:tc>
        <w:tc>
          <w:tcPr>
            <w:tcW w:w="0" w:type="auto"/>
            <w:vAlign w:val="center"/>
            <w:hideMark/>
          </w:tcPr>
          <w:p w14:paraId="28FEBB5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4F66FDC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r w:rsidR="00EE3EF2" w:rsidRPr="00EE3EF2" w14:paraId="25277AD6" w14:textId="77777777">
        <w:trPr>
          <w:tblCellSpacing w:w="15" w:type="dxa"/>
        </w:trPr>
        <w:tc>
          <w:tcPr>
            <w:tcW w:w="0" w:type="auto"/>
            <w:vAlign w:val="center"/>
            <w:hideMark/>
          </w:tcPr>
          <w:p w14:paraId="7B096B94"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Country</w:t>
            </w:r>
          </w:p>
        </w:tc>
        <w:tc>
          <w:tcPr>
            <w:tcW w:w="0" w:type="auto"/>
            <w:vAlign w:val="center"/>
            <w:hideMark/>
          </w:tcPr>
          <w:p w14:paraId="337101E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1161EAFC"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Dimension</w:t>
            </w:r>
          </w:p>
        </w:tc>
        <w:tc>
          <w:tcPr>
            <w:tcW w:w="0" w:type="auto"/>
            <w:vAlign w:val="center"/>
            <w:hideMark/>
          </w:tcPr>
          <w:p w14:paraId="74807BA4"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00144854"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r w:rsidR="00EE3EF2" w:rsidRPr="00EE3EF2" w14:paraId="5DBDF386" w14:textId="77777777">
        <w:trPr>
          <w:tblCellSpacing w:w="15" w:type="dxa"/>
        </w:trPr>
        <w:tc>
          <w:tcPr>
            <w:tcW w:w="0" w:type="auto"/>
            <w:vAlign w:val="center"/>
            <w:hideMark/>
          </w:tcPr>
          <w:p w14:paraId="76A01FA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AsOfPeriod</w:t>
            </w:r>
          </w:p>
        </w:tc>
        <w:tc>
          <w:tcPr>
            <w:tcW w:w="0" w:type="auto"/>
            <w:vAlign w:val="center"/>
            <w:hideMark/>
          </w:tcPr>
          <w:p w14:paraId="77EC700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4493060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Snapshot date</w:t>
            </w:r>
          </w:p>
        </w:tc>
        <w:tc>
          <w:tcPr>
            <w:tcW w:w="0" w:type="auto"/>
            <w:vAlign w:val="center"/>
            <w:hideMark/>
          </w:tcPr>
          <w:p w14:paraId="575AFEA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58E82AC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r w:rsidR="00EE3EF2" w:rsidRPr="00EE3EF2" w14:paraId="15CD6D10" w14:textId="77777777">
        <w:trPr>
          <w:tblCellSpacing w:w="15" w:type="dxa"/>
        </w:trPr>
        <w:tc>
          <w:tcPr>
            <w:tcW w:w="0" w:type="auto"/>
            <w:vAlign w:val="center"/>
            <w:hideMark/>
          </w:tcPr>
          <w:p w14:paraId="5B3456B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Period</w:t>
            </w:r>
          </w:p>
        </w:tc>
        <w:tc>
          <w:tcPr>
            <w:tcW w:w="0" w:type="auto"/>
            <w:vAlign w:val="center"/>
            <w:hideMark/>
          </w:tcPr>
          <w:p w14:paraId="01EF67B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586A00D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Planning period</w:t>
            </w:r>
          </w:p>
        </w:tc>
        <w:tc>
          <w:tcPr>
            <w:tcW w:w="0" w:type="auto"/>
            <w:vAlign w:val="center"/>
            <w:hideMark/>
          </w:tcPr>
          <w:p w14:paraId="75AFF90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7AF14AB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r w:rsidR="00EE3EF2" w:rsidRPr="00EE3EF2" w14:paraId="79D2F893" w14:textId="77777777">
        <w:trPr>
          <w:tblCellSpacing w:w="15" w:type="dxa"/>
        </w:trPr>
        <w:tc>
          <w:tcPr>
            <w:tcW w:w="0" w:type="auto"/>
            <w:vAlign w:val="center"/>
            <w:hideMark/>
          </w:tcPr>
          <w:p w14:paraId="04DDB30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PeriodOffset</w:t>
            </w:r>
          </w:p>
        </w:tc>
        <w:tc>
          <w:tcPr>
            <w:tcW w:w="0" w:type="auto"/>
            <w:vAlign w:val="center"/>
            <w:hideMark/>
          </w:tcPr>
          <w:p w14:paraId="482A514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Integer</w:t>
            </w:r>
          </w:p>
        </w:tc>
        <w:tc>
          <w:tcPr>
            <w:tcW w:w="0" w:type="auto"/>
            <w:vAlign w:val="center"/>
            <w:hideMark/>
          </w:tcPr>
          <w:p w14:paraId="1A7C4DE2"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Months ahead</w:t>
            </w:r>
          </w:p>
        </w:tc>
        <w:tc>
          <w:tcPr>
            <w:tcW w:w="0" w:type="auto"/>
            <w:vAlign w:val="center"/>
            <w:hideMark/>
          </w:tcPr>
          <w:p w14:paraId="2DC4A91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6C970CC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r w:rsidR="00EE3EF2" w:rsidRPr="00EE3EF2" w14:paraId="675BDA75" w14:textId="77777777">
        <w:trPr>
          <w:tblCellSpacing w:w="15" w:type="dxa"/>
        </w:trPr>
        <w:tc>
          <w:tcPr>
            <w:tcW w:w="0" w:type="auto"/>
            <w:vAlign w:val="center"/>
            <w:hideMark/>
          </w:tcPr>
          <w:p w14:paraId="2D97130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Segmentation_Country</w:t>
            </w:r>
          </w:p>
        </w:tc>
        <w:tc>
          <w:tcPr>
            <w:tcW w:w="0" w:type="auto"/>
            <w:vAlign w:val="center"/>
            <w:hideMark/>
          </w:tcPr>
          <w:p w14:paraId="17C164C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71442EC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Hierarchy Level 1</w:t>
            </w:r>
          </w:p>
        </w:tc>
        <w:tc>
          <w:tcPr>
            <w:tcW w:w="0" w:type="auto"/>
            <w:vAlign w:val="center"/>
            <w:hideMark/>
          </w:tcPr>
          <w:p w14:paraId="5FC4B974"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5,694</w:t>
            </w:r>
          </w:p>
        </w:tc>
        <w:tc>
          <w:tcPr>
            <w:tcW w:w="0" w:type="auto"/>
            <w:vAlign w:val="center"/>
            <w:hideMark/>
          </w:tcPr>
          <w:p w14:paraId="190B738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97.7%</w:t>
            </w:r>
          </w:p>
        </w:tc>
      </w:tr>
      <w:tr w:rsidR="00EE3EF2" w:rsidRPr="00EE3EF2" w14:paraId="1852DE62" w14:textId="77777777">
        <w:trPr>
          <w:tblCellSpacing w:w="15" w:type="dxa"/>
        </w:trPr>
        <w:tc>
          <w:tcPr>
            <w:tcW w:w="0" w:type="auto"/>
            <w:vAlign w:val="center"/>
            <w:hideMark/>
          </w:tcPr>
          <w:p w14:paraId="49D8A13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Segmentation_CountryGroup</w:t>
            </w:r>
          </w:p>
        </w:tc>
        <w:tc>
          <w:tcPr>
            <w:tcW w:w="0" w:type="auto"/>
            <w:vAlign w:val="center"/>
            <w:hideMark/>
          </w:tcPr>
          <w:p w14:paraId="16AE2F6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335D232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Hierarchy Level 2</w:t>
            </w:r>
          </w:p>
        </w:tc>
        <w:tc>
          <w:tcPr>
            <w:tcW w:w="0" w:type="auto"/>
            <w:vAlign w:val="center"/>
            <w:hideMark/>
          </w:tcPr>
          <w:p w14:paraId="171AC43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4,574</w:t>
            </w:r>
          </w:p>
        </w:tc>
        <w:tc>
          <w:tcPr>
            <w:tcW w:w="0" w:type="auto"/>
            <w:vAlign w:val="center"/>
            <w:hideMark/>
          </w:tcPr>
          <w:p w14:paraId="78E5860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98.1%</w:t>
            </w:r>
          </w:p>
        </w:tc>
      </w:tr>
      <w:tr w:rsidR="00EE3EF2" w:rsidRPr="00EE3EF2" w14:paraId="4EA5DE58" w14:textId="77777777">
        <w:trPr>
          <w:tblCellSpacing w:w="15" w:type="dxa"/>
        </w:trPr>
        <w:tc>
          <w:tcPr>
            <w:tcW w:w="0" w:type="auto"/>
            <w:vAlign w:val="center"/>
            <w:hideMark/>
          </w:tcPr>
          <w:p w14:paraId="3E2A1F8E"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Segmentation_Cluster</w:t>
            </w:r>
          </w:p>
        </w:tc>
        <w:tc>
          <w:tcPr>
            <w:tcW w:w="0" w:type="auto"/>
            <w:vAlign w:val="center"/>
            <w:hideMark/>
          </w:tcPr>
          <w:p w14:paraId="71096F2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11F988C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Hierarchy Level 3</w:t>
            </w:r>
          </w:p>
        </w:tc>
        <w:tc>
          <w:tcPr>
            <w:tcW w:w="0" w:type="auto"/>
            <w:vAlign w:val="center"/>
            <w:hideMark/>
          </w:tcPr>
          <w:p w14:paraId="2D0105E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340</w:t>
            </w:r>
          </w:p>
        </w:tc>
        <w:tc>
          <w:tcPr>
            <w:tcW w:w="0" w:type="auto"/>
            <w:vAlign w:val="center"/>
            <w:hideMark/>
          </w:tcPr>
          <w:p w14:paraId="1B4C069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99.9%</w:t>
            </w:r>
          </w:p>
        </w:tc>
      </w:tr>
      <w:tr w:rsidR="00EE3EF2" w:rsidRPr="00EE3EF2" w14:paraId="2D949039" w14:textId="77777777">
        <w:trPr>
          <w:tblCellSpacing w:w="15" w:type="dxa"/>
        </w:trPr>
        <w:tc>
          <w:tcPr>
            <w:tcW w:w="0" w:type="auto"/>
            <w:vAlign w:val="center"/>
            <w:hideMark/>
          </w:tcPr>
          <w:p w14:paraId="4C4FA9B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Segmentation_Region</w:t>
            </w:r>
          </w:p>
        </w:tc>
        <w:tc>
          <w:tcPr>
            <w:tcW w:w="0" w:type="auto"/>
            <w:vAlign w:val="center"/>
            <w:hideMark/>
          </w:tcPr>
          <w:p w14:paraId="272F945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675AE84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Hierarchy Level 4</w:t>
            </w:r>
          </w:p>
        </w:tc>
        <w:tc>
          <w:tcPr>
            <w:tcW w:w="0" w:type="auto"/>
            <w:vAlign w:val="center"/>
            <w:hideMark/>
          </w:tcPr>
          <w:p w14:paraId="258D023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1,092</w:t>
            </w:r>
          </w:p>
        </w:tc>
        <w:tc>
          <w:tcPr>
            <w:tcW w:w="0" w:type="auto"/>
            <w:vAlign w:val="center"/>
            <w:hideMark/>
          </w:tcPr>
          <w:p w14:paraId="2D9AFAC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99.6%</w:t>
            </w:r>
          </w:p>
        </w:tc>
      </w:tr>
      <w:tr w:rsidR="00EE3EF2" w:rsidRPr="00EE3EF2" w14:paraId="4F5426DE" w14:textId="77777777">
        <w:trPr>
          <w:tblCellSpacing w:w="15" w:type="dxa"/>
        </w:trPr>
        <w:tc>
          <w:tcPr>
            <w:tcW w:w="0" w:type="auto"/>
            <w:vAlign w:val="center"/>
            <w:hideMark/>
          </w:tcPr>
          <w:p w14:paraId="376D96F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Segmentation_Global</w:t>
            </w:r>
          </w:p>
        </w:tc>
        <w:tc>
          <w:tcPr>
            <w:tcW w:w="0" w:type="auto"/>
            <w:vAlign w:val="center"/>
            <w:hideMark/>
          </w:tcPr>
          <w:p w14:paraId="0244C39E"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231147FC"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Hierarchy Level 5</w:t>
            </w:r>
          </w:p>
        </w:tc>
        <w:tc>
          <w:tcPr>
            <w:tcW w:w="0" w:type="auto"/>
            <w:vAlign w:val="center"/>
            <w:hideMark/>
          </w:tcPr>
          <w:p w14:paraId="6903623E"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340</w:t>
            </w:r>
          </w:p>
        </w:tc>
        <w:tc>
          <w:tcPr>
            <w:tcW w:w="0" w:type="auto"/>
            <w:vAlign w:val="center"/>
            <w:hideMark/>
          </w:tcPr>
          <w:p w14:paraId="41DCD13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99.9%</w:t>
            </w:r>
          </w:p>
        </w:tc>
      </w:tr>
      <w:tr w:rsidR="00EE3EF2" w:rsidRPr="00EE3EF2" w14:paraId="56BE7666" w14:textId="77777777">
        <w:trPr>
          <w:tblCellSpacing w:w="15" w:type="dxa"/>
        </w:trPr>
        <w:tc>
          <w:tcPr>
            <w:tcW w:w="0" w:type="auto"/>
            <w:vAlign w:val="center"/>
            <w:hideMark/>
          </w:tcPr>
          <w:p w14:paraId="6A63E95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Lifecycle</w:t>
            </w:r>
          </w:p>
        </w:tc>
        <w:tc>
          <w:tcPr>
            <w:tcW w:w="0" w:type="auto"/>
            <w:vAlign w:val="center"/>
            <w:hideMark/>
          </w:tcPr>
          <w:p w14:paraId="15FB8E84"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6E97249C"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Category</w:t>
            </w:r>
          </w:p>
        </w:tc>
        <w:tc>
          <w:tcPr>
            <w:tcW w:w="0" w:type="auto"/>
            <w:vAlign w:val="center"/>
            <w:hideMark/>
          </w:tcPr>
          <w:p w14:paraId="3764598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233,532</w:t>
            </w:r>
          </w:p>
        </w:tc>
        <w:tc>
          <w:tcPr>
            <w:tcW w:w="0" w:type="auto"/>
            <w:vAlign w:val="center"/>
            <w:hideMark/>
          </w:tcPr>
          <w:p w14:paraId="1FCB566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5.3% only</w:t>
            </w:r>
          </w:p>
        </w:tc>
      </w:tr>
      <w:tr w:rsidR="00EE3EF2" w:rsidRPr="00EE3EF2" w14:paraId="2260FAF1" w14:textId="77777777">
        <w:trPr>
          <w:tblCellSpacing w:w="15" w:type="dxa"/>
        </w:trPr>
        <w:tc>
          <w:tcPr>
            <w:tcW w:w="0" w:type="auto"/>
            <w:vAlign w:val="center"/>
            <w:hideMark/>
          </w:tcPr>
          <w:p w14:paraId="63D0FDB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Set_vs_FG</w:t>
            </w:r>
          </w:p>
        </w:tc>
        <w:tc>
          <w:tcPr>
            <w:tcW w:w="0" w:type="auto"/>
            <w:vAlign w:val="center"/>
            <w:hideMark/>
          </w:tcPr>
          <w:p w14:paraId="63A3684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Text</w:t>
            </w:r>
          </w:p>
        </w:tc>
        <w:tc>
          <w:tcPr>
            <w:tcW w:w="0" w:type="auto"/>
            <w:vAlign w:val="center"/>
            <w:hideMark/>
          </w:tcPr>
          <w:p w14:paraId="0EE4F24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Category</w:t>
            </w:r>
          </w:p>
        </w:tc>
        <w:tc>
          <w:tcPr>
            <w:tcW w:w="0" w:type="auto"/>
            <w:vAlign w:val="center"/>
            <w:hideMark/>
          </w:tcPr>
          <w:p w14:paraId="002EFF9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260ED72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r w:rsidR="00EE3EF2" w:rsidRPr="00EE3EF2" w14:paraId="53DD9A90" w14:textId="77777777">
        <w:trPr>
          <w:tblCellSpacing w:w="15" w:type="dxa"/>
        </w:trPr>
        <w:tc>
          <w:tcPr>
            <w:tcW w:w="0" w:type="auto"/>
            <w:vAlign w:val="center"/>
            <w:hideMark/>
          </w:tcPr>
          <w:p w14:paraId="7D87B68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Non Revenue Forecast</w:t>
            </w:r>
          </w:p>
        </w:tc>
        <w:tc>
          <w:tcPr>
            <w:tcW w:w="0" w:type="auto"/>
            <w:vAlign w:val="center"/>
            <w:hideMark/>
          </w:tcPr>
          <w:p w14:paraId="5A71739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Float</w:t>
            </w:r>
          </w:p>
        </w:tc>
        <w:tc>
          <w:tcPr>
            <w:tcW w:w="0" w:type="auto"/>
            <w:vAlign w:val="center"/>
            <w:hideMark/>
          </w:tcPr>
          <w:p w14:paraId="4D6C441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Measure</w:t>
            </w:r>
          </w:p>
        </w:tc>
        <w:tc>
          <w:tcPr>
            <w:tcW w:w="0" w:type="auto"/>
            <w:vAlign w:val="center"/>
            <w:hideMark/>
          </w:tcPr>
          <w:p w14:paraId="4D7D1732"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52EFC822"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r w:rsidR="00EE3EF2" w:rsidRPr="00EE3EF2" w14:paraId="6D7AB219" w14:textId="77777777">
        <w:trPr>
          <w:tblCellSpacing w:w="15" w:type="dxa"/>
        </w:trPr>
        <w:tc>
          <w:tcPr>
            <w:tcW w:w="0" w:type="auto"/>
            <w:vAlign w:val="center"/>
            <w:hideMark/>
          </w:tcPr>
          <w:p w14:paraId="777F7AD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CAPEX Forecast</w:t>
            </w:r>
          </w:p>
        </w:tc>
        <w:tc>
          <w:tcPr>
            <w:tcW w:w="0" w:type="auto"/>
            <w:vAlign w:val="center"/>
            <w:hideMark/>
          </w:tcPr>
          <w:p w14:paraId="7097DBCC"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Float</w:t>
            </w:r>
          </w:p>
        </w:tc>
        <w:tc>
          <w:tcPr>
            <w:tcW w:w="0" w:type="auto"/>
            <w:vAlign w:val="center"/>
            <w:hideMark/>
          </w:tcPr>
          <w:p w14:paraId="0CD817B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Measure</w:t>
            </w:r>
          </w:p>
        </w:tc>
        <w:tc>
          <w:tcPr>
            <w:tcW w:w="0" w:type="auto"/>
            <w:vAlign w:val="center"/>
            <w:hideMark/>
          </w:tcPr>
          <w:p w14:paraId="5912DC5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439CB28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r w:rsidR="00EE3EF2" w:rsidRPr="00EE3EF2" w14:paraId="2C54C1AF" w14:textId="77777777">
        <w:trPr>
          <w:tblCellSpacing w:w="15" w:type="dxa"/>
        </w:trPr>
        <w:tc>
          <w:tcPr>
            <w:tcW w:w="0" w:type="auto"/>
            <w:vAlign w:val="center"/>
            <w:hideMark/>
          </w:tcPr>
          <w:p w14:paraId="170F51FC"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lastRenderedPageBreak/>
              <w:t>Revenue Forecast</w:t>
            </w:r>
          </w:p>
        </w:tc>
        <w:tc>
          <w:tcPr>
            <w:tcW w:w="0" w:type="auto"/>
            <w:vAlign w:val="center"/>
            <w:hideMark/>
          </w:tcPr>
          <w:p w14:paraId="41C8EF6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Float</w:t>
            </w:r>
          </w:p>
        </w:tc>
        <w:tc>
          <w:tcPr>
            <w:tcW w:w="0" w:type="auto"/>
            <w:vAlign w:val="center"/>
            <w:hideMark/>
          </w:tcPr>
          <w:p w14:paraId="5495783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Measure</w:t>
            </w:r>
          </w:p>
        </w:tc>
        <w:tc>
          <w:tcPr>
            <w:tcW w:w="0" w:type="auto"/>
            <w:vAlign w:val="center"/>
            <w:hideMark/>
          </w:tcPr>
          <w:p w14:paraId="0530E2F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0</w:t>
            </w:r>
          </w:p>
        </w:tc>
        <w:tc>
          <w:tcPr>
            <w:tcW w:w="0" w:type="auto"/>
            <w:vAlign w:val="center"/>
            <w:hideMark/>
          </w:tcPr>
          <w:p w14:paraId="3F7FFE8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100%</w:t>
            </w:r>
          </w:p>
        </w:tc>
      </w:tr>
    </w:tbl>
    <w:p w14:paraId="14715DE4" w14:textId="77777777" w:rsidR="00EE3EF2" w:rsidRDefault="00EE3EF2" w:rsidP="00EE3EF2">
      <w:pPr>
        <w:rPr>
          <w:rFonts w:ascii="Times New Roman" w:hAnsi="Times New Roman" w:cs="Times New Roman"/>
          <w:b/>
          <w:bCs/>
          <w:sz w:val="24"/>
          <w:szCs w:val="24"/>
        </w:rPr>
      </w:pPr>
    </w:p>
    <w:p w14:paraId="12F49F0B" w14:textId="77777777" w:rsidR="00EE3EF2" w:rsidRDefault="00EE3EF2" w:rsidP="00EE3EF2">
      <w:pPr>
        <w:rPr>
          <w:rFonts w:ascii="Times New Roman" w:hAnsi="Times New Roman" w:cs="Times New Roman"/>
          <w:b/>
          <w:bCs/>
          <w:sz w:val="24"/>
          <w:szCs w:val="24"/>
        </w:rPr>
      </w:pPr>
    </w:p>
    <w:p w14:paraId="4A973057" w14:textId="5C2BAF65"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Actual Table Column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1114"/>
        <w:gridCol w:w="5815"/>
      </w:tblGrid>
      <w:tr w:rsidR="00EE3EF2" w:rsidRPr="00EE3EF2" w14:paraId="05DCA3DF" w14:textId="77777777">
        <w:trPr>
          <w:tblHeader/>
          <w:tblCellSpacing w:w="15" w:type="dxa"/>
        </w:trPr>
        <w:tc>
          <w:tcPr>
            <w:tcW w:w="0" w:type="auto"/>
            <w:vAlign w:val="center"/>
            <w:hideMark/>
          </w:tcPr>
          <w:p w14:paraId="25264450"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Column</w:t>
            </w:r>
          </w:p>
        </w:tc>
        <w:tc>
          <w:tcPr>
            <w:tcW w:w="0" w:type="auto"/>
            <w:vAlign w:val="center"/>
            <w:hideMark/>
          </w:tcPr>
          <w:p w14:paraId="48176836"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Role</w:t>
            </w:r>
          </w:p>
        </w:tc>
        <w:tc>
          <w:tcPr>
            <w:tcW w:w="0" w:type="auto"/>
            <w:vAlign w:val="center"/>
            <w:hideMark/>
          </w:tcPr>
          <w:p w14:paraId="4505AD78"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Notes</w:t>
            </w:r>
          </w:p>
        </w:tc>
      </w:tr>
      <w:tr w:rsidR="00EE3EF2" w:rsidRPr="00EE3EF2" w14:paraId="7A76C15D" w14:textId="77777777">
        <w:trPr>
          <w:tblCellSpacing w:w="15" w:type="dxa"/>
        </w:trPr>
        <w:tc>
          <w:tcPr>
            <w:tcW w:w="0" w:type="auto"/>
            <w:vAlign w:val="center"/>
            <w:hideMark/>
          </w:tcPr>
          <w:p w14:paraId="7C875C3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Item</w:t>
            </w:r>
          </w:p>
        </w:tc>
        <w:tc>
          <w:tcPr>
            <w:tcW w:w="0" w:type="auto"/>
            <w:vAlign w:val="center"/>
            <w:hideMark/>
          </w:tcPr>
          <w:p w14:paraId="6FEA227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Identifier</w:t>
            </w:r>
          </w:p>
        </w:tc>
        <w:tc>
          <w:tcPr>
            <w:tcW w:w="0" w:type="auto"/>
            <w:vAlign w:val="center"/>
            <w:hideMark/>
          </w:tcPr>
          <w:p w14:paraId="04382F2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Mixed types — integer values AND strings like I0138.0926</w:t>
            </w:r>
          </w:p>
        </w:tc>
      </w:tr>
      <w:tr w:rsidR="00EE3EF2" w:rsidRPr="00EE3EF2" w14:paraId="5E9C39E3" w14:textId="77777777">
        <w:trPr>
          <w:tblCellSpacing w:w="15" w:type="dxa"/>
        </w:trPr>
        <w:tc>
          <w:tcPr>
            <w:tcW w:w="0" w:type="auto"/>
            <w:vAlign w:val="center"/>
            <w:hideMark/>
          </w:tcPr>
          <w:p w14:paraId="38E4FBD4"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Country</w:t>
            </w:r>
          </w:p>
        </w:tc>
        <w:tc>
          <w:tcPr>
            <w:tcW w:w="0" w:type="auto"/>
            <w:vAlign w:val="center"/>
            <w:hideMark/>
          </w:tcPr>
          <w:p w14:paraId="439DD55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Dimension</w:t>
            </w:r>
          </w:p>
        </w:tc>
        <w:tc>
          <w:tcPr>
            <w:tcW w:w="0" w:type="auto"/>
            <w:vAlign w:val="center"/>
            <w:hideMark/>
          </w:tcPr>
          <w:p w14:paraId="190E8F4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Four values: A, B, C, D</w:t>
            </w:r>
          </w:p>
        </w:tc>
      </w:tr>
      <w:tr w:rsidR="00EE3EF2" w:rsidRPr="00EE3EF2" w14:paraId="08602215" w14:textId="77777777">
        <w:trPr>
          <w:tblCellSpacing w:w="15" w:type="dxa"/>
        </w:trPr>
        <w:tc>
          <w:tcPr>
            <w:tcW w:w="0" w:type="auto"/>
            <w:vAlign w:val="center"/>
            <w:hideMark/>
          </w:tcPr>
          <w:p w14:paraId="2A65AD2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Period</w:t>
            </w:r>
          </w:p>
        </w:tc>
        <w:tc>
          <w:tcPr>
            <w:tcW w:w="0" w:type="auto"/>
            <w:vAlign w:val="center"/>
            <w:hideMark/>
          </w:tcPr>
          <w:p w14:paraId="19B09C6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Date key</w:t>
            </w:r>
          </w:p>
        </w:tc>
        <w:tc>
          <w:tcPr>
            <w:tcW w:w="0" w:type="auto"/>
            <w:vAlign w:val="center"/>
            <w:hideMark/>
          </w:tcPr>
          <w:p w14:paraId="276C7F6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Planning period identifier</w:t>
            </w:r>
          </w:p>
        </w:tc>
      </w:tr>
      <w:tr w:rsidR="00EE3EF2" w:rsidRPr="00EE3EF2" w14:paraId="79DD3F24" w14:textId="77777777">
        <w:trPr>
          <w:tblCellSpacing w:w="15" w:type="dxa"/>
        </w:trPr>
        <w:tc>
          <w:tcPr>
            <w:tcW w:w="0" w:type="auto"/>
            <w:vAlign w:val="center"/>
            <w:hideMark/>
          </w:tcPr>
          <w:p w14:paraId="6B0831AE"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Actuals Revenue Qty</w:t>
            </w:r>
          </w:p>
        </w:tc>
        <w:tc>
          <w:tcPr>
            <w:tcW w:w="0" w:type="auto"/>
            <w:vAlign w:val="center"/>
            <w:hideMark/>
          </w:tcPr>
          <w:p w14:paraId="3466C6F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Measure</w:t>
            </w:r>
          </w:p>
        </w:tc>
        <w:tc>
          <w:tcPr>
            <w:tcW w:w="0" w:type="auto"/>
            <w:vAlign w:val="center"/>
            <w:hideMark/>
          </w:tcPr>
          <w:p w14:paraId="65EAC03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Mean ~92, Max ~86,000 — right-skewed</w:t>
            </w:r>
          </w:p>
        </w:tc>
      </w:tr>
      <w:tr w:rsidR="00EE3EF2" w:rsidRPr="00EE3EF2" w14:paraId="2E648AE1" w14:textId="77777777">
        <w:trPr>
          <w:tblCellSpacing w:w="15" w:type="dxa"/>
        </w:trPr>
        <w:tc>
          <w:tcPr>
            <w:tcW w:w="0" w:type="auto"/>
            <w:vAlign w:val="center"/>
            <w:hideMark/>
          </w:tcPr>
          <w:p w14:paraId="37CC529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Actuals NonRevenue Qty</w:t>
            </w:r>
          </w:p>
        </w:tc>
        <w:tc>
          <w:tcPr>
            <w:tcW w:w="0" w:type="auto"/>
            <w:vAlign w:val="center"/>
            <w:hideMark/>
          </w:tcPr>
          <w:p w14:paraId="348A720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Measure</w:t>
            </w:r>
          </w:p>
        </w:tc>
        <w:tc>
          <w:tcPr>
            <w:tcW w:w="0" w:type="auto"/>
            <w:vAlign w:val="center"/>
            <w:hideMark/>
          </w:tcPr>
          <w:p w14:paraId="3E466A3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Near-zero values across most rows</w:t>
            </w:r>
          </w:p>
        </w:tc>
      </w:tr>
      <w:tr w:rsidR="00EE3EF2" w:rsidRPr="00EE3EF2" w14:paraId="15884ADC" w14:textId="77777777">
        <w:trPr>
          <w:tblCellSpacing w:w="15" w:type="dxa"/>
        </w:trPr>
        <w:tc>
          <w:tcPr>
            <w:tcW w:w="0" w:type="auto"/>
            <w:vAlign w:val="center"/>
            <w:hideMark/>
          </w:tcPr>
          <w:p w14:paraId="6230B29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Actuals Capex Qty</w:t>
            </w:r>
          </w:p>
        </w:tc>
        <w:tc>
          <w:tcPr>
            <w:tcW w:w="0" w:type="auto"/>
            <w:vAlign w:val="center"/>
            <w:hideMark/>
          </w:tcPr>
          <w:p w14:paraId="0140A81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Measure</w:t>
            </w:r>
          </w:p>
        </w:tc>
        <w:tc>
          <w:tcPr>
            <w:tcW w:w="0" w:type="auto"/>
            <w:vAlign w:val="center"/>
            <w:hideMark/>
          </w:tcPr>
          <w:p w14:paraId="287E6F8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All values are zero — entire column is empty</w:t>
            </w:r>
          </w:p>
        </w:tc>
      </w:tr>
    </w:tbl>
    <w:p w14:paraId="28AC923B" w14:textId="53ABE75F" w:rsidR="00EE3EF2" w:rsidRDefault="00EE3EF2" w:rsidP="00EE3EF2">
      <w:pPr>
        <w:rPr>
          <w:rFonts w:ascii="Times New Roman" w:hAnsi="Times New Roman" w:cs="Times New Roman"/>
          <w:sz w:val="24"/>
          <w:szCs w:val="24"/>
        </w:rPr>
      </w:pPr>
    </w:p>
    <w:p w14:paraId="7F72BB62" w14:textId="6C9D1A63" w:rsidR="00EE3EF2" w:rsidRPr="00EE3EF2" w:rsidRDefault="00EE3EF2" w:rsidP="00EE3EF2">
      <w:pPr>
        <w:rPr>
          <w:rFonts w:ascii="Times New Roman" w:hAnsi="Times New Roman" w:cs="Times New Roman"/>
          <w:sz w:val="24"/>
          <w:szCs w:val="24"/>
        </w:rPr>
      </w:pPr>
      <w:r>
        <w:rPr>
          <w:rFonts w:ascii="Times New Roman" w:hAnsi="Times New Roman" w:cs="Times New Roman"/>
          <w:sz w:val="24"/>
          <w:szCs w:val="24"/>
        </w:rPr>
        <w:br w:type="page"/>
      </w:r>
      <w:r w:rsidRPr="00EE3EF2">
        <w:rPr>
          <w:b/>
          <w:bCs/>
          <w:sz w:val="28"/>
          <w:szCs w:val="28"/>
        </w:rPr>
        <w:lastRenderedPageBreak/>
        <w:t xml:space="preserve">SECTION 4 </w:t>
      </w:r>
      <w:r>
        <w:rPr>
          <w:b/>
          <w:bCs/>
          <w:sz w:val="28"/>
          <w:szCs w:val="28"/>
        </w:rPr>
        <w:t>:</w:t>
      </w:r>
      <w:r w:rsidRPr="00EE3EF2">
        <w:rPr>
          <w:b/>
          <w:bCs/>
          <w:sz w:val="28"/>
          <w:szCs w:val="28"/>
        </w:rPr>
        <w:t xml:space="preserve"> DATA QUALITY ASSESSMENT</w:t>
      </w:r>
    </w:p>
    <w:p w14:paraId="6F8B8DE8"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Three critical data quality issues were identified and documented before any analysis:</w:t>
      </w:r>
    </w:p>
    <w:p w14:paraId="57CFE3B5"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Issue 1 — Lifecycle Column: 94.7% Null (233,532 of 246,477 rows)</w:t>
      </w:r>
      <w:r w:rsidRPr="00EE3EF2">
        <w:rPr>
          <w:rFonts w:ascii="Times New Roman" w:hAnsi="Times New Roman" w:cs="Times New Roman"/>
          <w:sz w:val="24"/>
          <w:szCs w:val="24"/>
        </w:rPr>
        <w:t xml:space="preserve"> The Lifecycle column, which would normally classify SKUs as Introduction / Growth / Maturity / Decline, contains data in only 5.3% of rows. This makes lifecycle-based demand segmentation and ABC-XYZ analysis completely infeasible with the current dataset. This is a data governance gap that should be escalated to the data owner team.</w:t>
      </w:r>
    </w:p>
    <w:p w14:paraId="5D5F7C48"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Issue 2 — Actuals CAPEX Qty: 100% Zero</w:t>
      </w:r>
      <w:r w:rsidRPr="00EE3EF2">
        <w:rPr>
          <w:rFonts w:ascii="Times New Roman" w:hAnsi="Times New Roman" w:cs="Times New Roman"/>
          <w:sz w:val="24"/>
          <w:szCs w:val="24"/>
        </w:rPr>
        <w:t xml:space="preserve"> Every single row in the Actual table has Actuals Capex Qty = 0. This means CAPEX forecast accuracy cannot be computed — the denominator in the Forecast Accuracy formula would always be zero. While the CAPEX measures were fully built in DAX, the KPI cards will show blank or zero for CAPEX accuracy until actuals data is collected.</w:t>
      </w:r>
    </w:p>
    <w:p w14:paraId="332FB4B8"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Issue 3 — Item Column: Mixed Data Types</w:t>
      </w:r>
      <w:r w:rsidRPr="00EE3EF2">
        <w:rPr>
          <w:rFonts w:ascii="Times New Roman" w:hAnsi="Times New Roman" w:cs="Times New Roman"/>
          <w:sz w:val="24"/>
          <w:szCs w:val="24"/>
        </w:rPr>
        <w:t xml:space="preserve"> The Item column in the Forecast table contains both integer values (e.g., 87110005) and string identifiers (e.g., I0138.0926). The Actual table has similar mixed types. If this is not resolved before joining, items where types differ will fail to match — silently dropping rows from the merged table. Resolution: cast both Item columns to Text before performing the join.</w:t>
      </w:r>
    </w:p>
    <w:p w14:paraId="4834B329"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Segmentation Columns: Reliable</w:t>
      </w:r>
      <w:r w:rsidRPr="00EE3EF2">
        <w:rPr>
          <w:rFonts w:ascii="Times New Roman" w:hAnsi="Times New Roman" w:cs="Times New Roman"/>
          <w:sz w:val="24"/>
          <w:szCs w:val="24"/>
        </w:rPr>
        <w:t xml:space="preserve"> All five segmentation hierarchy columns have 97.7%–99.9% coverage. They are fully reliable for country, region, and cluster-level slicing.</w:t>
      </w:r>
    </w:p>
    <w:p w14:paraId="28CA0E34"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Revenue Forecast &amp; Actual Revenue: Clean</w:t>
      </w:r>
      <w:r w:rsidRPr="00EE3EF2">
        <w:rPr>
          <w:rFonts w:ascii="Times New Roman" w:hAnsi="Times New Roman" w:cs="Times New Roman"/>
          <w:sz w:val="24"/>
          <w:szCs w:val="24"/>
        </w:rPr>
        <w:t xml:space="preserve"> Zero nulls on either the Revenue Forecast or Actual Revenue Qty columns. The primary analysis measure is fully intact.</w:t>
      </w:r>
    </w:p>
    <w:p w14:paraId="23079721" w14:textId="27FBA833" w:rsidR="00EE3EF2" w:rsidRPr="00EE3EF2" w:rsidRDefault="00EE3EF2" w:rsidP="00EE3EF2">
      <w:pPr>
        <w:rPr>
          <w:rFonts w:ascii="Times New Roman" w:hAnsi="Times New Roman" w:cs="Times New Roman"/>
          <w:sz w:val="24"/>
          <w:szCs w:val="24"/>
        </w:rPr>
      </w:pPr>
      <w:r>
        <w:rPr>
          <w:rFonts w:ascii="Times New Roman" w:hAnsi="Times New Roman" w:cs="Times New Roman"/>
          <w:sz w:val="24"/>
          <w:szCs w:val="24"/>
        </w:rPr>
        <w:br w:type="page"/>
      </w:r>
      <w:r w:rsidRPr="00EE3EF2">
        <w:rPr>
          <w:b/>
          <w:bCs/>
          <w:sz w:val="28"/>
          <w:szCs w:val="28"/>
        </w:rPr>
        <w:lastRenderedPageBreak/>
        <w:t xml:space="preserve">SECTION 5 </w:t>
      </w:r>
      <w:r w:rsidRPr="00EE3EF2">
        <w:rPr>
          <w:b/>
          <w:bCs/>
          <w:sz w:val="28"/>
          <w:szCs w:val="28"/>
        </w:rPr>
        <w:t>:</w:t>
      </w:r>
      <w:r w:rsidRPr="00EE3EF2">
        <w:rPr>
          <w:b/>
          <w:bCs/>
          <w:sz w:val="28"/>
          <w:szCs w:val="28"/>
        </w:rPr>
        <w:t xml:space="preserve"> DATA TRANSFORMATION (POWER QUERY)</w:t>
      </w:r>
    </w:p>
    <w:p w14:paraId="753D9F2F"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The Problem: Long Format vs Wide Format</w:t>
      </w:r>
    </w:p>
    <w:p w14:paraId="5810B1E1"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 xml:space="preserve">The Forecast table arrived in </w:t>
      </w:r>
      <w:r w:rsidRPr="00EE3EF2">
        <w:rPr>
          <w:rFonts w:ascii="Times New Roman" w:hAnsi="Times New Roman" w:cs="Times New Roman"/>
          <w:b/>
          <w:bCs/>
          <w:sz w:val="24"/>
          <w:szCs w:val="24"/>
        </w:rPr>
        <w:t>long format</w:t>
      </w:r>
      <w:r w:rsidRPr="00EE3EF2">
        <w:rPr>
          <w:rFonts w:ascii="Times New Roman" w:hAnsi="Times New Roman" w:cs="Times New Roman"/>
          <w:sz w:val="24"/>
          <w:szCs w:val="24"/>
        </w:rPr>
        <w:t xml:space="preserve"> — each combination of Item + Country + Period has three separate rows, one per snapshot (Resultant, Lag 0, Lag 1). The business requirement needed this converted to </w:t>
      </w:r>
      <w:r w:rsidRPr="00EE3EF2">
        <w:rPr>
          <w:rFonts w:ascii="Times New Roman" w:hAnsi="Times New Roman" w:cs="Times New Roman"/>
          <w:b/>
          <w:bCs/>
          <w:sz w:val="24"/>
          <w:szCs w:val="24"/>
        </w:rPr>
        <w:t>wide format</w:t>
      </w:r>
      <w:r w:rsidRPr="00EE3EF2">
        <w:rPr>
          <w:rFonts w:ascii="Times New Roman" w:hAnsi="Times New Roman" w:cs="Times New Roman"/>
          <w:sz w:val="24"/>
          <w:szCs w:val="24"/>
        </w:rPr>
        <w:t xml:space="preserve"> — each combination has one row, with nine separate columns (Resultant/Lag0/Lag1 × Revenue/NonRevenue/CAPEX).</w:t>
      </w:r>
    </w:p>
    <w:p w14:paraId="1384DC7B"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4-Stage Power Query Pipeline</w:t>
      </w:r>
    </w:p>
    <w:p w14:paraId="6B0B290E"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Stage 1 — Rename &amp; Cast</w:t>
      </w:r>
      <w:r w:rsidRPr="00EE3EF2">
        <w:rPr>
          <w:rFonts w:ascii="Times New Roman" w:hAnsi="Times New Roman" w:cs="Times New Roman"/>
          <w:sz w:val="24"/>
          <w:szCs w:val="24"/>
        </w:rPr>
        <w:t xml:space="preserve"> Renamed the typo column CAPEX Foreacast → CAPEX Forecast. Cast the Item column to Text type in both the Forecast table and the Actual table. This is a prerequisite for the join to work correctly across all item types.</w:t>
      </w:r>
    </w:p>
    <w:p w14:paraId="2632FE24"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Stage 2 — Snapshot Labelling</w:t>
      </w:r>
      <w:r w:rsidRPr="00EE3EF2">
        <w:rPr>
          <w:rFonts w:ascii="Times New Roman" w:hAnsi="Times New Roman" w:cs="Times New Roman"/>
          <w:sz w:val="24"/>
          <w:szCs w:val="24"/>
        </w:rPr>
        <w:t xml:space="preserve"> Added a calculated column SnapshotLabel using a conditional replace on AsOfPeriod:</w:t>
      </w:r>
    </w:p>
    <w:p w14:paraId="0D4C6EE4" w14:textId="77777777" w:rsidR="00EE3EF2" w:rsidRPr="00EE3EF2" w:rsidRDefault="00EE3EF2" w:rsidP="00EE3EF2">
      <w:pPr>
        <w:numPr>
          <w:ilvl w:val="0"/>
          <w:numId w:val="4"/>
        </w:numPr>
        <w:jc w:val="both"/>
        <w:rPr>
          <w:rFonts w:ascii="Times New Roman" w:hAnsi="Times New Roman" w:cs="Times New Roman"/>
          <w:sz w:val="24"/>
          <w:szCs w:val="24"/>
        </w:rPr>
      </w:pPr>
      <w:r w:rsidRPr="00EE3EF2">
        <w:rPr>
          <w:rFonts w:ascii="Times New Roman" w:hAnsi="Times New Roman" w:cs="Times New Roman"/>
          <w:sz w:val="24"/>
          <w:szCs w:val="24"/>
        </w:rPr>
        <w:t>2023 P12 → Resultant</w:t>
      </w:r>
    </w:p>
    <w:p w14:paraId="4846E311" w14:textId="77777777" w:rsidR="00EE3EF2" w:rsidRPr="00EE3EF2" w:rsidRDefault="00EE3EF2" w:rsidP="00EE3EF2">
      <w:pPr>
        <w:numPr>
          <w:ilvl w:val="0"/>
          <w:numId w:val="4"/>
        </w:numPr>
        <w:jc w:val="both"/>
        <w:rPr>
          <w:rFonts w:ascii="Times New Roman" w:hAnsi="Times New Roman" w:cs="Times New Roman"/>
          <w:sz w:val="24"/>
          <w:szCs w:val="24"/>
        </w:rPr>
      </w:pPr>
      <w:r w:rsidRPr="00EE3EF2">
        <w:rPr>
          <w:rFonts w:ascii="Times New Roman" w:hAnsi="Times New Roman" w:cs="Times New Roman"/>
          <w:sz w:val="24"/>
          <w:szCs w:val="24"/>
        </w:rPr>
        <w:t>2023 P11 → Lag 0</w:t>
      </w:r>
    </w:p>
    <w:p w14:paraId="6281CC87" w14:textId="77777777" w:rsidR="00EE3EF2" w:rsidRPr="00EE3EF2" w:rsidRDefault="00EE3EF2" w:rsidP="00EE3EF2">
      <w:pPr>
        <w:numPr>
          <w:ilvl w:val="0"/>
          <w:numId w:val="4"/>
        </w:numPr>
        <w:jc w:val="both"/>
        <w:rPr>
          <w:rFonts w:ascii="Times New Roman" w:hAnsi="Times New Roman" w:cs="Times New Roman"/>
          <w:sz w:val="24"/>
          <w:szCs w:val="24"/>
        </w:rPr>
      </w:pPr>
      <w:r w:rsidRPr="00EE3EF2">
        <w:rPr>
          <w:rFonts w:ascii="Times New Roman" w:hAnsi="Times New Roman" w:cs="Times New Roman"/>
          <w:sz w:val="24"/>
          <w:szCs w:val="24"/>
        </w:rPr>
        <w:t>2023 P10 → Lag 1</w:t>
      </w:r>
    </w:p>
    <w:p w14:paraId="28905094"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This human-readable label is what drives all subsequent pivoting and is what appears in the Lag Slicer on the dashboard.</w:t>
      </w:r>
    </w:p>
    <w:p w14:paraId="43700912"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Stage 3 — Pivot to Wide Format</w:t>
      </w:r>
      <w:r w:rsidRPr="00EE3EF2">
        <w:rPr>
          <w:rFonts w:ascii="Times New Roman" w:hAnsi="Times New Roman" w:cs="Times New Roman"/>
          <w:sz w:val="24"/>
          <w:szCs w:val="24"/>
        </w:rPr>
        <w:t xml:space="preserve"> Three sub-steps:</w:t>
      </w:r>
    </w:p>
    <w:p w14:paraId="3C18C012" w14:textId="77777777" w:rsidR="00EE3EF2" w:rsidRPr="00EE3EF2" w:rsidRDefault="00EE3EF2" w:rsidP="00EE3EF2">
      <w:pPr>
        <w:numPr>
          <w:ilvl w:val="0"/>
          <w:numId w:val="5"/>
        </w:numPr>
        <w:jc w:val="both"/>
        <w:rPr>
          <w:rFonts w:ascii="Times New Roman" w:hAnsi="Times New Roman" w:cs="Times New Roman"/>
          <w:sz w:val="24"/>
          <w:szCs w:val="24"/>
        </w:rPr>
      </w:pPr>
      <w:r w:rsidRPr="00EE3EF2">
        <w:rPr>
          <w:rFonts w:ascii="Times New Roman" w:hAnsi="Times New Roman" w:cs="Times New Roman"/>
          <w:sz w:val="24"/>
          <w:szCs w:val="24"/>
        </w:rPr>
        <w:t>Unpivot the three measure columns (Revenue Forecast, Non Revenue Forecast, CAPEX Forecast) so each row has one measure value and a measure name</w:t>
      </w:r>
    </w:p>
    <w:p w14:paraId="1C8D45C9" w14:textId="77777777" w:rsidR="00EE3EF2" w:rsidRPr="00EE3EF2" w:rsidRDefault="00EE3EF2" w:rsidP="00EE3EF2">
      <w:pPr>
        <w:numPr>
          <w:ilvl w:val="0"/>
          <w:numId w:val="5"/>
        </w:numPr>
        <w:jc w:val="both"/>
        <w:rPr>
          <w:rFonts w:ascii="Times New Roman" w:hAnsi="Times New Roman" w:cs="Times New Roman"/>
          <w:sz w:val="24"/>
          <w:szCs w:val="24"/>
        </w:rPr>
      </w:pPr>
      <w:r w:rsidRPr="00EE3EF2">
        <w:rPr>
          <w:rFonts w:ascii="Times New Roman" w:hAnsi="Times New Roman" w:cs="Times New Roman"/>
          <w:sz w:val="24"/>
          <w:szCs w:val="24"/>
        </w:rPr>
        <w:t>Add a PivotKey column combining SnapshotLabel + "_" + Measure name (e.g., Resultant_Revenue Forecast, Lag 0_Revenue Forecast)</w:t>
      </w:r>
    </w:p>
    <w:p w14:paraId="72BB024A" w14:textId="77777777" w:rsidR="00EE3EF2" w:rsidRPr="00EE3EF2" w:rsidRDefault="00EE3EF2" w:rsidP="00EE3EF2">
      <w:pPr>
        <w:numPr>
          <w:ilvl w:val="0"/>
          <w:numId w:val="5"/>
        </w:numPr>
        <w:jc w:val="both"/>
        <w:rPr>
          <w:rFonts w:ascii="Times New Roman" w:hAnsi="Times New Roman" w:cs="Times New Roman"/>
          <w:sz w:val="24"/>
          <w:szCs w:val="24"/>
        </w:rPr>
      </w:pPr>
      <w:r w:rsidRPr="00EE3EF2">
        <w:rPr>
          <w:rFonts w:ascii="Times New Roman" w:hAnsi="Times New Roman" w:cs="Times New Roman"/>
          <w:sz w:val="24"/>
          <w:szCs w:val="24"/>
        </w:rPr>
        <w:t>Pivot on PivotKey — this produces 9 wide columns: Resultant Revenue Forecast, Lag0 Revenue Forecast, Lag1 Revenue Forecast, Resultant Non Revenue Forecast, Lag0 Non Revenue Forecast, Lag1 Non Revenue Forecast, Resultant CAPEX Forecast, Lag0 CAPEX Forecast, Lag1 CAPEX Forecast</w:t>
      </w:r>
    </w:p>
    <w:p w14:paraId="0B53BBA9"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Stage 4 — Left Join with Actuals</w:t>
      </w:r>
      <w:r w:rsidRPr="00EE3EF2">
        <w:rPr>
          <w:rFonts w:ascii="Times New Roman" w:hAnsi="Times New Roman" w:cs="Times New Roman"/>
          <w:sz w:val="24"/>
          <w:szCs w:val="24"/>
        </w:rPr>
        <w:t xml:space="preserve"> Performed a left join from ForecastWide to the Actual table on the composite key: Item + Country + Period. Expanded the three actuals columns (Revenue Qty, NonRevenue Qty, Capex Qty). The left join preserves all forecast rows — items with no matching actual row get null for the actuals columns, which are then filled with 0.</w:t>
      </w:r>
    </w:p>
    <w:p w14:paraId="2652EFBA"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Join Result Statistics:</w:t>
      </w:r>
    </w:p>
    <w:p w14:paraId="56C3884A" w14:textId="77777777" w:rsidR="00EE3EF2" w:rsidRPr="00EE3EF2" w:rsidRDefault="00EE3EF2" w:rsidP="00EE3EF2">
      <w:pPr>
        <w:numPr>
          <w:ilvl w:val="0"/>
          <w:numId w:val="6"/>
        </w:numPr>
        <w:jc w:val="both"/>
        <w:rPr>
          <w:rFonts w:ascii="Times New Roman" w:hAnsi="Times New Roman" w:cs="Times New Roman"/>
          <w:sz w:val="24"/>
          <w:szCs w:val="24"/>
        </w:rPr>
      </w:pPr>
      <w:r w:rsidRPr="00EE3EF2">
        <w:rPr>
          <w:rFonts w:ascii="Times New Roman" w:hAnsi="Times New Roman" w:cs="Times New Roman"/>
          <w:sz w:val="24"/>
          <w:szCs w:val="24"/>
        </w:rPr>
        <w:t>Rows with actuals matched: approximately 23,845 rows had non-zero actual revenue</w:t>
      </w:r>
    </w:p>
    <w:p w14:paraId="265050EE" w14:textId="77777777" w:rsidR="00EE3EF2" w:rsidRPr="00EE3EF2" w:rsidRDefault="00EE3EF2" w:rsidP="00EE3EF2">
      <w:pPr>
        <w:numPr>
          <w:ilvl w:val="0"/>
          <w:numId w:val="6"/>
        </w:numPr>
        <w:jc w:val="both"/>
        <w:rPr>
          <w:rFonts w:ascii="Times New Roman" w:hAnsi="Times New Roman" w:cs="Times New Roman"/>
          <w:sz w:val="24"/>
          <w:szCs w:val="24"/>
        </w:rPr>
      </w:pPr>
      <w:r w:rsidRPr="00EE3EF2">
        <w:rPr>
          <w:rFonts w:ascii="Times New Roman" w:hAnsi="Times New Roman" w:cs="Times New Roman"/>
          <w:sz w:val="24"/>
          <w:szCs w:val="24"/>
        </w:rPr>
        <w:t>Rows without actuals: the remainder — items in the forecast period that had no actual sales yet (future periods beyond the actuals cutoff)</w:t>
      </w:r>
    </w:p>
    <w:p w14:paraId="723D9053" w14:textId="0EE16B20" w:rsidR="00EE3EF2" w:rsidRDefault="00EE3EF2" w:rsidP="00EE3EF2">
      <w:pPr>
        <w:jc w:val="both"/>
        <w:rPr>
          <w:rFonts w:ascii="Times New Roman" w:hAnsi="Times New Roman" w:cs="Times New Roman"/>
          <w:sz w:val="24"/>
          <w:szCs w:val="24"/>
        </w:rPr>
      </w:pPr>
    </w:p>
    <w:p w14:paraId="7B52C551" w14:textId="77777777" w:rsidR="00EE3EF2" w:rsidRDefault="00EE3EF2" w:rsidP="00EE3EF2">
      <w:pPr>
        <w:jc w:val="both"/>
        <w:rPr>
          <w:rFonts w:ascii="Times New Roman" w:hAnsi="Times New Roman" w:cs="Times New Roman"/>
          <w:sz w:val="24"/>
          <w:szCs w:val="24"/>
        </w:rPr>
      </w:pPr>
    </w:p>
    <w:p w14:paraId="1A33C73C" w14:textId="77777777" w:rsidR="00EE3EF2" w:rsidRPr="00EE3EF2" w:rsidRDefault="00EE3EF2" w:rsidP="00EE3EF2">
      <w:pPr>
        <w:jc w:val="both"/>
      </w:pPr>
    </w:p>
    <w:p w14:paraId="03EB154F" w14:textId="77777777" w:rsidR="00EE3EF2" w:rsidRDefault="00EE3EF2" w:rsidP="00EE3EF2">
      <w:pPr>
        <w:rPr>
          <w:b/>
          <w:bCs/>
          <w:sz w:val="28"/>
          <w:szCs w:val="28"/>
        </w:rPr>
      </w:pPr>
    </w:p>
    <w:p w14:paraId="3ED6C680" w14:textId="7C7086AA" w:rsidR="00EE3EF2" w:rsidRPr="00EE3EF2" w:rsidRDefault="00EE3EF2" w:rsidP="00EE3EF2">
      <w:pPr>
        <w:rPr>
          <w:b/>
          <w:bCs/>
        </w:rPr>
      </w:pPr>
      <w:r w:rsidRPr="00EE3EF2">
        <w:rPr>
          <w:b/>
          <w:bCs/>
          <w:sz w:val="28"/>
          <w:szCs w:val="28"/>
        </w:rPr>
        <w:lastRenderedPageBreak/>
        <w:t>SECTION 6</w:t>
      </w:r>
      <w:r>
        <w:rPr>
          <w:b/>
          <w:bCs/>
          <w:sz w:val="28"/>
          <w:szCs w:val="28"/>
        </w:rPr>
        <w:t>:</w:t>
      </w:r>
      <w:r w:rsidRPr="00EE3EF2">
        <w:rPr>
          <w:b/>
          <w:bCs/>
          <w:sz w:val="28"/>
          <w:szCs w:val="28"/>
        </w:rPr>
        <w:t xml:space="preserve"> DATA MODEL (STAR SCHEMA</w:t>
      </w:r>
      <w:r>
        <w:rPr>
          <w:b/>
          <w:bCs/>
        </w:rPr>
        <w:t>)</w:t>
      </w:r>
    </w:p>
    <w:p w14:paraId="5089EA33"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The Power BI data model was designed as a clean star schema with one central fact table and three dimension tables:</w:t>
      </w:r>
    </w:p>
    <w:p w14:paraId="55EA8E3A"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ForecastWide (Central Fact Table)</w:t>
      </w:r>
      <w:r w:rsidRPr="00EE3EF2">
        <w:rPr>
          <w:rFonts w:ascii="Times New Roman" w:hAnsi="Times New Roman" w:cs="Times New Roman"/>
          <w:sz w:val="24"/>
          <w:szCs w:val="24"/>
        </w:rPr>
        <w:t xml:space="preserve"> Contains all 9 lag columns plus the 3 actuals columns after the Power Query transformation. All DAX measures are written against this table. Every visual on every page derives from this table.</w:t>
      </w:r>
    </w:p>
    <w:p w14:paraId="225F2FE6"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DimPeriod (Dimension)</w:t>
      </w:r>
      <w:r w:rsidRPr="00EE3EF2">
        <w:rPr>
          <w:rFonts w:ascii="Times New Roman" w:hAnsi="Times New Roman" w:cs="Times New Roman"/>
          <w:sz w:val="24"/>
          <w:szCs w:val="24"/>
        </w:rPr>
        <w:t xml:space="preserve"> Contains Period and PeriodSortKey. The sort key is a computed integer (Year × 100 + Period Number) that forces chronological ordering on all time-axis charts — without this, Power BI sorts periods alphabetically, which produces incorrect chart sequences.</w:t>
      </w:r>
    </w:p>
    <w:p w14:paraId="38BD4274"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DimCountry (Dimension)</w:t>
      </w:r>
      <w:r w:rsidRPr="00EE3EF2">
        <w:rPr>
          <w:rFonts w:ascii="Times New Roman" w:hAnsi="Times New Roman" w:cs="Times New Roman"/>
          <w:sz w:val="24"/>
          <w:szCs w:val="24"/>
        </w:rPr>
        <w:t xml:space="preserve"> Contains the Country field (A, B, C, D). Connected to ForecastWide via a 1-to-many relationship. Drives the Country slicer that filters all pages simultaneously.</w:t>
      </w:r>
    </w:p>
    <w:p w14:paraId="4FAB22F2"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Actual (Secondary Fact Table)</w:t>
      </w:r>
      <w:r w:rsidRPr="00EE3EF2">
        <w:rPr>
          <w:rFonts w:ascii="Times New Roman" w:hAnsi="Times New Roman" w:cs="Times New Roman"/>
          <w:sz w:val="24"/>
          <w:szCs w:val="24"/>
        </w:rPr>
        <w:t xml:space="preserve"> The original Actual table kept separately alongside ForecastWide for reference. Connected to both DimPeriod and DimCountry.</w:t>
      </w:r>
    </w:p>
    <w:p w14:paraId="0D842DB9" w14:textId="7B079572" w:rsid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SlicerLag (Disconnected Table)</w:t>
      </w:r>
      <w:r w:rsidRPr="00EE3EF2">
        <w:rPr>
          <w:rFonts w:ascii="Times New Roman" w:hAnsi="Times New Roman" w:cs="Times New Roman"/>
          <w:sz w:val="24"/>
          <w:szCs w:val="24"/>
        </w:rPr>
        <w:t xml:space="preserve"> A manually created table with a single column LagLabel containing three rows: Resultant, Lag 0, Lag 1. This table has </w:t>
      </w:r>
      <w:r w:rsidRPr="00EE3EF2">
        <w:rPr>
          <w:rFonts w:ascii="Times New Roman" w:hAnsi="Times New Roman" w:cs="Times New Roman"/>
          <w:b/>
          <w:bCs/>
          <w:sz w:val="24"/>
          <w:szCs w:val="24"/>
        </w:rPr>
        <w:t>no relationship</w:t>
      </w:r>
      <w:r w:rsidRPr="00EE3EF2">
        <w:rPr>
          <w:rFonts w:ascii="Times New Roman" w:hAnsi="Times New Roman" w:cs="Times New Roman"/>
          <w:sz w:val="24"/>
          <w:szCs w:val="24"/>
        </w:rPr>
        <w:t xml:space="preserve"> to any other table in the model — it is intentionally disconnected. The user's selection from this slicer is read inside DAX measures using SELECTEDVALUE(), which then routes to the correct lag measure via SWITCH(). This design pattern prevents unintended filtering of the fact table and is the industry-standard approach for dynamic measure switching in Power BI.</w:t>
      </w:r>
    </w:p>
    <w:p w14:paraId="22DACE14" w14:textId="0BA2F8FF" w:rsidR="00EE3EF2" w:rsidRPr="00EE3EF2" w:rsidRDefault="00EE3EF2" w:rsidP="00EE3EF2">
      <w:pPr>
        <w:rPr>
          <w:rFonts w:ascii="Times New Roman" w:hAnsi="Times New Roman" w:cs="Times New Roman"/>
          <w:sz w:val="24"/>
          <w:szCs w:val="24"/>
        </w:rPr>
      </w:pPr>
      <w:r>
        <w:rPr>
          <w:rFonts w:ascii="Times New Roman" w:hAnsi="Times New Roman" w:cs="Times New Roman"/>
          <w:sz w:val="24"/>
          <w:szCs w:val="24"/>
        </w:rPr>
        <w:br w:type="page"/>
      </w:r>
      <w:r w:rsidRPr="00EE3EF2">
        <w:rPr>
          <w:b/>
          <w:bCs/>
          <w:sz w:val="28"/>
          <w:szCs w:val="28"/>
        </w:rPr>
        <w:lastRenderedPageBreak/>
        <w:t xml:space="preserve">SECTION 7 </w:t>
      </w:r>
      <w:r w:rsidRPr="00EE3EF2">
        <w:rPr>
          <w:b/>
          <w:bCs/>
          <w:sz w:val="28"/>
          <w:szCs w:val="28"/>
        </w:rPr>
        <w:t>:</w:t>
      </w:r>
      <w:r w:rsidRPr="00EE3EF2">
        <w:rPr>
          <w:b/>
          <w:bCs/>
          <w:sz w:val="28"/>
          <w:szCs w:val="28"/>
        </w:rPr>
        <w:t xml:space="preserve"> DAX MEASURES (COMPLETE CATALOGUE)</w:t>
      </w:r>
    </w:p>
    <w:p w14:paraId="3F208DC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All 21 measures were organised into five logical blocks.</w:t>
      </w:r>
    </w:p>
    <w:p w14:paraId="5EEB4A07"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Block 1 — Forecast Aggregation Measures (9 measures)</w:t>
      </w:r>
    </w:p>
    <w:p w14:paraId="0383E6B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Simple SUM() wrappers over the 9 lag columns in ForecastWide. These are the base measures that everything else references:</w:t>
      </w:r>
    </w:p>
    <w:p w14:paraId="763754E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Resultant Revenue Forecast     = SUM(ForecastWide[Resultant Revenue Forecast])</w:t>
      </w:r>
    </w:p>
    <w:p w14:paraId="43C0C18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Resultant NonRevenue Forecast  = SUM(ForecastWide[Resultant Non Revenue Forecast])</w:t>
      </w:r>
    </w:p>
    <w:p w14:paraId="54CD97C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Resultant CAPEX Forecast       = SUM(ForecastWide[Resultant CAPEX Forecast])</w:t>
      </w:r>
    </w:p>
    <w:p w14:paraId="6E44CCE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Lag0 Revenue Forecast          = SUM(ForecastWide[Lag0 Revenue Forecast])</w:t>
      </w:r>
    </w:p>
    <w:p w14:paraId="60751C9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Lag0 NonRevenue Forecast       = SUM(ForecastWide[Lag0 Non Revenue Forecast])</w:t>
      </w:r>
    </w:p>
    <w:p w14:paraId="07D7D8D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Lag0 CAPEX Forecast            = SUM(ForecastWide[Lag0 CAPEX Forecast])</w:t>
      </w:r>
    </w:p>
    <w:p w14:paraId="7EA6FBE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Lag1 Revenue Forecast          = SUM(ForecastWide[Lag1 Revenue Forecast])</w:t>
      </w:r>
    </w:p>
    <w:p w14:paraId="671AF5E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Lag1 NonRevenue Forecast       = SUM(ForecastWide[Lag1 Non Revenue Forecast])</w:t>
      </w:r>
    </w:p>
    <w:p w14:paraId="1057A9A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Lag1 CAPEX Forecast            = SUM(ForecastWide[Lag1 CAPEX Forecast])</w:t>
      </w:r>
    </w:p>
    <w:p w14:paraId="0E14619C"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Block 2 — Actuals Measures (3 measures)</w:t>
      </w:r>
    </w:p>
    <w:p w14:paraId="3EF14D6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Actual Revenue Qty    = SUM(ForecastWide[Actual Revenue Qty])</w:t>
      </w:r>
    </w:p>
    <w:p w14:paraId="4A3336F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Actual NonRevenue Qty = SUM(ForecastWide[Actuals NonRevenue Qty])</w:t>
      </w:r>
    </w:p>
    <w:p w14:paraId="29CFA32E"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Actual Capex Qty      = SUM(ForecastWide[Actuals Capex Qty])</w:t>
      </w:r>
    </w:p>
    <w:p w14:paraId="1DB3D735"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Block 3 — KPI Measures (4 measures)</w:t>
      </w:r>
    </w:p>
    <w:p w14:paraId="1753C84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These implement the exact formulas specified in the business requirements:</w:t>
      </w:r>
    </w:p>
    <w:p w14:paraId="0436EBDE"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Forecast Accuracy % (Lag0 Revenue) =</w:t>
      </w:r>
    </w:p>
    <w:p w14:paraId="4A034D3C"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VAR LagQty = [Lag0 Revenue Forecast]</w:t>
      </w:r>
    </w:p>
    <w:p w14:paraId="7BB6C95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VAR ActQty = [Actual Revenue Qty]</w:t>
      </w:r>
    </w:p>
    <w:p w14:paraId="2E57FB6F"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RETURN</w:t>
      </w:r>
    </w:p>
    <w:p w14:paraId="0055948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IF(ActQty = 0, BLANK(),</w:t>
      </w:r>
    </w:p>
    <w:p w14:paraId="6E3022FC"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1 - ABS(LagQty - ActQty) / ActQty)</w:t>
      </w:r>
    </w:p>
    <w:p w14:paraId="47BB07DF" w14:textId="77777777" w:rsidR="00EE3EF2" w:rsidRPr="00EE3EF2" w:rsidRDefault="00EE3EF2" w:rsidP="00EE3EF2">
      <w:pPr>
        <w:rPr>
          <w:rFonts w:ascii="Times New Roman" w:hAnsi="Times New Roman" w:cs="Times New Roman"/>
          <w:sz w:val="24"/>
          <w:szCs w:val="24"/>
        </w:rPr>
      </w:pPr>
    </w:p>
    <w:p w14:paraId="6D29D4A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Forecast Accuracy % (Lag1 Revenue) =</w:t>
      </w:r>
    </w:p>
    <w:p w14:paraId="78CFA79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VAR LagQty = [Lag1 Revenue Forecast]</w:t>
      </w:r>
    </w:p>
    <w:p w14:paraId="515D2A3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VAR ActQty = [Actual Revenue Qty]</w:t>
      </w:r>
    </w:p>
    <w:p w14:paraId="7E2867A6"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RETURN</w:t>
      </w:r>
    </w:p>
    <w:p w14:paraId="6F1D40F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IF(ActQty = 0, BLANK(),</w:t>
      </w:r>
    </w:p>
    <w:p w14:paraId="50513E4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1 - ABS(LagQty - ActQty) / ActQty)</w:t>
      </w:r>
    </w:p>
    <w:p w14:paraId="57CF3D2D" w14:textId="77777777" w:rsidR="00EE3EF2" w:rsidRPr="00EE3EF2" w:rsidRDefault="00EE3EF2" w:rsidP="00EE3EF2">
      <w:pPr>
        <w:rPr>
          <w:rFonts w:ascii="Times New Roman" w:hAnsi="Times New Roman" w:cs="Times New Roman"/>
          <w:sz w:val="24"/>
          <w:szCs w:val="24"/>
        </w:rPr>
      </w:pPr>
    </w:p>
    <w:p w14:paraId="446ACC34"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Forecast Bias % (Lag0 Revenue) =</w:t>
      </w:r>
    </w:p>
    <w:p w14:paraId="5028AD1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VAR LagQty = [Lag0 Revenue Forecast]</w:t>
      </w:r>
    </w:p>
    <w:p w14:paraId="4385797D"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VAR ActQty = [Actual Revenue Qty]</w:t>
      </w:r>
    </w:p>
    <w:p w14:paraId="72928F5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RETURN</w:t>
      </w:r>
    </w:p>
    <w:p w14:paraId="7B92022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IF(ActQty = 0, BLANK(),</w:t>
      </w:r>
    </w:p>
    <w:p w14:paraId="2B6879D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DIVIDE(LagQty - ActQty, ActQty))</w:t>
      </w:r>
    </w:p>
    <w:p w14:paraId="6216FC74" w14:textId="77777777" w:rsidR="00EE3EF2" w:rsidRPr="00EE3EF2" w:rsidRDefault="00EE3EF2" w:rsidP="00EE3EF2">
      <w:pPr>
        <w:rPr>
          <w:rFonts w:ascii="Times New Roman" w:hAnsi="Times New Roman" w:cs="Times New Roman"/>
          <w:sz w:val="24"/>
          <w:szCs w:val="24"/>
        </w:rPr>
      </w:pPr>
    </w:p>
    <w:p w14:paraId="26DFD5B2"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Forecast Bias % (Lag1 Revenue) =</w:t>
      </w:r>
    </w:p>
    <w:p w14:paraId="7415C23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VAR LagQty = [Lag1 Revenue Forecast]</w:t>
      </w:r>
    </w:p>
    <w:p w14:paraId="01C791F2"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VAR ActQty = [Actual Revenue Qty]</w:t>
      </w:r>
    </w:p>
    <w:p w14:paraId="6036909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RETURN</w:t>
      </w:r>
    </w:p>
    <w:p w14:paraId="2856842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IF(ActQty = 0, BLANK(),</w:t>
      </w:r>
    </w:p>
    <w:p w14:paraId="1A18574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DIVIDE(LagQty - ActQty, ActQty))</w:t>
      </w:r>
    </w:p>
    <w:p w14:paraId="32D85452"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Design note on null handling:</w:t>
      </w:r>
      <w:r w:rsidRPr="00EE3EF2">
        <w:rPr>
          <w:rFonts w:ascii="Times New Roman" w:hAnsi="Times New Roman" w:cs="Times New Roman"/>
          <w:sz w:val="24"/>
          <w:szCs w:val="24"/>
        </w:rPr>
        <w:t xml:space="preserve"> The IF(ActQty = 0, BLANK(), ...) guard prevents divide-by-zero errors for items with no actuals. BLANK() is used instead of 0 because it is excluded from averages — a row with no actuals should not drag down the average accuracy score. DIVIDE() is used in the Bias formula as an alternative null-safe division function.</w:t>
      </w:r>
    </w:p>
    <w:p w14:paraId="3027A35C"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Block 4 — Dynamic Lag Switch Measures (3 measures)</w:t>
      </w:r>
    </w:p>
    <w:p w14:paraId="7BB2C48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These are the measures that power the Lag Slicer:</w:t>
      </w:r>
    </w:p>
    <w:p w14:paraId="142A738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Selected Lag Label =</w:t>
      </w:r>
    </w:p>
    <w:p w14:paraId="3B9E6E3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SELECTEDVALUE(SlicerLag[LagLabel], "Resultant")</w:t>
      </w:r>
    </w:p>
    <w:p w14:paraId="47F5FC1B" w14:textId="77777777" w:rsidR="00EE3EF2" w:rsidRPr="00EE3EF2" w:rsidRDefault="00EE3EF2" w:rsidP="00EE3EF2">
      <w:pPr>
        <w:rPr>
          <w:rFonts w:ascii="Times New Roman" w:hAnsi="Times New Roman" w:cs="Times New Roman"/>
          <w:sz w:val="24"/>
          <w:szCs w:val="24"/>
        </w:rPr>
      </w:pPr>
    </w:p>
    <w:p w14:paraId="42D57B6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Selected Revenue Forecast =</w:t>
      </w:r>
    </w:p>
    <w:p w14:paraId="12EB6E2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SWITCH([Selected Lag Label],</w:t>
      </w:r>
    </w:p>
    <w:p w14:paraId="6CEE1BFE"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"Resultant", [Resultant Revenue Forecast],</w:t>
      </w:r>
    </w:p>
    <w:p w14:paraId="05B4DE35"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"Lag 0",     [Lag0 Revenue Forecast],</w:t>
      </w:r>
    </w:p>
    <w:p w14:paraId="06BD3F5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"Lag 1",     [Lag1 Revenue Forecast],</w:t>
      </w:r>
    </w:p>
    <w:p w14:paraId="2533CD44"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[Resultant Revenue Forecast]</w:t>
      </w:r>
    </w:p>
    <w:p w14:paraId="4F56695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w:t>
      </w:r>
    </w:p>
    <w:p w14:paraId="41132A6F" w14:textId="77777777" w:rsidR="00EE3EF2" w:rsidRPr="00EE3EF2" w:rsidRDefault="00EE3EF2" w:rsidP="00EE3EF2">
      <w:pPr>
        <w:rPr>
          <w:rFonts w:ascii="Times New Roman" w:hAnsi="Times New Roman" w:cs="Times New Roman"/>
          <w:sz w:val="24"/>
          <w:szCs w:val="24"/>
        </w:rPr>
      </w:pPr>
    </w:p>
    <w:p w14:paraId="174FAE4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Selected NonRevenue Forecast =</w:t>
      </w:r>
    </w:p>
    <w:p w14:paraId="66DDBE5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SWITCH([Selected Lag Label],</w:t>
      </w:r>
    </w:p>
    <w:p w14:paraId="63DC2D0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"Resultant", [Resultant NonRevenue Forecast],</w:t>
      </w:r>
    </w:p>
    <w:p w14:paraId="10B85770"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lastRenderedPageBreak/>
        <w:t xml:space="preserve">        "Lag 0",     [Lag0 NonRevenue Forecast],</w:t>
      </w:r>
    </w:p>
    <w:p w14:paraId="0AFF1AC3"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"Lag 1",     [Lag1 NonRevenue Forecast],</w:t>
      </w:r>
    </w:p>
    <w:p w14:paraId="77B271B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[Resultant NonRevenue Forecast]</w:t>
      </w:r>
    </w:p>
    <w:p w14:paraId="13C1999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w:t>
      </w:r>
    </w:p>
    <w:p w14:paraId="052E893B" w14:textId="77777777" w:rsidR="00EE3EF2" w:rsidRPr="00EE3EF2" w:rsidRDefault="00EE3EF2" w:rsidP="00EE3EF2">
      <w:pPr>
        <w:rPr>
          <w:rFonts w:ascii="Times New Roman" w:hAnsi="Times New Roman" w:cs="Times New Roman"/>
          <w:sz w:val="24"/>
          <w:szCs w:val="24"/>
        </w:rPr>
      </w:pPr>
    </w:p>
    <w:p w14:paraId="65535F91"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Selected CAPEX Forecast =</w:t>
      </w:r>
    </w:p>
    <w:p w14:paraId="4A863449"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SWITCH([Selected Lag Label],</w:t>
      </w:r>
    </w:p>
    <w:p w14:paraId="1990C2F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"Resultant", [Resultant CAPEX Forecast],</w:t>
      </w:r>
    </w:p>
    <w:p w14:paraId="61944D8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"Lag 0",     [Lag0 CAPEX Forecast],</w:t>
      </w:r>
    </w:p>
    <w:p w14:paraId="116F1F0B"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"Lag 1",     [Lag1 CAPEX Forecast],</w:t>
      </w:r>
    </w:p>
    <w:p w14:paraId="6F06AB2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[Resultant CAPEX Forecast]</w:t>
      </w:r>
    </w:p>
    <w:p w14:paraId="6DE10647"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 xml:space="preserve">    )</w:t>
      </w:r>
    </w:p>
    <w:p w14:paraId="6CBACF98"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b/>
          <w:bCs/>
          <w:sz w:val="24"/>
          <w:szCs w:val="24"/>
        </w:rPr>
        <w:t>How this works:</w:t>
      </w:r>
      <w:r w:rsidRPr="00EE3EF2">
        <w:rPr>
          <w:rFonts w:ascii="Times New Roman" w:hAnsi="Times New Roman" w:cs="Times New Roman"/>
          <w:sz w:val="24"/>
          <w:szCs w:val="24"/>
        </w:rPr>
        <w:t xml:space="preserve"> When the user clicks "Lag 0" on the slicer, SELECTEDVALUE() returns the string "Lag 0". The SWITCH() then routes the measure to [Lag0 Revenue Forecast]. Every visual bound to [Selected Revenue Forecast] automatically updates to show Lag 0 values. The default is Resultant, so the dashboard loads in the most recent snapshot state.</w:t>
      </w:r>
    </w:p>
    <w:p w14:paraId="55BAF985" w14:textId="7777777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t>Block 5 — Variance Measures (2 measures)</w:t>
      </w:r>
    </w:p>
    <w:p w14:paraId="0103548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Revenue Variance   = [Resultant Revenue Forecast] - [Actual Revenue Qty]</w:t>
      </w:r>
    </w:p>
    <w:p w14:paraId="77CED0DA" w14:textId="77777777" w:rsidR="00EE3EF2" w:rsidRPr="00EE3EF2" w:rsidRDefault="00EE3EF2" w:rsidP="00EE3EF2">
      <w:pPr>
        <w:rPr>
          <w:rFonts w:ascii="Times New Roman" w:hAnsi="Times New Roman" w:cs="Times New Roman"/>
          <w:sz w:val="24"/>
          <w:szCs w:val="24"/>
        </w:rPr>
      </w:pPr>
      <w:r w:rsidRPr="00EE3EF2">
        <w:rPr>
          <w:rFonts w:ascii="Times New Roman" w:hAnsi="Times New Roman" w:cs="Times New Roman"/>
          <w:sz w:val="24"/>
          <w:szCs w:val="24"/>
        </w:rPr>
        <w:t>Revenue Variance % = DIVIDE([Revenue Variance], [Actual Revenue Qty])</w:t>
      </w:r>
    </w:p>
    <w:p w14:paraId="2FFE7842" w14:textId="5E943DFF" w:rsidR="00EE3EF2" w:rsidRPr="00EE3EF2" w:rsidRDefault="00EE3EF2" w:rsidP="00EE3EF2">
      <w:pPr>
        <w:rPr>
          <w:rFonts w:ascii="Times New Roman" w:hAnsi="Times New Roman" w:cs="Times New Roman"/>
          <w:sz w:val="24"/>
          <w:szCs w:val="24"/>
        </w:rPr>
      </w:pPr>
      <w:r>
        <w:rPr>
          <w:rFonts w:ascii="Times New Roman" w:hAnsi="Times New Roman" w:cs="Times New Roman"/>
          <w:sz w:val="24"/>
          <w:szCs w:val="24"/>
        </w:rPr>
        <w:br w:type="page"/>
      </w:r>
      <w:r w:rsidRPr="00EE3EF2">
        <w:rPr>
          <w:b/>
          <w:bCs/>
          <w:sz w:val="24"/>
          <w:szCs w:val="24"/>
        </w:rPr>
        <w:lastRenderedPageBreak/>
        <w:t xml:space="preserve">SECTION 8 </w:t>
      </w:r>
      <w:r w:rsidRPr="00EE3EF2">
        <w:rPr>
          <w:b/>
          <w:bCs/>
          <w:sz w:val="24"/>
          <w:szCs w:val="24"/>
        </w:rPr>
        <w:t>:</w:t>
      </w:r>
      <w:r w:rsidRPr="00EE3EF2">
        <w:rPr>
          <w:b/>
          <w:bCs/>
          <w:sz w:val="24"/>
          <w:szCs w:val="24"/>
        </w:rPr>
        <w:t xml:space="preserve"> EXPLORATORY DATA ANALYSIS </w:t>
      </w:r>
    </w:p>
    <w:p w14:paraId="50585B6F"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8.1 Forecast Distribution Analysis</w:t>
      </w:r>
    </w:p>
    <w:p w14:paraId="68B89AE5"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Revenue Forecast values are heavily right-skewed. Log-scale histograms were used to visualise the distribution because the raw values span several orders of magnitude — most SKUs have forecast quantities below 10 units, while a small number of high-volume items drive the total. This is classic Pareto (80/20) demand behaviour. The distribution confirmed:</w:t>
      </w:r>
    </w:p>
    <w:p w14:paraId="0D1B40C6" w14:textId="77777777" w:rsidR="00EE3EF2" w:rsidRPr="00EE3EF2" w:rsidRDefault="00EE3EF2" w:rsidP="00EE3EF2">
      <w:pPr>
        <w:numPr>
          <w:ilvl w:val="0"/>
          <w:numId w:val="7"/>
        </w:numPr>
        <w:jc w:val="both"/>
        <w:rPr>
          <w:rFonts w:ascii="Times New Roman" w:hAnsi="Times New Roman" w:cs="Times New Roman"/>
        </w:rPr>
      </w:pPr>
      <w:r w:rsidRPr="00EE3EF2">
        <w:rPr>
          <w:rFonts w:ascii="Times New Roman" w:hAnsi="Times New Roman" w:cs="Times New Roman"/>
        </w:rPr>
        <w:t>Mean Revenue Forecast (per row) is low relative to the maximum</w:t>
      </w:r>
    </w:p>
    <w:p w14:paraId="6990AFE3" w14:textId="77777777" w:rsidR="00EE3EF2" w:rsidRPr="00EE3EF2" w:rsidRDefault="00EE3EF2" w:rsidP="00EE3EF2">
      <w:pPr>
        <w:numPr>
          <w:ilvl w:val="0"/>
          <w:numId w:val="7"/>
        </w:numPr>
        <w:jc w:val="both"/>
        <w:rPr>
          <w:rFonts w:ascii="Times New Roman" w:hAnsi="Times New Roman" w:cs="Times New Roman"/>
        </w:rPr>
      </w:pPr>
      <w:r w:rsidRPr="00EE3EF2">
        <w:rPr>
          <w:rFonts w:ascii="Times New Roman" w:hAnsi="Times New Roman" w:cs="Times New Roman"/>
        </w:rPr>
        <w:t>Non-Revenue Forecast is near-zero for most rows</w:t>
      </w:r>
    </w:p>
    <w:p w14:paraId="6EB88E00" w14:textId="77777777" w:rsidR="00EE3EF2" w:rsidRPr="00EE3EF2" w:rsidRDefault="00EE3EF2" w:rsidP="00EE3EF2">
      <w:pPr>
        <w:numPr>
          <w:ilvl w:val="0"/>
          <w:numId w:val="7"/>
        </w:numPr>
        <w:jc w:val="both"/>
        <w:rPr>
          <w:rFonts w:ascii="Times New Roman" w:hAnsi="Times New Roman" w:cs="Times New Roman"/>
        </w:rPr>
      </w:pPr>
      <w:r w:rsidRPr="00EE3EF2">
        <w:rPr>
          <w:rFonts w:ascii="Times New Roman" w:hAnsi="Times New Roman" w:cs="Times New Roman"/>
        </w:rPr>
        <w:t>CAPEX Forecast is near-zero for most rows, consistent with CAPEX actuals being all-zero</w:t>
      </w:r>
    </w:p>
    <w:p w14:paraId="392C7D7A"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The right-skew means any average-based analysis will be distorted by outlier items. Volume-weighted measures and median-based statistics are more appropriate for this dataset.</w:t>
      </w:r>
    </w:p>
    <w:p w14:paraId="7AD68550"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8.2 Country-wise Analysis</w:t>
      </w:r>
    </w:p>
    <w:p w14:paraId="12C53FA8"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Country A is the dominant market by every measure:</w:t>
      </w:r>
    </w:p>
    <w:p w14:paraId="3427D198" w14:textId="77777777" w:rsidR="00EE3EF2" w:rsidRPr="00EE3EF2" w:rsidRDefault="00EE3EF2" w:rsidP="00EE3EF2">
      <w:pPr>
        <w:numPr>
          <w:ilvl w:val="0"/>
          <w:numId w:val="8"/>
        </w:numPr>
        <w:jc w:val="both"/>
        <w:rPr>
          <w:rFonts w:ascii="Times New Roman" w:hAnsi="Times New Roman" w:cs="Times New Roman"/>
        </w:rPr>
      </w:pPr>
      <w:r w:rsidRPr="00EE3EF2">
        <w:rPr>
          <w:rFonts w:ascii="Times New Roman" w:hAnsi="Times New Roman" w:cs="Times New Roman"/>
        </w:rPr>
        <w:t>~65% of total Revenue Forecast volume comes from Country A</w:t>
      </w:r>
    </w:p>
    <w:p w14:paraId="76A08B95" w14:textId="77777777" w:rsidR="00EE3EF2" w:rsidRPr="00EE3EF2" w:rsidRDefault="00EE3EF2" w:rsidP="00EE3EF2">
      <w:pPr>
        <w:numPr>
          <w:ilvl w:val="0"/>
          <w:numId w:val="8"/>
        </w:numPr>
        <w:jc w:val="both"/>
        <w:rPr>
          <w:rFonts w:ascii="Times New Roman" w:hAnsi="Times New Roman" w:cs="Times New Roman"/>
        </w:rPr>
      </w:pPr>
      <w:r w:rsidRPr="00EE3EF2">
        <w:rPr>
          <w:rFonts w:ascii="Times New Roman" w:hAnsi="Times New Roman" w:cs="Times New Roman"/>
        </w:rPr>
        <w:t>43% of all forecast rows belong to Country A</w:t>
      </w:r>
    </w:p>
    <w:p w14:paraId="0817CB64" w14:textId="77777777" w:rsidR="00EE3EF2" w:rsidRPr="00EE3EF2" w:rsidRDefault="00EE3EF2" w:rsidP="00EE3EF2">
      <w:pPr>
        <w:numPr>
          <w:ilvl w:val="0"/>
          <w:numId w:val="8"/>
        </w:numPr>
        <w:jc w:val="both"/>
        <w:rPr>
          <w:rFonts w:ascii="Times New Roman" w:hAnsi="Times New Roman" w:cs="Times New Roman"/>
        </w:rPr>
      </w:pPr>
      <w:r w:rsidRPr="00EE3EF2">
        <w:rPr>
          <w:rFonts w:ascii="Times New Roman" w:hAnsi="Times New Roman" w:cs="Times New Roman"/>
        </w:rPr>
        <w:t>Country A's revenue forecast total is significantly higher than B, C, and D combined</w:t>
      </w:r>
    </w:p>
    <w:p w14:paraId="13E28356"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This finding has a direct strategic implication: any accuracy improvement efforts should target Country A first, because gains there will have the largest aggregate impact. Countries B, C, and D each account for 10–15% of remaining volume.</w:t>
      </w:r>
    </w:p>
    <w:p w14:paraId="73D54312"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8.3 Snapshot (Lag) Comparison</w:t>
      </w:r>
    </w:p>
    <w:p w14:paraId="577AF8A8"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Total Revenue Forecast values across the three snapshots:</w:t>
      </w:r>
    </w:p>
    <w:p w14:paraId="23A22D42" w14:textId="77777777" w:rsidR="00EE3EF2" w:rsidRPr="00EE3EF2" w:rsidRDefault="00EE3EF2" w:rsidP="00EE3EF2">
      <w:pPr>
        <w:numPr>
          <w:ilvl w:val="0"/>
          <w:numId w:val="9"/>
        </w:numPr>
        <w:jc w:val="both"/>
        <w:rPr>
          <w:rFonts w:ascii="Times New Roman" w:hAnsi="Times New Roman" w:cs="Times New Roman"/>
        </w:rPr>
      </w:pPr>
      <w:r w:rsidRPr="00EE3EF2">
        <w:rPr>
          <w:rFonts w:ascii="Times New Roman" w:hAnsi="Times New Roman" w:cs="Times New Roman"/>
          <w:b/>
          <w:bCs/>
        </w:rPr>
        <w:t>Lag 1:</w:t>
      </w:r>
      <w:r w:rsidRPr="00EE3EF2">
        <w:rPr>
          <w:rFonts w:ascii="Times New Roman" w:hAnsi="Times New Roman" w:cs="Times New Roman"/>
        </w:rPr>
        <w:t xml:space="preserve"> lower total</w:t>
      </w:r>
    </w:p>
    <w:p w14:paraId="1FAF09DB" w14:textId="77777777" w:rsidR="00EE3EF2" w:rsidRPr="00EE3EF2" w:rsidRDefault="00EE3EF2" w:rsidP="00EE3EF2">
      <w:pPr>
        <w:numPr>
          <w:ilvl w:val="0"/>
          <w:numId w:val="9"/>
        </w:numPr>
        <w:jc w:val="both"/>
        <w:rPr>
          <w:rFonts w:ascii="Times New Roman" w:hAnsi="Times New Roman" w:cs="Times New Roman"/>
        </w:rPr>
      </w:pPr>
      <w:r w:rsidRPr="00EE3EF2">
        <w:rPr>
          <w:rFonts w:ascii="Times New Roman" w:hAnsi="Times New Roman" w:cs="Times New Roman"/>
          <w:b/>
          <w:bCs/>
        </w:rPr>
        <w:t>Lag 0:</w:t>
      </w:r>
      <w:r w:rsidRPr="00EE3EF2">
        <w:rPr>
          <w:rFonts w:ascii="Times New Roman" w:hAnsi="Times New Roman" w:cs="Times New Roman"/>
        </w:rPr>
        <w:t xml:space="preserve"> higher than Lag 1</w:t>
      </w:r>
    </w:p>
    <w:p w14:paraId="1919D7F9" w14:textId="77777777" w:rsidR="00EE3EF2" w:rsidRPr="00EE3EF2" w:rsidRDefault="00EE3EF2" w:rsidP="00EE3EF2">
      <w:pPr>
        <w:numPr>
          <w:ilvl w:val="0"/>
          <w:numId w:val="9"/>
        </w:numPr>
        <w:jc w:val="both"/>
        <w:rPr>
          <w:rFonts w:ascii="Times New Roman" w:hAnsi="Times New Roman" w:cs="Times New Roman"/>
        </w:rPr>
      </w:pPr>
      <w:r w:rsidRPr="00EE3EF2">
        <w:rPr>
          <w:rFonts w:ascii="Times New Roman" w:hAnsi="Times New Roman" w:cs="Times New Roman"/>
          <w:b/>
          <w:bCs/>
        </w:rPr>
        <w:t>Resultant:</w:t>
      </w:r>
      <w:r w:rsidRPr="00EE3EF2">
        <w:rPr>
          <w:rFonts w:ascii="Times New Roman" w:hAnsi="Times New Roman" w:cs="Times New Roman"/>
        </w:rPr>
        <w:t xml:space="preserve"> highest total</w:t>
      </w:r>
    </w:p>
    <w:p w14:paraId="0F7F34E4"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 xml:space="preserve">The organisation consistently revises its forecasts </w:t>
      </w:r>
      <w:r w:rsidRPr="00EE3EF2">
        <w:rPr>
          <w:rFonts w:ascii="Times New Roman" w:hAnsi="Times New Roman" w:cs="Times New Roman"/>
          <w:b/>
          <w:bCs/>
        </w:rPr>
        <w:t>upward</w:t>
      </w:r>
      <w:r w:rsidRPr="00EE3EF2">
        <w:rPr>
          <w:rFonts w:ascii="Times New Roman" w:hAnsi="Times New Roman" w:cs="Times New Roman"/>
        </w:rPr>
        <w:t xml:space="preserve"> as it approaches the actual period. This is a standard pattern in conservative SIOP processes — planners start cautious and increase their demand view as they gather market intelligence. However, even the final Resultant forecast (16.05M) falls dramatically short of actual revenue (34.44M), confirming that the upward revision is not enough — the initial forecasting process systematically underestimates demand.</w:t>
      </w:r>
    </w:p>
    <w:p w14:paraId="1E1CC29B"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8.4 Temporal Trend Analysis</w:t>
      </w:r>
    </w:p>
    <w:p w14:paraId="50627B7D"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Actual Revenue consistently exceeds the Resultant Forecast across most periods from 2023 P10 through 2024 P12. The gap is particularly pronounced in 2023 P12 and the early 2024 periods. A dual-line chart overlaying Resultant Forecast (orange) against Actual Revenue (green dashed) makes this gap visually stark — the forecast line runs below the actual line for nearly the entire time range. This confirms the under-forecasting bias is not limited to specific periods — it is a persistent structural pattern throughout the observation window.</w:t>
      </w:r>
    </w:p>
    <w:p w14:paraId="6D2859AD"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8.5 Actuals vs Forecast Analysis</w:t>
      </w:r>
    </w:p>
    <w:p w14:paraId="400537EF"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A scatter plot of Lag 0 Forecast vs Actual Revenue (log-log scale, colour-coded by country) shows:</w:t>
      </w:r>
    </w:p>
    <w:p w14:paraId="233FAFDB" w14:textId="77777777" w:rsidR="00EE3EF2" w:rsidRPr="00EE3EF2" w:rsidRDefault="00EE3EF2" w:rsidP="00EE3EF2">
      <w:pPr>
        <w:numPr>
          <w:ilvl w:val="0"/>
          <w:numId w:val="10"/>
        </w:numPr>
        <w:jc w:val="both"/>
        <w:rPr>
          <w:rFonts w:ascii="Times New Roman" w:hAnsi="Times New Roman" w:cs="Times New Roman"/>
        </w:rPr>
      </w:pPr>
      <w:r w:rsidRPr="00EE3EF2">
        <w:rPr>
          <w:rFonts w:ascii="Times New Roman" w:hAnsi="Times New Roman" w:cs="Times New Roman"/>
        </w:rPr>
        <w:t>Positive correlation exists — the forecast directional signal is correct</w:t>
      </w:r>
    </w:p>
    <w:p w14:paraId="5D4A2AD7" w14:textId="77777777" w:rsidR="00EE3EF2" w:rsidRPr="00EE3EF2" w:rsidRDefault="00EE3EF2" w:rsidP="00EE3EF2">
      <w:pPr>
        <w:numPr>
          <w:ilvl w:val="0"/>
          <w:numId w:val="10"/>
        </w:numPr>
        <w:jc w:val="both"/>
        <w:rPr>
          <w:rFonts w:ascii="Times New Roman" w:hAnsi="Times New Roman" w:cs="Times New Roman"/>
        </w:rPr>
      </w:pPr>
      <w:r w:rsidRPr="00EE3EF2">
        <w:rPr>
          <w:rFonts w:ascii="Times New Roman" w:hAnsi="Times New Roman" w:cs="Times New Roman"/>
        </w:rPr>
        <w:t>However, there is high dispersion, particularly at the SKU level</w:t>
      </w:r>
    </w:p>
    <w:p w14:paraId="015A627C" w14:textId="77777777" w:rsidR="00EE3EF2" w:rsidRPr="00EE3EF2" w:rsidRDefault="00EE3EF2" w:rsidP="00EE3EF2">
      <w:pPr>
        <w:numPr>
          <w:ilvl w:val="0"/>
          <w:numId w:val="10"/>
        </w:numPr>
        <w:jc w:val="both"/>
        <w:rPr>
          <w:rFonts w:ascii="Times New Roman" w:hAnsi="Times New Roman" w:cs="Times New Roman"/>
        </w:rPr>
      </w:pPr>
      <w:r w:rsidRPr="00EE3EF2">
        <w:rPr>
          <w:rFonts w:ascii="Times New Roman" w:hAnsi="Times New Roman" w:cs="Times New Roman"/>
        </w:rPr>
        <w:t xml:space="preserve">Most points fall </w:t>
      </w:r>
      <w:r w:rsidRPr="00EE3EF2">
        <w:rPr>
          <w:rFonts w:ascii="Times New Roman" w:hAnsi="Times New Roman" w:cs="Times New Roman"/>
          <w:b/>
          <w:bCs/>
        </w:rPr>
        <w:t>above</w:t>
      </w:r>
      <w:r w:rsidRPr="00EE3EF2">
        <w:rPr>
          <w:rFonts w:ascii="Times New Roman" w:hAnsi="Times New Roman" w:cs="Times New Roman"/>
        </w:rPr>
        <w:t xml:space="preserve"> the perfect forecast diagonal line, meaning actuals exceed forecasts</w:t>
      </w:r>
    </w:p>
    <w:p w14:paraId="0380E380"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lastRenderedPageBreak/>
        <w:t>The distribution of Absolute Percentage Error (APE) was plotted for all rows with non-zero actuals. The error distribution has a long right tail — while many items have moderate errors, a subset have extremely high errors (APE &gt; 200%). These outlier items should be the focus of demand review meetings.</w:t>
      </w:r>
    </w:p>
    <w:p w14:paraId="02A45EAD"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A key technical insight from the correlation analysis: all three lag forecasts have strong positive correlation with Actual Revenue Qty. However, high correlation does not mean high accuracy. A forecast can be directionally correct (correlated) while still being systematically biased in magnitude — which is exactly the situation here. Correlation measures direction; accuracy measures magnitude.</w:t>
      </w:r>
    </w:p>
    <w:p w14:paraId="76D0C228"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8.6 Segmentation Analysis</w:t>
      </w:r>
    </w:p>
    <w:p w14:paraId="41B57903"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The five-level segmentation hierarchy (Country → CountryGroup → Cluster → Region → Global) is well populated at 97.7–99.9% coverage. The Revenue by Segmentation Region table in the Power BI dashboard shows identical totals across all AX, AY, AZ, BX, BY, BZ, CX, CY, CZ combinations. This is expected — each row belongs to exactly one segmentation path, and the totals reflect the full dataset regardless of which segmentation filter is applied. The segmentation structure itself is a consistent lookup that can be used reliably for any geographic breakdown.</w:t>
      </w:r>
    </w:p>
    <w:p w14:paraId="69F04692"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8.7 Set vs FG Analysis</w:t>
      </w:r>
    </w:p>
    <w:p w14:paraId="41D0511D"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FG (Finished Goods) makes up 99.5% of all forecast records. Sets are present but negligible in volume. This means all FG/Set-based analysis will effectively represent FG performance. The Item Analysis page in the dashboard includes FG and Set filter buttons, but in practice almost all records will show under the FG category.</w:t>
      </w:r>
    </w:p>
    <w:p w14:paraId="6FC4ABF6"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The Lifecycle column — which should complement Set vs FG analysis — is 94.7% unclassified (Unclassified or null). This represents a significant data governance gap. Without Lifecycle data, it is impossible to distinguish whether a product's forecast error is due to demand volatility (a mature product) or demand uncertainty (a new product in introduction phase). These require fundamentally different forecasting approaches.</w:t>
      </w:r>
    </w:p>
    <w:p w14:paraId="6705E1D1"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8.8 Correlation Analysis</w:t>
      </w:r>
    </w:p>
    <w:p w14:paraId="67B50D07"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A lower-triangular correlation matrix was computed across all lag forecast columns and actuals:</w:t>
      </w:r>
    </w:p>
    <w:p w14:paraId="27C1BA48" w14:textId="77777777" w:rsidR="00EE3EF2" w:rsidRPr="00EE3EF2" w:rsidRDefault="00EE3EF2" w:rsidP="00EE3EF2">
      <w:pPr>
        <w:numPr>
          <w:ilvl w:val="0"/>
          <w:numId w:val="11"/>
        </w:numPr>
        <w:jc w:val="both"/>
        <w:rPr>
          <w:rFonts w:ascii="Times New Roman" w:hAnsi="Times New Roman" w:cs="Times New Roman"/>
        </w:rPr>
      </w:pPr>
      <w:r w:rsidRPr="00EE3EF2">
        <w:rPr>
          <w:rFonts w:ascii="Times New Roman" w:hAnsi="Times New Roman" w:cs="Times New Roman"/>
        </w:rPr>
        <w:t>Lag 0 Revenue Forecast ↔ Actual Revenue Qty: strong positive correlation</w:t>
      </w:r>
    </w:p>
    <w:p w14:paraId="4E1435D8" w14:textId="77777777" w:rsidR="00EE3EF2" w:rsidRPr="00EE3EF2" w:rsidRDefault="00EE3EF2" w:rsidP="00EE3EF2">
      <w:pPr>
        <w:numPr>
          <w:ilvl w:val="0"/>
          <w:numId w:val="11"/>
        </w:numPr>
        <w:jc w:val="both"/>
        <w:rPr>
          <w:rFonts w:ascii="Times New Roman" w:hAnsi="Times New Roman" w:cs="Times New Roman"/>
        </w:rPr>
      </w:pPr>
      <w:r w:rsidRPr="00EE3EF2">
        <w:rPr>
          <w:rFonts w:ascii="Times New Roman" w:hAnsi="Times New Roman" w:cs="Times New Roman"/>
        </w:rPr>
        <w:t>Lag 1 Revenue Forecast ↔ Actual Revenue Qty: strong positive correlation</w:t>
      </w:r>
    </w:p>
    <w:p w14:paraId="78628990" w14:textId="77777777" w:rsidR="00EE3EF2" w:rsidRPr="00EE3EF2" w:rsidRDefault="00EE3EF2" w:rsidP="00EE3EF2">
      <w:pPr>
        <w:numPr>
          <w:ilvl w:val="0"/>
          <w:numId w:val="11"/>
        </w:numPr>
        <w:jc w:val="both"/>
        <w:rPr>
          <w:rFonts w:ascii="Times New Roman" w:hAnsi="Times New Roman" w:cs="Times New Roman"/>
        </w:rPr>
      </w:pPr>
      <w:r w:rsidRPr="00EE3EF2">
        <w:rPr>
          <w:rFonts w:ascii="Times New Roman" w:hAnsi="Times New Roman" w:cs="Times New Roman"/>
        </w:rPr>
        <w:t>Resultant Revenue Forecast ↔ Actual Revenue Qty: strong positive correlation</w:t>
      </w:r>
    </w:p>
    <w:p w14:paraId="7744614E" w14:textId="77777777" w:rsidR="00EE3EF2" w:rsidRPr="00EE3EF2" w:rsidRDefault="00EE3EF2" w:rsidP="00EE3EF2">
      <w:pPr>
        <w:numPr>
          <w:ilvl w:val="0"/>
          <w:numId w:val="11"/>
        </w:numPr>
        <w:jc w:val="both"/>
        <w:rPr>
          <w:rFonts w:ascii="Times New Roman" w:hAnsi="Times New Roman" w:cs="Times New Roman"/>
        </w:rPr>
      </w:pPr>
      <w:r w:rsidRPr="00EE3EF2">
        <w:rPr>
          <w:rFonts w:ascii="Times New Roman" w:hAnsi="Times New Roman" w:cs="Times New Roman"/>
        </w:rPr>
        <w:t>Non-Revenue forecasts show weaker correlation with actuals</w:t>
      </w:r>
    </w:p>
    <w:p w14:paraId="1555E141"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The key interpretation: the forecasting model captures the right signal (direction), but not the right magnitude. A −43% bias with strong correlation means planners know which items will sell more — they just systematically under-estimate how much more.</w:t>
      </w:r>
    </w:p>
    <w:p w14:paraId="1AAF2E17"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8.9 Period Offset Analysis</w:t>
      </w:r>
    </w:p>
    <w:p w14:paraId="4D87FA07"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Period Offset is the number of months ahead a forecast was made. The data spans offsets from 0 (current month) to 14 (14 months ahead). Key finding: average forecast values are higher at lower offsets — meaning near-term forecasts are larger than long-range forecasts. This is counterintuitive if the assumption is that long-range forecasts are more optimistic; instead, this suggests planners revise upward as they approach the period, consistent with the Lag comparison finding. Setting realistic accuracy targets per horizon is critical — a Lag 0 (one month out) forecast should be held to a tighter standard than a 12-month-out forecast.</w:t>
      </w:r>
    </w:p>
    <w:p w14:paraId="748FB7EE"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8.10 Top Items Pareto Analysis</w:t>
      </w:r>
    </w:p>
    <w:p w14:paraId="48901A0D"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A Pareto analysis of the Resultant snapshot revealed that a small number of items drive the vast majority of revenue forecast volume:</w:t>
      </w:r>
    </w:p>
    <w:p w14:paraId="5B443079" w14:textId="77777777" w:rsidR="00EE3EF2" w:rsidRPr="00EE3EF2" w:rsidRDefault="00EE3EF2" w:rsidP="00EE3EF2">
      <w:pPr>
        <w:numPr>
          <w:ilvl w:val="0"/>
          <w:numId w:val="12"/>
        </w:numPr>
        <w:jc w:val="both"/>
        <w:rPr>
          <w:rFonts w:ascii="Times New Roman" w:hAnsi="Times New Roman" w:cs="Times New Roman"/>
        </w:rPr>
      </w:pPr>
      <w:r w:rsidRPr="00EE3EF2">
        <w:rPr>
          <w:rFonts w:ascii="Times New Roman" w:hAnsi="Times New Roman" w:cs="Times New Roman"/>
        </w:rPr>
        <w:t>A handful of items (identifiers: 10001, 100107, 100550, 100600, 100615, 100616, 100700, 100900, 100901, 100910) each contribute between 10M and 15M units of Resultant forecast — making them the Top 10 by volume</w:t>
      </w:r>
    </w:p>
    <w:p w14:paraId="6204844C" w14:textId="77777777" w:rsidR="00EE3EF2" w:rsidRPr="00EE3EF2" w:rsidRDefault="00EE3EF2" w:rsidP="00EE3EF2">
      <w:pPr>
        <w:numPr>
          <w:ilvl w:val="0"/>
          <w:numId w:val="12"/>
        </w:numPr>
        <w:jc w:val="both"/>
        <w:rPr>
          <w:rFonts w:ascii="Times New Roman" w:hAnsi="Times New Roman" w:cs="Times New Roman"/>
        </w:rPr>
      </w:pPr>
      <w:r w:rsidRPr="00EE3EF2">
        <w:rPr>
          <w:rFonts w:ascii="Times New Roman" w:hAnsi="Times New Roman" w:cs="Times New Roman"/>
        </w:rPr>
        <w:lastRenderedPageBreak/>
        <w:t>The cumulative Pareto curve shows the classic 80/20 shape: a small percentage of items account for the majority of total forecast volume</w:t>
      </w:r>
    </w:p>
    <w:p w14:paraId="6254387D"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b/>
          <w:bCs/>
        </w:rPr>
        <w:t>Strategic implication:</w:t>
      </w:r>
      <w:r w:rsidRPr="00EE3EF2">
        <w:rPr>
          <w:rFonts w:ascii="Times New Roman" w:hAnsi="Times New Roman" w:cs="Times New Roman"/>
        </w:rPr>
        <w:t xml:space="preserve"> The organisation should apply differentiated forecasting strategies by tier:</w:t>
      </w:r>
    </w:p>
    <w:p w14:paraId="54080E4B" w14:textId="77777777" w:rsidR="00EE3EF2" w:rsidRPr="00EE3EF2" w:rsidRDefault="00EE3EF2" w:rsidP="00EE3EF2">
      <w:pPr>
        <w:numPr>
          <w:ilvl w:val="0"/>
          <w:numId w:val="13"/>
        </w:numPr>
        <w:jc w:val="both"/>
        <w:rPr>
          <w:rFonts w:ascii="Times New Roman" w:hAnsi="Times New Roman" w:cs="Times New Roman"/>
        </w:rPr>
      </w:pPr>
      <w:r w:rsidRPr="00EE3EF2">
        <w:rPr>
          <w:rFonts w:ascii="Times New Roman" w:hAnsi="Times New Roman" w:cs="Times New Roman"/>
          <w:b/>
          <w:bCs/>
        </w:rPr>
        <w:t>A-items (top volume):</w:t>
      </w:r>
      <w:r w:rsidRPr="00EE3EF2">
        <w:rPr>
          <w:rFonts w:ascii="Times New Roman" w:hAnsi="Times New Roman" w:cs="Times New Roman"/>
        </w:rPr>
        <w:t xml:space="preserve"> Statistical demand sensing + machine learning + collaborative planning with customers</w:t>
      </w:r>
    </w:p>
    <w:p w14:paraId="541928E3" w14:textId="77777777" w:rsidR="00EE3EF2" w:rsidRPr="00EE3EF2" w:rsidRDefault="00EE3EF2" w:rsidP="00EE3EF2">
      <w:pPr>
        <w:numPr>
          <w:ilvl w:val="0"/>
          <w:numId w:val="13"/>
        </w:numPr>
        <w:jc w:val="both"/>
        <w:rPr>
          <w:rFonts w:ascii="Times New Roman" w:hAnsi="Times New Roman" w:cs="Times New Roman"/>
        </w:rPr>
      </w:pPr>
      <w:r w:rsidRPr="00EE3EF2">
        <w:rPr>
          <w:rFonts w:ascii="Times New Roman" w:hAnsi="Times New Roman" w:cs="Times New Roman"/>
          <w:b/>
          <w:bCs/>
        </w:rPr>
        <w:t>B-items (mid volume):</w:t>
      </w:r>
      <w:r w:rsidRPr="00EE3EF2">
        <w:rPr>
          <w:rFonts w:ascii="Times New Roman" w:hAnsi="Times New Roman" w:cs="Times New Roman"/>
        </w:rPr>
        <w:t xml:space="preserve"> Standard statistical time-series models</w:t>
      </w:r>
    </w:p>
    <w:p w14:paraId="64427DE8" w14:textId="77777777" w:rsidR="00EE3EF2" w:rsidRPr="00EE3EF2" w:rsidRDefault="00EE3EF2" w:rsidP="00EE3EF2">
      <w:pPr>
        <w:numPr>
          <w:ilvl w:val="0"/>
          <w:numId w:val="13"/>
        </w:numPr>
        <w:jc w:val="both"/>
        <w:rPr>
          <w:rFonts w:ascii="Times New Roman" w:hAnsi="Times New Roman" w:cs="Times New Roman"/>
        </w:rPr>
      </w:pPr>
      <w:r w:rsidRPr="00EE3EF2">
        <w:rPr>
          <w:rFonts w:ascii="Times New Roman" w:hAnsi="Times New Roman" w:cs="Times New Roman"/>
          <w:b/>
          <w:bCs/>
        </w:rPr>
        <w:t>C-items (tail volume):</w:t>
      </w:r>
      <w:r w:rsidRPr="00EE3EF2">
        <w:rPr>
          <w:rFonts w:ascii="Times New Roman" w:hAnsi="Times New Roman" w:cs="Times New Roman"/>
        </w:rPr>
        <w:t xml:space="preserve"> Simple moving averages or historical median — over-investing in these SKUs wastes planning resources</w:t>
      </w:r>
    </w:p>
    <w:p w14:paraId="65E50745"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8.11 Country × Period Revenue Heatmap</w:t>
      </w:r>
    </w:p>
    <w:p w14:paraId="1E54C1AD"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A heatmap of Revenue Forecast by Country (rows) and Period (columns, chronologically ordered using sort key logic) reveals:</w:t>
      </w:r>
    </w:p>
    <w:p w14:paraId="3496DAFF" w14:textId="77777777" w:rsidR="00EE3EF2" w:rsidRPr="00EE3EF2" w:rsidRDefault="00EE3EF2" w:rsidP="00EE3EF2">
      <w:pPr>
        <w:numPr>
          <w:ilvl w:val="0"/>
          <w:numId w:val="14"/>
        </w:numPr>
        <w:jc w:val="both"/>
        <w:rPr>
          <w:rFonts w:ascii="Times New Roman" w:hAnsi="Times New Roman" w:cs="Times New Roman"/>
        </w:rPr>
      </w:pPr>
      <w:r w:rsidRPr="00EE3EF2">
        <w:rPr>
          <w:rFonts w:ascii="Times New Roman" w:hAnsi="Times New Roman" w:cs="Times New Roman"/>
        </w:rPr>
        <w:t>Country A shows consistently high values across all periods</w:t>
      </w:r>
    </w:p>
    <w:p w14:paraId="1A5C379D" w14:textId="77777777" w:rsidR="00EE3EF2" w:rsidRPr="00EE3EF2" w:rsidRDefault="00EE3EF2" w:rsidP="00EE3EF2">
      <w:pPr>
        <w:numPr>
          <w:ilvl w:val="0"/>
          <w:numId w:val="14"/>
        </w:numPr>
        <w:jc w:val="both"/>
        <w:rPr>
          <w:rFonts w:ascii="Times New Roman" w:hAnsi="Times New Roman" w:cs="Times New Roman"/>
        </w:rPr>
      </w:pPr>
      <w:r w:rsidRPr="00EE3EF2">
        <w:rPr>
          <w:rFonts w:ascii="Times New Roman" w:hAnsi="Times New Roman" w:cs="Times New Roman"/>
        </w:rPr>
        <w:t>Country A has a peak period followed by gradual decline into 2024 periods</w:t>
      </w:r>
    </w:p>
    <w:p w14:paraId="5ECE46BE" w14:textId="77777777" w:rsidR="00EE3EF2" w:rsidRPr="00EE3EF2" w:rsidRDefault="00EE3EF2" w:rsidP="00EE3EF2">
      <w:pPr>
        <w:numPr>
          <w:ilvl w:val="0"/>
          <w:numId w:val="14"/>
        </w:numPr>
        <w:jc w:val="both"/>
        <w:rPr>
          <w:rFonts w:ascii="Times New Roman" w:hAnsi="Times New Roman" w:cs="Times New Roman"/>
        </w:rPr>
      </w:pPr>
      <w:r w:rsidRPr="00EE3EF2">
        <w:rPr>
          <w:rFonts w:ascii="Times New Roman" w:hAnsi="Times New Roman" w:cs="Times New Roman"/>
        </w:rPr>
        <w:t>Countries B, C, D show more concentrated demand in specific periods with near-zero values in others</w:t>
      </w:r>
    </w:p>
    <w:p w14:paraId="2A7CD685" w14:textId="77777777" w:rsidR="00EE3EF2" w:rsidRPr="00EE3EF2" w:rsidRDefault="00EE3EF2" w:rsidP="00EE3EF2">
      <w:pPr>
        <w:numPr>
          <w:ilvl w:val="0"/>
          <w:numId w:val="14"/>
        </w:numPr>
        <w:jc w:val="both"/>
        <w:rPr>
          <w:rFonts w:ascii="Times New Roman" w:hAnsi="Times New Roman" w:cs="Times New Roman"/>
        </w:rPr>
      </w:pPr>
      <w:r w:rsidRPr="00EE3EF2">
        <w:rPr>
          <w:rFonts w:ascii="Times New Roman" w:hAnsi="Times New Roman" w:cs="Times New Roman"/>
        </w:rPr>
        <w:t>This pattern suggests significant seasonal concentration in B, C, D that should inform safety stock and production planning decisions</w:t>
      </w:r>
    </w:p>
    <w:p w14:paraId="123E6A96"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8.12 Forecast Revision Analysis (Lag Delta)</w:t>
      </w:r>
    </w:p>
    <w:p w14:paraId="7F8BADCB"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The distribution of forecast revisions (Resultant − Lag 0 and Lag 0 − Lag 1) was computed for all matched rows:</w:t>
      </w:r>
    </w:p>
    <w:p w14:paraId="2C973284" w14:textId="77777777" w:rsidR="00EE3EF2" w:rsidRPr="00EE3EF2" w:rsidRDefault="00EE3EF2" w:rsidP="00EE3EF2">
      <w:pPr>
        <w:numPr>
          <w:ilvl w:val="0"/>
          <w:numId w:val="15"/>
        </w:numPr>
        <w:jc w:val="both"/>
        <w:rPr>
          <w:rFonts w:ascii="Times New Roman" w:hAnsi="Times New Roman" w:cs="Times New Roman"/>
        </w:rPr>
      </w:pPr>
      <w:r w:rsidRPr="00EE3EF2">
        <w:rPr>
          <w:rFonts w:ascii="Times New Roman" w:hAnsi="Times New Roman" w:cs="Times New Roman"/>
        </w:rPr>
        <w:t>Both revision distributions are centred near zero but with a positive mean — confirming upward revision is more common than downward</w:t>
      </w:r>
    </w:p>
    <w:p w14:paraId="3F79CFD7" w14:textId="77777777" w:rsidR="00EE3EF2" w:rsidRPr="00EE3EF2" w:rsidRDefault="00EE3EF2" w:rsidP="00EE3EF2">
      <w:pPr>
        <w:numPr>
          <w:ilvl w:val="0"/>
          <w:numId w:val="15"/>
        </w:numPr>
        <w:jc w:val="both"/>
        <w:rPr>
          <w:rFonts w:ascii="Times New Roman" w:hAnsi="Times New Roman" w:cs="Times New Roman"/>
        </w:rPr>
      </w:pPr>
      <w:r w:rsidRPr="00EE3EF2">
        <w:rPr>
          <w:rFonts w:ascii="Times New Roman" w:hAnsi="Times New Roman" w:cs="Times New Roman"/>
        </w:rPr>
        <w:t>Positive revision (forecast raised) outnumbers negative revision (forecast lowered)</w:t>
      </w:r>
    </w:p>
    <w:p w14:paraId="3F27356F" w14:textId="77777777" w:rsidR="00EE3EF2" w:rsidRPr="00EE3EF2" w:rsidRDefault="00EE3EF2" w:rsidP="00EE3EF2">
      <w:pPr>
        <w:numPr>
          <w:ilvl w:val="0"/>
          <w:numId w:val="15"/>
        </w:numPr>
        <w:jc w:val="both"/>
        <w:rPr>
          <w:rFonts w:ascii="Times New Roman" w:hAnsi="Times New Roman" w:cs="Times New Roman"/>
        </w:rPr>
      </w:pPr>
      <w:r w:rsidRPr="00EE3EF2">
        <w:rPr>
          <w:rFonts w:ascii="Times New Roman" w:hAnsi="Times New Roman" w:cs="Times New Roman"/>
        </w:rPr>
        <w:t>By country: Country A shows the largest average positive revision magnitude — the team was most aggressively raising Country A forecasts between snapshots</w:t>
      </w:r>
    </w:p>
    <w:p w14:paraId="5E39C45B"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b/>
          <w:bCs/>
        </w:rPr>
        <w:t>Interpretation for supply planning:</w:t>
      </w:r>
      <w:r w:rsidRPr="00EE3EF2">
        <w:rPr>
          <w:rFonts w:ascii="Times New Roman" w:hAnsi="Times New Roman" w:cs="Times New Roman"/>
        </w:rPr>
        <w:t xml:space="preserve"> Because forecasts are systematically raised late in the review cycle, early-stage procurement decisions based on Lag 1 will consistently under-supply. Safety stock policies should account for this known revision pattern.</w:t>
      </w:r>
    </w:p>
    <w:p w14:paraId="692EB983"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8.13 Actual Revenue Distribution Analysis</w:t>
      </w:r>
    </w:p>
    <w:p w14:paraId="408FCA5B"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A four-panel deep-dive on actual revenue showed:</w:t>
      </w:r>
    </w:p>
    <w:p w14:paraId="6752D0E2" w14:textId="77777777" w:rsidR="00EE3EF2" w:rsidRPr="00EE3EF2" w:rsidRDefault="00EE3EF2" w:rsidP="00EE3EF2">
      <w:pPr>
        <w:numPr>
          <w:ilvl w:val="0"/>
          <w:numId w:val="16"/>
        </w:numPr>
        <w:jc w:val="both"/>
        <w:rPr>
          <w:rFonts w:ascii="Times New Roman" w:hAnsi="Times New Roman" w:cs="Times New Roman"/>
        </w:rPr>
      </w:pPr>
      <w:r w:rsidRPr="00EE3EF2">
        <w:rPr>
          <w:rFonts w:ascii="Times New Roman" w:hAnsi="Times New Roman" w:cs="Times New Roman"/>
        </w:rPr>
        <w:t>The distribution is right-skewed, with most items having low actual quantities and a few items having very high actual quantities</w:t>
      </w:r>
    </w:p>
    <w:p w14:paraId="6F246768" w14:textId="77777777" w:rsidR="00EE3EF2" w:rsidRPr="00EE3EF2" w:rsidRDefault="00EE3EF2" w:rsidP="00EE3EF2">
      <w:pPr>
        <w:numPr>
          <w:ilvl w:val="0"/>
          <w:numId w:val="16"/>
        </w:numPr>
        <w:jc w:val="both"/>
        <w:rPr>
          <w:rFonts w:ascii="Times New Roman" w:hAnsi="Times New Roman" w:cs="Times New Roman"/>
        </w:rPr>
      </w:pPr>
      <w:r w:rsidRPr="00EE3EF2">
        <w:rPr>
          <w:rFonts w:ascii="Times New Roman" w:hAnsi="Times New Roman" w:cs="Times New Roman"/>
        </w:rPr>
        <w:t>Country A has the highest total actual revenue, consistent with its forecast dominance</w:t>
      </w:r>
    </w:p>
    <w:p w14:paraId="62A003E7" w14:textId="77777777" w:rsidR="00EE3EF2" w:rsidRPr="00EE3EF2" w:rsidRDefault="00EE3EF2" w:rsidP="00EE3EF2">
      <w:pPr>
        <w:numPr>
          <w:ilvl w:val="0"/>
          <w:numId w:val="16"/>
        </w:numPr>
        <w:jc w:val="both"/>
        <w:rPr>
          <w:rFonts w:ascii="Times New Roman" w:hAnsi="Times New Roman" w:cs="Times New Roman"/>
        </w:rPr>
      </w:pPr>
      <w:r w:rsidRPr="00EE3EF2">
        <w:rPr>
          <w:rFonts w:ascii="Times New Roman" w:hAnsi="Times New Roman" w:cs="Times New Roman"/>
        </w:rPr>
        <w:t>Period-level actual revenue shows variation across 2023 P10 – 2024 P12</w:t>
      </w:r>
    </w:p>
    <w:p w14:paraId="2FC2B054" w14:textId="77777777" w:rsidR="00EE3EF2" w:rsidRPr="00EE3EF2" w:rsidRDefault="00EE3EF2" w:rsidP="00EE3EF2">
      <w:pPr>
        <w:numPr>
          <w:ilvl w:val="0"/>
          <w:numId w:val="16"/>
        </w:numPr>
        <w:jc w:val="both"/>
        <w:rPr>
          <w:rFonts w:ascii="Times New Roman" w:hAnsi="Times New Roman" w:cs="Times New Roman"/>
        </w:rPr>
      </w:pPr>
      <w:r w:rsidRPr="00EE3EF2">
        <w:rPr>
          <w:rFonts w:ascii="Times New Roman" w:hAnsi="Times New Roman" w:cs="Times New Roman"/>
        </w:rPr>
        <w:t>Boxplot by country shows Country A has the widest IQR — most spread in actual outcomes — while Countries C and D are more concentrated</w:t>
      </w:r>
    </w:p>
    <w:p w14:paraId="5AF34036" w14:textId="77777777" w:rsidR="00EE3EF2" w:rsidRPr="00EE3EF2" w:rsidRDefault="00EE3EF2" w:rsidP="00EE3EF2">
      <w:pPr>
        <w:jc w:val="both"/>
        <w:rPr>
          <w:rFonts w:ascii="Times New Roman" w:hAnsi="Times New Roman" w:cs="Times New Roman"/>
          <w:b/>
          <w:bCs/>
        </w:rPr>
      </w:pPr>
      <w:r w:rsidRPr="00EE3EF2">
        <w:rPr>
          <w:rFonts w:ascii="Times New Roman" w:hAnsi="Times New Roman" w:cs="Times New Roman"/>
          <w:b/>
          <w:bCs/>
        </w:rPr>
        <w:t>8.14 Forecast Accuracy Heatmap by Country &amp; Period</w:t>
      </w:r>
    </w:p>
    <w:p w14:paraId="40F32C36" w14:textId="77777777" w:rsidR="00EE3EF2" w:rsidRPr="00EE3EF2" w:rsidRDefault="00EE3EF2" w:rsidP="00EE3EF2">
      <w:pPr>
        <w:jc w:val="both"/>
        <w:rPr>
          <w:rFonts w:ascii="Times New Roman" w:hAnsi="Times New Roman" w:cs="Times New Roman"/>
        </w:rPr>
      </w:pPr>
      <w:r w:rsidRPr="00EE3EF2">
        <w:rPr>
          <w:rFonts w:ascii="Times New Roman" w:hAnsi="Times New Roman" w:cs="Times New Roman"/>
        </w:rPr>
        <w:t>The accuracy heatmap (RdYlGn colour scale, 0% to 100%) across Country × Period shows:</w:t>
      </w:r>
    </w:p>
    <w:p w14:paraId="4BF3F03A" w14:textId="77777777" w:rsidR="00EE3EF2" w:rsidRPr="00EE3EF2" w:rsidRDefault="00EE3EF2" w:rsidP="00EE3EF2">
      <w:pPr>
        <w:numPr>
          <w:ilvl w:val="0"/>
          <w:numId w:val="17"/>
        </w:numPr>
        <w:jc w:val="both"/>
        <w:rPr>
          <w:rFonts w:ascii="Times New Roman" w:hAnsi="Times New Roman" w:cs="Times New Roman"/>
        </w:rPr>
      </w:pPr>
      <w:r w:rsidRPr="00EE3EF2">
        <w:rPr>
          <w:rFonts w:ascii="Times New Roman" w:hAnsi="Times New Roman" w:cs="Times New Roman"/>
        </w:rPr>
        <w:t>Green cells (accurate periods) are sparse — most cells are yellow-to-red</w:t>
      </w:r>
    </w:p>
    <w:p w14:paraId="6853CE63" w14:textId="77777777" w:rsidR="00EE3EF2" w:rsidRPr="00EE3EF2" w:rsidRDefault="00EE3EF2" w:rsidP="00EE3EF2">
      <w:pPr>
        <w:numPr>
          <w:ilvl w:val="0"/>
          <w:numId w:val="17"/>
        </w:numPr>
        <w:jc w:val="both"/>
        <w:rPr>
          <w:rFonts w:ascii="Times New Roman" w:hAnsi="Times New Roman" w:cs="Times New Roman"/>
        </w:rPr>
      </w:pPr>
      <w:r w:rsidRPr="00EE3EF2">
        <w:rPr>
          <w:rFonts w:ascii="Times New Roman" w:hAnsi="Times New Roman" w:cs="Times New Roman"/>
        </w:rPr>
        <w:t>No country maintains consistent green across all periods</w:t>
      </w:r>
    </w:p>
    <w:p w14:paraId="7221ACB0" w14:textId="77777777" w:rsidR="00EE3EF2" w:rsidRPr="00EE3EF2" w:rsidRDefault="00EE3EF2" w:rsidP="00EE3EF2">
      <w:pPr>
        <w:numPr>
          <w:ilvl w:val="0"/>
          <w:numId w:val="17"/>
        </w:numPr>
        <w:jc w:val="both"/>
        <w:rPr>
          <w:rFonts w:ascii="Times New Roman" w:hAnsi="Times New Roman" w:cs="Times New Roman"/>
        </w:rPr>
      </w:pPr>
      <w:r w:rsidRPr="00EE3EF2">
        <w:rPr>
          <w:rFonts w:ascii="Times New Roman" w:hAnsi="Times New Roman" w:cs="Times New Roman"/>
        </w:rPr>
        <w:t>Country C performs most consistently in the green range</w:t>
      </w:r>
    </w:p>
    <w:p w14:paraId="10EADE64" w14:textId="77777777" w:rsidR="00EE3EF2" w:rsidRPr="00EE3EF2" w:rsidRDefault="00EE3EF2" w:rsidP="00EE3EF2">
      <w:pPr>
        <w:numPr>
          <w:ilvl w:val="0"/>
          <w:numId w:val="17"/>
        </w:numPr>
        <w:jc w:val="both"/>
        <w:rPr>
          <w:rFonts w:ascii="Times New Roman" w:hAnsi="Times New Roman" w:cs="Times New Roman"/>
        </w:rPr>
      </w:pPr>
      <w:r w:rsidRPr="00EE3EF2">
        <w:rPr>
          <w:rFonts w:ascii="Times New Roman" w:hAnsi="Times New Roman" w:cs="Times New Roman"/>
        </w:rPr>
        <w:lastRenderedPageBreak/>
        <w:t>Country A, despite dominating volume, shows predominantly low accuracy — red to yellow across most periods</w:t>
      </w:r>
    </w:p>
    <w:p w14:paraId="1D625EF3" w14:textId="77777777" w:rsidR="00EE3EF2" w:rsidRPr="00EE3EF2" w:rsidRDefault="00EE3EF2" w:rsidP="00EE3EF2">
      <w:pPr>
        <w:numPr>
          <w:ilvl w:val="0"/>
          <w:numId w:val="17"/>
        </w:numPr>
        <w:jc w:val="both"/>
        <w:rPr>
          <w:rFonts w:ascii="Times New Roman" w:hAnsi="Times New Roman" w:cs="Times New Roman"/>
        </w:rPr>
      </w:pPr>
      <w:r w:rsidRPr="00EE3EF2">
        <w:rPr>
          <w:rFonts w:ascii="Times New Roman" w:hAnsi="Times New Roman" w:cs="Times New Roman"/>
        </w:rPr>
        <w:t>The pattern reveals no seasonal improvement in accuracy — there is no period cluster where accuracy was systematically better, suggesting the inaccuracy is structural rather than seasonal</w:t>
      </w:r>
    </w:p>
    <w:p w14:paraId="19A37848" w14:textId="6E7CFB39" w:rsidR="00EE3EF2" w:rsidRPr="00EE3EF2" w:rsidRDefault="00EE3EF2" w:rsidP="00EE3EF2">
      <w:pPr>
        <w:rPr>
          <w:rFonts w:ascii="Times New Roman" w:hAnsi="Times New Roman" w:cs="Times New Roman"/>
        </w:rPr>
      </w:pPr>
      <w:r>
        <w:rPr>
          <w:rFonts w:ascii="Times New Roman" w:hAnsi="Times New Roman" w:cs="Times New Roman"/>
        </w:rPr>
        <w:br w:type="page"/>
      </w:r>
      <w:r w:rsidRPr="00EE3EF2">
        <w:rPr>
          <w:b/>
          <w:bCs/>
          <w:sz w:val="28"/>
          <w:szCs w:val="28"/>
        </w:rPr>
        <w:lastRenderedPageBreak/>
        <w:t xml:space="preserve">SECTION 9 </w:t>
      </w:r>
      <w:r>
        <w:rPr>
          <w:b/>
          <w:bCs/>
          <w:sz w:val="28"/>
          <w:szCs w:val="28"/>
        </w:rPr>
        <w:t>:</w:t>
      </w:r>
      <w:r w:rsidRPr="00EE3EF2">
        <w:rPr>
          <w:b/>
          <w:bCs/>
          <w:sz w:val="28"/>
          <w:szCs w:val="28"/>
        </w:rPr>
        <w:t xml:space="preserve"> KPI RESULTS</w:t>
      </w:r>
    </w:p>
    <w:p w14:paraId="2F4A115D" w14:textId="77777777" w:rsidR="00EE3EF2" w:rsidRPr="00EE3EF2" w:rsidRDefault="00EE3EF2" w:rsidP="00EE3EF2">
      <w:pPr>
        <w:rPr>
          <w:b/>
          <w:bCs/>
          <w:sz w:val="24"/>
          <w:szCs w:val="24"/>
        </w:rPr>
      </w:pPr>
      <w:r w:rsidRPr="00EE3EF2">
        <w:rPr>
          <w:b/>
          <w:bCs/>
          <w:sz w:val="24"/>
          <w:szCs w:val="24"/>
        </w:rPr>
        <w:t>Overall KPIs (computed from matched rows with non-zero actuals)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1706"/>
        <w:gridCol w:w="1902"/>
        <w:gridCol w:w="3362"/>
      </w:tblGrid>
      <w:tr w:rsidR="00EE3EF2" w:rsidRPr="00EE3EF2" w14:paraId="442C0E50" w14:textId="77777777">
        <w:trPr>
          <w:tblHeader/>
          <w:tblCellSpacing w:w="15" w:type="dxa"/>
        </w:trPr>
        <w:tc>
          <w:tcPr>
            <w:tcW w:w="0" w:type="auto"/>
            <w:vAlign w:val="center"/>
            <w:hideMark/>
          </w:tcPr>
          <w:p w14:paraId="4788E0E5" w14:textId="77777777" w:rsidR="00EE3EF2" w:rsidRPr="00EE3EF2" w:rsidRDefault="00EE3EF2" w:rsidP="00EE3EF2">
            <w:pPr>
              <w:rPr>
                <w:b/>
                <w:bCs/>
              </w:rPr>
            </w:pPr>
            <w:r w:rsidRPr="00EE3EF2">
              <w:rPr>
                <w:b/>
                <w:bCs/>
              </w:rPr>
              <w:t>KPI</w:t>
            </w:r>
          </w:p>
        </w:tc>
        <w:tc>
          <w:tcPr>
            <w:tcW w:w="0" w:type="auto"/>
            <w:vAlign w:val="center"/>
            <w:hideMark/>
          </w:tcPr>
          <w:p w14:paraId="69288F4D" w14:textId="77777777" w:rsidR="00EE3EF2" w:rsidRPr="00EE3EF2" w:rsidRDefault="00EE3EF2" w:rsidP="00EE3EF2">
            <w:pPr>
              <w:rPr>
                <w:b/>
                <w:bCs/>
              </w:rPr>
            </w:pPr>
            <w:r w:rsidRPr="00EE3EF2">
              <w:rPr>
                <w:b/>
                <w:bCs/>
              </w:rPr>
              <w:t>Value</w:t>
            </w:r>
          </w:p>
        </w:tc>
        <w:tc>
          <w:tcPr>
            <w:tcW w:w="0" w:type="auto"/>
            <w:vAlign w:val="center"/>
            <w:hideMark/>
          </w:tcPr>
          <w:p w14:paraId="540E5C35" w14:textId="77777777" w:rsidR="00EE3EF2" w:rsidRPr="00EE3EF2" w:rsidRDefault="00EE3EF2" w:rsidP="00EE3EF2">
            <w:pPr>
              <w:rPr>
                <w:b/>
                <w:bCs/>
              </w:rPr>
            </w:pPr>
            <w:r w:rsidRPr="00EE3EF2">
              <w:rPr>
                <w:b/>
                <w:bCs/>
              </w:rPr>
              <w:t>Industry Benchmark</w:t>
            </w:r>
          </w:p>
        </w:tc>
        <w:tc>
          <w:tcPr>
            <w:tcW w:w="0" w:type="auto"/>
            <w:vAlign w:val="center"/>
            <w:hideMark/>
          </w:tcPr>
          <w:p w14:paraId="45F431EC" w14:textId="77777777" w:rsidR="00EE3EF2" w:rsidRPr="00EE3EF2" w:rsidRDefault="00EE3EF2" w:rsidP="00EE3EF2">
            <w:pPr>
              <w:rPr>
                <w:b/>
                <w:bCs/>
              </w:rPr>
            </w:pPr>
            <w:r w:rsidRPr="00EE3EF2">
              <w:rPr>
                <w:b/>
                <w:bCs/>
              </w:rPr>
              <w:t>Status</w:t>
            </w:r>
          </w:p>
        </w:tc>
      </w:tr>
      <w:tr w:rsidR="00EE3EF2" w:rsidRPr="00EE3EF2" w14:paraId="00501EF0" w14:textId="77777777">
        <w:trPr>
          <w:tblCellSpacing w:w="15" w:type="dxa"/>
        </w:trPr>
        <w:tc>
          <w:tcPr>
            <w:tcW w:w="0" w:type="auto"/>
            <w:vAlign w:val="center"/>
            <w:hideMark/>
          </w:tcPr>
          <w:p w14:paraId="692DFC42" w14:textId="77777777" w:rsidR="00EE3EF2" w:rsidRPr="00EE3EF2" w:rsidRDefault="00EE3EF2" w:rsidP="00EE3EF2">
            <w:r w:rsidRPr="00EE3EF2">
              <w:t>Forecast Accuracy — Lag 0</w:t>
            </w:r>
          </w:p>
        </w:tc>
        <w:tc>
          <w:tcPr>
            <w:tcW w:w="0" w:type="auto"/>
            <w:vAlign w:val="center"/>
            <w:hideMark/>
          </w:tcPr>
          <w:p w14:paraId="24337114" w14:textId="77777777" w:rsidR="00EE3EF2" w:rsidRPr="00EE3EF2" w:rsidRDefault="00EE3EF2" w:rsidP="00EE3EF2">
            <w:r w:rsidRPr="00EE3EF2">
              <w:rPr>
                <w:b/>
                <w:bCs/>
              </w:rPr>
              <w:t>57.0%</w:t>
            </w:r>
          </w:p>
        </w:tc>
        <w:tc>
          <w:tcPr>
            <w:tcW w:w="0" w:type="auto"/>
            <w:vAlign w:val="center"/>
            <w:hideMark/>
          </w:tcPr>
          <w:p w14:paraId="6485E4D4" w14:textId="77777777" w:rsidR="00EE3EF2" w:rsidRPr="00EE3EF2" w:rsidRDefault="00EE3EF2" w:rsidP="00EE3EF2">
            <w:r w:rsidRPr="00EE3EF2">
              <w:t>≥ 80%</w:t>
            </w:r>
          </w:p>
        </w:tc>
        <w:tc>
          <w:tcPr>
            <w:tcW w:w="0" w:type="auto"/>
            <w:vAlign w:val="center"/>
            <w:hideMark/>
          </w:tcPr>
          <w:p w14:paraId="7FA88DAD" w14:textId="77777777" w:rsidR="00EE3EF2" w:rsidRPr="00EE3EF2" w:rsidRDefault="00EE3EF2" w:rsidP="00EE3EF2">
            <w:r w:rsidRPr="00EE3EF2">
              <w:t>Below target</w:t>
            </w:r>
          </w:p>
        </w:tc>
      </w:tr>
      <w:tr w:rsidR="00EE3EF2" w:rsidRPr="00EE3EF2" w14:paraId="043631CF" w14:textId="77777777">
        <w:trPr>
          <w:tblCellSpacing w:w="15" w:type="dxa"/>
        </w:trPr>
        <w:tc>
          <w:tcPr>
            <w:tcW w:w="0" w:type="auto"/>
            <w:vAlign w:val="center"/>
            <w:hideMark/>
          </w:tcPr>
          <w:p w14:paraId="1CBF7EAF" w14:textId="77777777" w:rsidR="00EE3EF2" w:rsidRPr="00EE3EF2" w:rsidRDefault="00EE3EF2" w:rsidP="00EE3EF2">
            <w:r w:rsidRPr="00EE3EF2">
              <w:t>Forecast Accuracy — Lag 1</w:t>
            </w:r>
          </w:p>
        </w:tc>
        <w:tc>
          <w:tcPr>
            <w:tcW w:w="0" w:type="auto"/>
            <w:vAlign w:val="center"/>
            <w:hideMark/>
          </w:tcPr>
          <w:p w14:paraId="796BBA77" w14:textId="77777777" w:rsidR="00EE3EF2" w:rsidRPr="00EE3EF2" w:rsidRDefault="00EE3EF2" w:rsidP="00EE3EF2">
            <w:r w:rsidRPr="00EE3EF2">
              <w:rPr>
                <w:b/>
                <w:bCs/>
              </w:rPr>
              <w:t>40.9%</w:t>
            </w:r>
          </w:p>
        </w:tc>
        <w:tc>
          <w:tcPr>
            <w:tcW w:w="0" w:type="auto"/>
            <w:vAlign w:val="center"/>
            <w:hideMark/>
          </w:tcPr>
          <w:p w14:paraId="34DD6CFA" w14:textId="77777777" w:rsidR="00EE3EF2" w:rsidRPr="00EE3EF2" w:rsidRDefault="00EE3EF2" w:rsidP="00EE3EF2">
            <w:r w:rsidRPr="00EE3EF2">
              <w:t>≥ 80%</w:t>
            </w:r>
          </w:p>
        </w:tc>
        <w:tc>
          <w:tcPr>
            <w:tcW w:w="0" w:type="auto"/>
            <w:vAlign w:val="center"/>
            <w:hideMark/>
          </w:tcPr>
          <w:p w14:paraId="2DAA9581" w14:textId="77777777" w:rsidR="00EE3EF2" w:rsidRPr="00EE3EF2" w:rsidRDefault="00EE3EF2" w:rsidP="00EE3EF2">
            <w:r w:rsidRPr="00EE3EF2">
              <w:t>Significantly below target</w:t>
            </w:r>
          </w:p>
        </w:tc>
      </w:tr>
      <w:tr w:rsidR="00EE3EF2" w:rsidRPr="00EE3EF2" w14:paraId="2F21A6FA" w14:textId="77777777">
        <w:trPr>
          <w:tblCellSpacing w:w="15" w:type="dxa"/>
        </w:trPr>
        <w:tc>
          <w:tcPr>
            <w:tcW w:w="0" w:type="auto"/>
            <w:vAlign w:val="center"/>
            <w:hideMark/>
          </w:tcPr>
          <w:p w14:paraId="2E2191AA" w14:textId="77777777" w:rsidR="00EE3EF2" w:rsidRPr="00EE3EF2" w:rsidRDefault="00EE3EF2" w:rsidP="00EE3EF2">
            <w:r w:rsidRPr="00EE3EF2">
              <w:t>Forecast Bias — Lag 0</w:t>
            </w:r>
          </w:p>
        </w:tc>
        <w:tc>
          <w:tcPr>
            <w:tcW w:w="0" w:type="auto"/>
            <w:vAlign w:val="center"/>
            <w:hideMark/>
          </w:tcPr>
          <w:p w14:paraId="58DDFAD3" w14:textId="77777777" w:rsidR="00EE3EF2" w:rsidRPr="00EE3EF2" w:rsidRDefault="00EE3EF2" w:rsidP="00EE3EF2">
            <w:r w:rsidRPr="00EE3EF2">
              <w:rPr>
                <w:b/>
                <w:bCs/>
              </w:rPr>
              <w:t>−43.0%</w:t>
            </w:r>
          </w:p>
        </w:tc>
        <w:tc>
          <w:tcPr>
            <w:tcW w:w="0" w:type="auto"/>
            <w:vAlign w:val="center"/>
            <w:hideMark/>
          </w:tcPr>
          <w:p w14:paraId="56EC6936" w14:textId="77777777" w:rsidR="00EE3EF2" w:rsidRPr="00EE3EF2" w:rsidRDefault="00EE3EF2" w:rsidP="00EE3EF2">
            <w:r w:rsidRPr="00EE3EF2">
              <w:t>0%</w:t>
            </w:r>
          </w:p>
        </w:tc>
        <w:tc>
          <w:tcPr>
            <w:tcW w:w="0" w:type="auto"/>
            <w:vAlign w:val="center"/>
            <w:hideMark/>
          </w:tcPr>
          <w:p w14:paraId="468D206C" w14:textId="77777777" w:rsidR="00EE3EF2" w:rsidRPr="00EE3EF2" w:rsidRDefault="00EE3EF2" w:rsidP="00EE3EF2">
            <w:r w:rsidRPr="00EE3EF2">
              <w:t>Chronic under-forecast</w:t>
            </w:r>
          </w:p>
        </w:tc>
      </w:tr>
      <w:tr w:rsidR="00EE3EF2" w:rsidRPr="00EE3EF2" w14:paraId="0A6A1E4B" w14:textId="77777777">
        <w:trPr>
          <w:tblCellSpacing w:w="15" w:type="dxa"/>
        </w:trPr>
        <w:tc>
          <w:tcPr>
            <w:tcW w:w="0" w:type="auto"/>
            <w:vAlign w:val="center"/>
            <w:hideMark/>
          </w:tcPr>
          <w:p w14:paraId="390F9332" w14:textId="77777777" w:rsidR="00EE3EF2" w:rsidRPr="00EE3EF2" w:rsidRDefault="00EE3EF2" w:rsidP="00EE3EF2">
            <w:r w:rsidRPr="00EE3EF2">
              <w:t>Forecast Bias — Lag 1</w:t>
            </w:r>
          </w:p>
        </w:tc>
        <w:tc>
          <w:tcPr>
            <w:tcW w:w="0" w:type="auto"/>
            <w:vAlign w:val="center"/>
            <w:hideMark/>
          </w:tcPr>
          <w:p w14:paraId="258EBEDB" w14:textId="77777777" w:rsidR="00EE3EF2" w:rsidRPr="00EE3EF2" w:rsidRDefault="00EE3EF2" w:rsidP="00EE3EF2">
            <w:r w:rsidRPr="00EE3EF2">
              <w:t>(worse than Lag 0)</w:t>
            </w:r>
          </w:p>
        </w:tc>
        <w:tc>
          <w:tcPr>
            <w:tcW w:w="0" w:type="auto"/>
            <w:vAlign w:val="center"/>
            <w:hideMark/>
          </w:tcPr>
          <w:p w14:paraId="703C9B4B" w14:textId="77777777" w:rsidR="00EE3EF2" w:rsidRPr="00EE3EF2" w:rsidRDefault="00EE3EF2" w:rsidP="00EE3EF2">
            <w:r w:rsidRPr="00EE3EF2">
              <w:t>0%</w:t>
            </w:r>
          </w:p>
        </w:tc>
        <w:tc>
          <w:tcPr>
            <w:tcW w:w="0" w:type="auto"/>
            <w:vAlign w:val="center"/>
            <w:hideMark/>
          </w:tcPr>
          <w:p w14:paraId="601E6DE0" w14:textId="77777777" w:rsidR="00EE3EF2" w:rsidRPr="00EE3EF2" w:rsidRDefault="00EE3EF2" w:rsidP="00EE3EF2">
            <w:r w:rsidRPr="00EE3EF2">
              <w:t>Chronic under-forecast</w:t>
            </w:r>
          </w:p>
        </w:tc>
      </w:tr>
      <w:tr w:rsidR="00EE3EF2" w:rsidRPr="00EE3EF2" w14:paraId="1BFF335E" w14:textId="77777777">
        <w:trPr>
          <w:tblCellSpacing w:w="15" w:type="dxa"/>
        </w:trPr>
        <w:tc>
          <w:tcPr>
            <w:tcW w:w="0" w:type="auto"/>
            <w:vAlign w:val="center"/>
            <w:hideMark/>
          </w:tcPr>
          <w:p w14:paraId="2418D6A6" w14:textId="77777777" w:rsidR="00EE3EF2" w:rsidRPr="00EE3EF2" w:rsidRDefault="00EE3EF2" w:rsidP="00EE3EF2">
            <w:r w:rsidRPr="00EE3EF2">
              <w:t>Actual Revenue Qty</w:t>
            </w:r>
          </w:p>
        </w:tc>
        <w:tc>
          <w:tcPr>
            <w:tcW w:w="0" w:type="auto"/>
            <w:vAlign w:val="center"/>
            <w:hideMark/>
          </w:tcPr>
          <w:p w14:paraId="67EF6902" w14:textId="77777777" w:rsidR="00EE3EF2" w:rsidRPr="00EE3EF2" w:rsidRDefault="00EE3EF2" w:rsidP="00EE3EF2">
            <w:r w:rsidRPr="00EE3EF2">
              <w:rPr>
                <w:b/>
                <w:bCs/>
              </w:rPr>
              <w:t>34.44 M</w:t>
            </w:r>
          </w:p>
        </w:tc>
        <w:tc>
          <w:tcPr>
            <w:tcW w:w="0" w:type="auto"/>
            <w:vAlign w:val="center"/>
            <w:hideMark/>
          </w:tcPr>
          <w:p w14:paraId="669C4F3C" w14:textId="77777777" w:rsidR="00EE3EF2" w:rsidRPr="00EE3EF2" w:rsidRDefault="00EE3EF2" w:rsidP="00EE3EF2">
            <w:r w:rsidRPr="00EE3EF2">
              <w:t>—</w:t>
            </w:r>
          </w:p>
        </w:tc>
        <w:tc>
          <w:tcPr>
            <w:tcW w:w="0" w:type="auto"/>
            <w:vAlign w:val="center"/>
            <w:hideMark/>
          </w:tcPr>
          <w:p w14:paraId="1598A503" w14:textId="77777777" w:rsidR="00EE3EF2" w:rsidRPr="00EE3EF2" w:rsidRDefault="00EE3EF2" w:rsidP="00EE3EF2">
            <w:r w:rsidRPr="00EE3EF2">
              <w:t>—</w:t>
            </w:r>
          </w:p>
        </w:tc>
      </w:tr>
      <w:tr w:rsidR="00EE3EF2" w:rsidRPr="00EE3EF2" w14:paraId="5F943888" w14:textId="77777777">
        <w:trPr>
          <w:tblCellSpacing w:w="15" w:type="dxa"/>
        </w:trPr>
        <w:tc>
          <w:tcPr>
            <w:tcW w:w="0" w:type="auto"/>
            <w:vAlign w:val="center"/>
            <w:hideMark/>
          </w:tcPr>
          <w:p w14:paraId="2862575F" w14:textId="77777777" w:rsidR="00EE3EF2" w:rsidRPr="00EE3EF2" w:rsidRDefault="00EE3EF2" w:rsidP="00EE3EF2">
            <w:r w:rsidRPr="00EE3EF2">
              <w:t>Resultant Revenue Forecast</w:t>
            </w:r>
          </w:p>
        </w:tc>
        <w:tc>
          <w:tcPr>
            <w:tcW w:w="0" w:type="auto"/>
            <w:vAlign w:val="center"/>
            <w:hideMark/>
          </w:tcPr>
          <w:p w14:paraId="5FBE9028" w14:textId="77777777" w:rsidR="00EE3EF2" w:rsidRPr="00EE3EF2" w:rsidRDefault="00EE3EF2" w:rsidP="00EE3EF2">
            <w:r w:rsidRPr="00EE3EF2">
              <w:rPr>
                <w:b/>
                <w:bCs/>
              </w:rPr>
              <w:t>16.05 M</w:t>
            </w:r>
          </w:p>
        </w:tc>
        <w:tc>
          <w:tcPr>
            <w:tcW w:w="0" w:type="auto"/>
            <w:vAlign w:val="center"/>
            <w:hideMark/>
          </w:tcPr>
          <w:p w14:paraId="2CAD34A9" w14:textId="77777777" w:rsidR="00EE3EF2" w:rsidRPr="00EE3EF2" w:rsidRDefault="00EE3EF2" w:rsidP="00EE3EF2">
            <w:r w:rsidRPr="00EE3EF2">
              <w:t>—</w:t>
            </w:r>
          </w:p>
        </w:tc>
        <w:tc>
          <w:tcPr>
            <w:tcW w:w="0" w:type="auto"/>
            <w:vAlign w:val="center"/>
            <w:hideMark/>
          </w:tcPr>
          <w:p w14:paraId="0BCA00FA" w14:textId="77777777" w:rsidR="00EE3EF2" w:rsidRPr="00EE3EF2" w:rsidRDefault="00EE3EF2" w:rsidP="00EE3EF2">
            <w:r w:rsidRPr="00EE3EF2">
              <w:t>—</w:t>
            </w:r>
          </w:p>
        </w:tc>
      </w:tr>
      <w:tr w:rsidR="00EE3EF2" w:rsidRPr="00EE3EF2" w14:paraId="70249596" w14:textId="77777777">
        <w:trPr>
          <w:tblCellSpacing w:w="15" w:type="dxa"/>
        </w:trPr>
        <w:tc>
          <w:tcPr>
            <w:tcW w:w="0" w:type="auto"/>
            <w:vAlign w:val="center"/>
            <w:hideMark/>
          </w:tcPr>
          <w:p w14:paraId="54499EB5" w14:textId="77777777" w:rsidR="00EE3EF2" w:rsidRPr="00EE3EF2" w:rsidRDefault="00EE3EF2" w:rsidP="00EE3EF2">
            <w:r w:rsidRPr="00EE3EF2">
              <w:t>Total Revenue Gap</w:t>
            </w:r>
          </w:p>
        </w:tc>
        <w:tc>
          <w:tcPr>
            <w:tcW w:w="0" w:type="auto"/>
            <w:vAlign w:val="center"/>
            <w:hideMark/>
          </w:tcPr>
          <w:p w14:paraId="275A75C6" w14:textId="77777777" w:rsidR="00EE3EF2" w:rsidRPr="00EE3EF2" w:rsidRDefault="00EE3EF2" w:rsidP="00EE3EF2">
            <w:r w:rsidRPr="00EE3EF2">
              <w:rPr>
                <w:b/>
                <w:bCs/>
              </w:rPr>
              <w:t>18.39 M</w:t>
            </w:r>
          </w:p>
        </w:tc>
        <w:tc>
          <w:tcPr>
            <w:tcW w:w="0" w:type="auto"/>
            <w:vAlign w:val="center"/>
            <w:hideMark/>
          </w:tcPr>
          <w:p w14:paraId="5464F59C" w14:textId="77777777" w:rsidR="00EE3EF2" w:rsidRPr="00EE3EF2" w:rsidRDefault="00EE3EF2" w:rsidP="00EE3EF2">
            <w:r w:rsidRPr="00EE3EF2">
              <w:t>—</w:t>
            </w:r>
          </w:p>
        </w:tc>
        <w:tc>
          <w:tcPr>
            <w:tcW w:w="0" w:type="auto"/>
            <w:vAlign w:val="center"/>
            <w:hideMark/>
          </w:tcPr>
          <w:p w14:paraId="402F42DB" w14:textId="77777777" w:rsidR="00EE3EF2" w:rsidRPr="00EE3EF2" w:rsidRDefault="00EE3EF2" w:rsidP="00EE3EF2">
            <w:r w:rsidRPr="00EE3EF2">
              <w:t>—</w:t>
            </w:r>
          </w:p>
        </w:tc>
      </w:tr>
      <w:tr w:rsidR="00EE3EF2" w:rsidRPr="00EE3EF2" w14:paraId="411CE71F" w14:textId="77777777">
        <w:trPr>
          <w:tblCellSpacing w:w="15" w:type="dxa"/>
        </w:trPr>
        <w:tc>
          <w:tcPr>
            <w:tcW w:w="0" w:type="auto"/>
            <w:vAlign w:val="center"/>
            <w:hideMark/>
          </w:tcPr>
          <w:p w14:paraId="468B8704" w14:textId="77777777" w:rsidR="00EE3EF2" w:rsidRPr="00EE3EF2" w:rsidRDefault="00EE3EF2" w:rsidP="00EE3EF2">
            <w:r w:rsidRPr="00EE3EF2">
              <w:t>Revenue Variance %</w:t>
            </w:r>
          </w:p>
        </w:tc>
        <w:tc>
          <w:tcPr>
            <w:tcW w:w="0" w:type="auto"/>
            <w:vAlign w:val="center"/>
            <w:hideMark/>
          </w:tcPr>
          <w:p w14:paraId="71C7711A" w14:textId="77777777" w:rsidR="00EE3EF2" w:rsidRPr="00EE3EF2" w:rsidRDefault="00EE3EF2" w:rsidP="00EE3EF2">
            <w:r w:rsidRPr="00EE3EF2">
              <w:rPr>
                <w:b/>
                <w:bCs/>
              </w:rPr>
              <w:t>−53%</w:t>
            </w:r>
          </w:p>
        </w:tc>
        <w:tc>
          <w:tcPr>
            <w:tcW w:w="0" w:type="auto"/>
            <w:vAlign w:val="center"/>
            <w:hideMark/>
          </w:tcPr>
          <w:p w14:paraId="0B4AEBAF" w14:textId="77777777" w:rsidR="00EE3EF2" w:rsidRPr="00EE3EF2" w:rsidRDefault="00EE3EF2" w:rsidP="00EE3EF2">
            <w:r w:rsidRPr="00EE3EF2">
              <w:t>—</w:t>
            </w:r>
          </w:p>
        </w:tc>
        <w:tc>
          <w:tcPr>
            <w:tcW w:w="0" w:type="auto"/>
            <w:vAlign w:val="center"/>
            <w:hideMark/>
          </w:tcPr>
          <w:p w14:paraId="54404827" w14:textId="77777777" w:rsidR="00EE3EF2" w:rsidRPr="00EE3EF2" w:rsidRDefault="00EE3EF2" w:rsidP="00EE3EF2">
            <w:r w:rsidRPr="00EE3EF2">
              <w:t>—</w:t>
            </w:r>
          </w:p>
        </w:tc>
      </w:tr>
      <w:tr w:rsidR="00EE3EF2" w:rsidRPr="00EE3EF2" w14:paraId="026EFD7D" w14:textId="77777777">
        <w:trPr>
          <w:tblCellSpacing w:w="15" w:type="dxa"/>
        </w:trPr>
        <w:tc>
          <w:tcPr>
            <w:tcW w:w="0" w:type="auto"/>
            <w:vAlign w:val="center"/>
            <w:hideMark/>
          </w:tcPr>
          <w:p w14:paraId="0CDB59C5" w14:textId="77777777" w:rsidR="00EE3EF2" w:rsidRPr="00EE3EF2" w:rsidRDefault="00EE3EF2" w:rsidP="00EE3EF2">
            <w:r w:rsidRPr="00EE3EF2">
              <w:t>Forecast Attainment</w:t>
            </w:r>
          </w:p>
        </w:tc>
        <w:tc>
          <w:tcPr>
            <w:tcW w:w="0" w:type="auto"/>
            <w:vAlign w:val="center"/>
            <w:hideMark/>
          </w:tcPr>
          <w:p w14:paraId="560F954F" w14:textId="77777777" w:rsidR="00EE3EF2" w:rsidRPr="00EE3EF2" w:rsidRDefault="00EE3EF2" w:rsidP="00EE3EF2">
            <w:r w:rsidRPr="00EE3EF2">
              <w:rPr>
                <w:b/>
                <w:bCs/>
              </w:rPr>
              <w:t>0.47</w:t>
            </w:r>
          </w:p>
        </w:tc>
        <w:tc>
          <w:tcPr>
            <w:tcW w:w="0" w:type="auto"/>
            <w:vAlign w:val="center"/>
            <w:hideMark/>
          </w:tcPr>
          <w:p w14:paraId="2EDFE120" w14:textId="77777777" w:rsidR="00EE3EF2" w:rsidRPr="00EE3EF2" w:rsidRDefault="00EE3EF2" w:rsidP="00EE3EF2">
            <w:r w:rsidRPr="00EE3EF2">
              <w:t>1.0</w:t>
            </w:r>
          </w:p>
        </w:tc>
        <w:tc>
          <w:tcPr>
            <w:tcW w:w="0" w:type="auto"/>
            <w:vAlign w:val="center"/>
            <w:hideMark/>
          </w:tcPr>
          <w:p w14:paraId="5DCC51E7" w14:textId="77777777" w:rsidR="00EE3EF2" w:rsidRPr="00EE3EF2" w:rsidRDefault="00EE3EF2" w:rsidP="00EE3EF2">
            <w:r w:rsidRPr="00EE3EF2">
              <w:t>Forecast covered only 47% of actuals</w:t>
            </w:r>
          </w:p>
        </w:tc>
      </w:tr>
    </w:tbl>
    <w:p w14:paraId="4E98C682" w14:textId="77777777" w:rsidR="00EE3EF2" w:rsidRDefault="00EE3EF2" w:rsidP="00EE3EF2">
      <w:pPr>
        <w:rPr>
          <w:b/>
          <w:bCs/>
        </w:rPr>
      </w:pPr>
    </w:p>
    <w:p w14:paraId="76FF4D78" w14:textId="7D796A3D" w:rsidR="00EE3EF2" w:rsidRPr="00EE3EF2" w:rsidRDefault="00EE3EF2" w:rsidP="00EE3EF2">
      <w:pPr>
        <w:rPr>
          <w:b/>
          <w:bCs/>
        </w:rPr>
      </w:pPr>
      <w:r w:rsidRPr="00EE3EF2">
        <w:rPr>
          <w:b/>
          <w:bCs/>
        </w:rPr>
        <w:t>KPI by Country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2050"/>
        <w:gridCol w:w="2035"/>
        <w:gridCol w:w="995"/>
        <w:gridCol w:w="4106"/>
      </w:tblGrid>
      <w:tr w:rsidR="00EE3EF2" w:rsidRPr="00EE3EF2" w14:paraId="6DBADE18" w14:textId="77777777">
        <w:trPr>
          <w:tblHeader/>
          <w:tblCellSpacing w:w="15" w:type="dxa"/>
        </w:trPr>
        <w:tc>
          <w:tcPr>
            <w:tcW w:w="0" w:type="auto"/>
            <w:vAlign w:val="center"/>
            <w:hideMark/>
          </w:tcPr>
          <w:p w14:paraId="3B4BE31E" w14:textId="77777777" w:rsidR="00EE3EF2" w:rsidRPr="00EE3EF2" w:rsidRDefault="00EE3EF2" w:rsidP="00EE3EF2">
            <w:pPr>
              <w:rPr>
                <w:b/>
                <w:bCs/>
              </w:rPr>
            </w:pPr>
            <w:r w:rsidRPr="00EE3EF2">
              <w:rPr>
                <w:b/>
                <w:bCs/>
              </w:rPr>
              <w:t>Country</w:t>
            </w:r>
          </w:p>
        </w:tc>
        <w:tc>
          <w:tcPr>
            <w:tcW w:w="0" w:type="auto"/>
            <w:vAlign w:val="center"/>
            <w:hideMark/>
          </w:tcPr>
          <w:p w14:paraId="6954BD4E" w14:textId="77777777" w:rsidR="00EE3EF2" w:rsidRPr="00EE3EF2" w:rsidRDefault="00EE3EF2" w:rsidP="00EE3EF2">
            <w:pPr>
              <w:rPr>
                <w:b/>
                <w:bCs/>
              </w:rPr>
            </w:pPr>
            <w:r w:rsidRPr="00EE3EF2">
              <w:rPr>
                <w:b/>
                <w:bCs/>
              </w:rPr>
              <w:t>Forecast Accuracy Lag 0</w:t>
            </w:r>
          </w:p>
        </w:tc>
        <w:tc>
          <w:tcPr>
            <w:tcW w:w="0" w:type="auto"/>
            <w:vAlign w:val="center"/>
            <w:hideMark/>
          </w:tcPr>
          <w:p w14:paraId="72EF3725" w14:textId="77777777" w:rsidR="00EE3EF2" w:rsidRPr="00EE3EF2" w:rsidRDefault="00EE3EF2" w:rsidP="00EE3EF2">
            <w:pPr>
              <w:rPr>
                <w:b/>
                <w:bCs/>
              </w:rPr>
            </w:pPr>
            <w:r w:rsidRPr="00EE3EF2">
              <w:rPr>
                <w:b/>
                <w:bCs/>
              </w:rPr>
              <w:t>Forecast Accuracy Lag 1</w:t>
            </w:r>
          </w:p>
        </w:tc>
        <w:tc>
          <w:tcPr>
            <w:tcW w:w="0" w:type="auto"/>
            <w:vAlign w:val="center"/>
            <w:hideMark/>
          </w:tcPr>
          <w:p w14:paraId="5E23702A" w14:textId="77777777" w:rsidR="00EE3EF2" w:rsidRPr="00EE3EF2" w:rsidRDefault="00EE3EF2" w:rsidP="00EE3EF2">
            <w:pPr>
              <w:rPr>
                <w:b/>
                <w:bCs/>
              </w:rPr>
            </w:pPr>
            <w:r w:rsidRPr="00EE3EF2">
              <w:rPr>
                <w:b/>
                <w:bCs/>
              </w:rPr>
              <w:t>Bias Lag 0</w:t>
            </w:r>
          </w:p>
        </w:tc>
        <w:tc>
          <w:tcPr>
            <w:tcW w:w="0" w:type="auto"/>
            <w:vAlign w:val="center"/>
            <w:hideMark/>
          </w:tcPr>
          <w:p w14:paraId="1092E07D" w14:textId="77777777" w:rsidR="00EE3EF2" w:rsidRPr="00EE3EF2" w:rsidRDefault="00EE3EF2" w:rsidP="00EE3EF2">
            <w:pPr>
              <w:rPr>
                <w:b/>
                <w:bCs/>
              </w:rPr>
            </w:pPr>
            <w:r w:rsidRPr="00EE3EF2">
              <w:rPr>
                <w:b/>
                <w:bCs/>
              </w:rPr>
              <w:t>Diagnosis</w:t>
            </w:r>
          </w:p>
        </w:tc>
      </w:tr>
      <w:tr w:rsidR="00EE3EF2" w:rsidRPr="00EE3EF2" w14:paraId="2B2DE324" w14:textId="77777777">
        <w:trPr>
          <w:tblCellSpacing w:w="15" w:type="dxa"/>
        </w:trPr>
        <w:tc>
          <w:tcPr>
            <w:tcW w:w="0" w:type="auto"/>
            <w:vAlign w:val="center"/>
            <w:hideMark/>
          </w:tcPr>
          <w:p w14:paraId="34E731E2" w14:textId="77777777" w:rsidR="00EE3EF2" w:rsidRPr="00EE3EF2" w:rsidRDefault="00EE3EF2" w:rsidP="00EE3EF2">
            <w:r w:rsidRPr="00EE3EF2">
              <w:t>A</w:t>
            </w:r>
          </w:p>
        </w:tc>
        <w:tc>
          <w:tcPr>
            <w:tcW w:w="0" w:type="auto"/>
            <w:vAlign w:val="center"/>
            <w:hideMark/>
          </w:tcPr>
          <w:p w14:paraId="24718BFC" w14:textId="77777777" w:rsidR="00EE3EF2" w:rsidRPr="00EE3EF2" w:rsidRDefault="00EE3EF2" w:rsidP="00EE3EF2">
            <w:r w:rsidRPr="00EE3EF2">
              <w:t>33.0%</w:t>
            </w:r>
          </w:p>
        </w:tc>
        <w:tc>
          <w:tcPr>
            <w:tcW w:w="0" w:type="auto"/>
            <w:vAlign w:val="center"/>
            <w:hideMark/>
          </w:tcPr>
          <w:p w14:paraId="33141711" w14:textId="77777777" w:rsidR="00EE3EF2" w:rsidRPr="00EE3EF2" w:rsidRDefault="00EE3EF2" w:rsidP="00EE3EF2">
            <w:r w:rsidRPr="00EE3EF2">
              <w:t>(lower)</w:t>
            </w:r>
          </w:p>
        </w:tc>
        <w:tc>
          <w:tcPr>
            <w:tcW w:w="0" w:type="auto"/>
            <w:vAlign w:val="center"/>
            <w:hideMark/>
          </w:tcPr>
          <w:p w14:paraId="24C5BCD2" w14:textId="77777777" w:rsidR="00EE3EF2" w:rsidRPr="00EE3EF2" w:rsidRDefault="00EE3EF2" w:rsidP="00EE3EF2">
            <w:r w:rsidRPr="00EE3EF2">
              <w:t>−67.0%</w:t>
            </w:r>
          </w:p>
        </w:tc>
        <w:tc>
          <w:tcPr>
            <w:tcW w:w="0" w:type="auto"/>
            <w:vAlign w:val="center"/>
            <w:hideMark/>
          </w:tcPr>
          <w:p w14:paraId="50E98F5E" w14:textId="77777777" w:rsidR="00EE3EF2" w:rsidRPr="00EE3EF2" w:rsidRDefault="00EE3EF2" w:rsidP="00EE3EF2">
            <w:r w:rsidRPr="00EE3EF2">
              <w:t>Severely under-forecasted; largest volume impact</w:t>
            </w:r>
          </w:p>
        </w:tc>
      </w:tr>
      <w:tr w:rsidR="00EE3EF2" w:rsidRPr="00EE3EF2" w14:paraId="2B564ECD" w14:textId="77777777">
        <w:trPr>
          <w:tblCellSpacing w:w="15" w:type="dxa"/>
        </w:trPr>
        <w:tc>
          <w:tcPr>
            <w:tcW w:w="0" w:type="auto"/>
            <w:vAlign w:val="center"/>
            <w:hideMark/>
          </w:tcPr>
          <w:p w14:paraId="1A6F9553" w14:textId="77777777" w:rsidR="00EE3EF2" w:rsidRPr="00EE3EF2" w:rsidRDefault="00EE3EF2" w:rsidP="00EE3EF2">
            <w:r w:rsidRPr="00EE3EF2">
              <w:t>B</w:t>
            </w:r>
          </w:p>
        </w:tc>
        <w:tc>
          <w:tcPr>
            <w:tcW w:w="0" w:type="auto"/>
            <w:vAlign w:val="center"/>
            <w:hideMark/>
          </w:tcPr>
          <w:p w14:paraId="45C0624D" w14:textId="77777777" w:rsidR="00EE3EF2" w:rsidRPr="00EE3EF2" w:rsidRDefault="00EE3EF2" w:rsidP="00EE3EF2">
            <w:r w:rsidRPr="00EE3EF2">
              <w:t>−220.3%</w:t>
            </w:r>
          </w:p>
        </w:tc>
        <w:tc>
          <w:tcPr>
            <w:tcW w:w="0" w:type="auto"/>
            <w:vAlign w:val="center"/>
            <w:hideMark/>
          </w:tcPr>
          <w:p w14:paraId="0087F2F4" w14:textId="77777777" w:rsidR="00EE3EF2" w:rsidRPr="00EE3EF2" w:rsidRDefault="00EE3EF2" w:rsidP="00EE3EF2">
            <w:r w:rsidRPr="00EE3EF2">
              <w:t>(lower)</w:t>
            </w:r>
          </w:p>
        </w:tc>
        <w:tc>
          <w:tcPr>
            <w:tcW w:w="0" w:type="auto"/>
            <w:vAlign w:val="center"/>
            <w:hideMark/>
          </w:tcPr>
          <w:p w14:paraId="7A8018FC" w14:textId="77777777" w:rsidR="00EE3EF2" w:rsidRPr="00EE3EF2" w:rsidRDefault="00EE3EF2" w:rsidP="00EE3EF2">
            <w:r w:rsidRPr="00EE3EF2">
              <w:t>+320.3%</w:t>
            </w:r>
          </w:p>
        </w:tc>
        <w:tc>
          <w:tcPr>
            <w:tcW w:w="0" w:type="auto"/>
            <w:vAlign w:val="center"/>
            <w:hideMark/>
          </w:tcPr>
          <w:p w14:paraId="1F4B6B0B" w14:textId="77777777" w:rsidR="00EE3EF2" w:rsidRPr="00EE3EF2" w:rsidRDefault="00EE3EF2" w:rsidP="00EE3EF2">
            <w:r w:rsidRPr="00EE3EF2">
              <w:t>Extreme over-forecast — structural process failure</w:t>
            </w:r>
          </w:p>
        </w:tc>
      </w:tr>
      <w:tr w:rsidR="00EE3EF2" w:rsidRPr="00EE3EF2" w14:paraId="7E258A16" w14:textId="77777777">
        <w:trPr>
          <w:tblCellSpacing w:w="15" w:type="dxa"/>
        </w:trPr>
        <w:tc>
          <w:tcPr>
            <w:tcW w:w="0" w:type="auto"/>
            <w:vAlign w:val="center"/>
            <w:hideMark/>
          </w:tcPr>
          <w:p w14:paraId="2919E517" w14:textId="77777777" w:rsidR="00EE3EF2" w:rsidRPr="00EE3EF2" w:rsidRDefault="00EE3EF2" w:rsidP="00EE3EF2">
            <w:r w:rsidRPr="00EE3EF2">
              <w:t>C</w:t>
            </w:r>
          </w:p>
        </w:tc>
        <w:tc>
          <w:tcPr>
            <w:tcW w:w="0" w:type="auto"/>
            <w:vAlign w:val="center"/>
            <w:hideMark/>
          </w:tcPr>
          <w:p w14:paraId="61767C4B" w14:textId="77777777" w:rsidR="00EE3EF2" w:rsidRPr="00EE3EF2" w:rsidRDefault="00EE3EF2" w:rsidP="00EE3EF2">
            <w:r w:rsidRPr="00EE3EF2">
              <w:t>63.2%</w:t>
            </w:r>
          </w:p>
        </w:tc>
        <w:tc>
          <w:tcPr>
            <w:tcW w:w="0" w:type="auto"/>
            <w:vAlign w:val="center"/>
            <w:hideMark/>
          </w:tcPr>
          <w:p w14:paraId="198B3A64" w14:textId="77777777" w:rsidR="00EE3EF2" w:rsidRPr="00EE3EF2" w:rsidRDefault="00EE3EF2" w:rsidP="00EE3EF2">
            <w:r w:rsidRPr="00EE3EF2">
              <w:t>(lower)</w:t>
            </w:r>
          </w:p>
        </w:tc>
        <w:tc>
          <w:tcPr>
            <w:tcW w:w="0" w:type="auto"/>
            <w:vAlign w:val="center"/>
            <w:hideMark/>
          </w:tcPr>
          <w:p w14:paraId="0D4BCC72" w14:textId="77777777" w:rsidR="00EE3EF2" w:rsidRPr="00EE3EF2" w:rsidRDefault="00EE3EF2" w:rsidP="00EE3EF2">
            <w:r w:rsidRPr="00EE3EF2">
              <w:t>+36.8%</w:t>
            </w:r>
          </w:p>
        </w:tc>
        <w:tc>
          <w:tcPr>
            <w:tcW w:w="0" w:type="auto"/>
            <w:vAlign w:val="center"/>
            <w:hideMark/>
          </w:tcPr>
          <w:p w14:paraId="2FEEFB25" w14:textId="77777777" w:rsidR="00EE3EF2" w:rsidRPr="00EE3EF2" w:rsidRDefault="00EE3EF2" w:rsidP="00EE3EF2">
            <w:r w:rsidRPr="00EE3EF2">
              <w:t>Closest to target; slight over-forecast</w:t>
            </w:r>
          </w:p>
        </w:tc>
      </w:tr>
      <w:tr w:rsidR="00EE3EF2" w:rsidRPr="00EE3EF2" w14:paraId="38D96B1B" w14:textId="77777777">
        <w:trPr>
          <w:tblCellSpacing w:w="15" w:type="dxa"/>
        </w:trPr>
        <w:tc>
          <w:tcPr>
            <w:tcW w:w="0" w:type="auto"/>
            <w:vAlign w:val="center"/>
            <w:hideMark/>
          </w:tcPr>
          <w:p w14:paraId="012F716C" w14:textId="77777777" w:rsidR="00EE3EF2" w:rsidRPr="00EE3EF2" w:rsidRDefault="00EE3EF2" w:rsidP="00EE3EF2">
            <w:r w:rsidRPr="00EE3EF2">
              <w:t>D</w:t>
            </w:r>
          </w:p>
        </w:tc>
        <w:tc>
          <w:tcPr>
            <w:tcW w:w="0" w:type="auto"/>
            <w:vAlign w:val="center"/>
            <w:hideMark/>
          </w:tcPr>
          <w:p w14:paraId="141EE06E" w14:textId="77777777" w:rsidR="00EE3EF2" w:rsidRPr="00EE3EF2" w:rsidRDefault="00EE3EF2" w:rsidP="00EE3EF2">
            <w:r w:rsidRPr="00EE3EF2">
              <w:t>−1,186.3%</w:t>
            </w:r>
          </w:p>
        </w:tc>
        <w:tc>
          <w:tcPr>
            <w:tcW w:w="0" w:type="auto"/>
            <w:vAlign w:val="center"/>
            <w:hideMark/>
          </w:tcPr>
          <w:p w14:paraId="7F94852B" w14:textId="77777777" w:rsidR="00EE3EF2" w:rsidRPr="00EE3EF2" w:rsidRDefault="00EE3EF2" w:rsidP="00EE3EF2">
            <w:r w:rsidRPr="00EE3EF2">
              <w:t>(lower)</w:t>
            </w:r>
          </w:p>
        </w:tc>
        <w:tc>
          <w:tcPr>
            <w:tcW w:w="0" w:type="auto"/>
            <w:vAlign w:val="center"/>
            <w:hideMark/>
          </w:tcPr>
          <w:p w14:paraId="7FC5CA93" w14:textId="77777777" w:rsidR="00EE3EF2" w:rsidRPr="00EE3EF2" w:rsidRDefault="00EE3EF2" w:rsidP="00EE3EF2">
            <w:r w:rsidRPr="00EE3EF2">
              <w:t>+1,286.3%</w:t>
            </w:r>
          </w:p>
        </w:tc>
        <w:tc>
          <w:tcPr>
            <w:tcW w:w="0" w:type="auto"/>
            <w:vAlign w:val="center"/>
            <w:hideMark/>
          </w:tcPr>
          <w:p w14:paraId="61F96D0D" w14:textId="77777777" w:rsidR="00EE3EF2" w:rsidRPr="00EE3EF2" w:rsidRDefault="00EE3EF2" w:rsidP="00EE3EF2">
            <w:r w:rsidRPr="00EE3EF2">
              <w:t>Critical outlier; extreme over-forecast</w:t>
            </w:r>
          </w:p>
        </w:tc>
      </w:tr>
      <w:tr w:rsidR="00EE3EF2" w:rsidRPr="00EE3EF2" w14:paraId="4FEF5285" w14:textId="77777777">
        <w:trPr>
          <w:tblCellSpacing w:w="15" w:type="dxa"/>
        </w:trPr>
        <w:tc>
          <w:tcPr>
            <w:tcW w:w="0" w:type="auto"/>
            <w:vAlign w:val="center"/>
            <w:hideMark/>
          </w:tcPr>
          <w:p w14:paraId="07EECD6B" w14:textId="77777777" w:rsidR="00EE3EF2" w:rsidRPr="00EE3EF2" w:rsidRDefault="00EE3EF2" w:rsidP="00EE3EF2">
            <w:r w:rsidRPr="00EE3EF2">
              <w:rPr>
                <w:b/>
                <w:bCs/>
              </w:rPr>
              <w:t>Total</w:t>
            </w:r>
          </w:p>
        </w:tc>
        <w:tc>
          <w:tcPr>
            <w:tcW w:w="0" w:type="auto"/>
            <w:vAlign w:val="center"/>
            <w:hideMark/>
          </w:tcPr>
          <w:p w14:paraId="6F4B36D8" w14:textId="77777777" w:rsidR="00EE3EF2" w:rsidRPr="00EE3EF2" w:rsidRDefault="00EE3EF2" w:rsidP="00EE3EF2">
            <w:r w:rsidRPr="00EE3EF2">
              <w:rPr>
                <w:b/>
                <w:bCs/>
              </w:rPr>
              <w:t>57.0%</w:t>
            </w:r>
          </w:p>
        </w:tc>
        <w:tc>
          <w:tcPr>
            <w:tcW w:w="0" w:type="auto"/>
            <w:vAlign w:val="center"/>
            <w:hideMark/>
          </w:tcPr>
          <w:p w14:paraId="3383E66B" w14:textId="77777777" w:rsidR="00EE3EF2" w:rsidRPr="00EE3EF2" w:rsidRDefault="00EE3EF2" w:rsidP="00EE3EF2">
            <w:r w:rsidRPr="00EE3EF2">
              <w:rPr>
                <w:b/>
                <w:bCs/>
              </w:rPr>
              <w:t>40.9%</w:t>
            </w:r>
          </w:p>
        </w:tc>
        <w:tc>
          <w:tcPr>
            <w:tcW w:w="0" w:type="auto"/>
            <w:vAlign w:val="center"/>
            <w:hideMark/>
          </w:tcPr>
          <w:p w14:paraId="662B6AB7" w14:textId="77777777" w:rsidR="00EE3EF2" w:rsidRPr="00EE3EF2" w:rsidRDefault="00EE3EF2" w:rsidP="00EE3EF2">
            <w:r w:rsidRPr="00EE3EF2">
              <w:rPr>
                <w:b/>
                <w:bCs/>
              </w:rPr>
              <w:t>−43.0%</w:t>
            </w:r>
          </w:p>
        </w:tc>
        <w:tc>
          <w:tcPr>
            <w:tcW w:w="0" w:type="auto"/>
            <w:vAlign w:val="center"/>
            <w:hideMark/>
          </w:tcPr>
          <w:p w14:paraId="2AA9D223" w14:textId="77777777" w:rsidR="00EE3EF2" w:rsidRPr="00EE3EF2" w:rsidRDefault="00EE3EF2" w:rsidP="00EE3EF2">
            <w:r w:rsidRPr="00EE3EF2">
              <w:t>Below benchmark</w:t>
            </w:r>
          </w:p>
        </w:tc>
      </w:tr>
    </w:tbl>
    <w:p w14:paraId="2CFB6B9E" w14:textId="77777777" w:rsidR="00EE3EF2" w:rsidRDefault="00EE3EF2" w:rsidP="00EE3EF2">
      <w:pPr>
        <w:rPr>
          <w:b/>
          <w:bCs/>
        </w:rPr>
      </w:pPr>
    </w:p>
    <w:p w14:paraId="2B3D8EEF" w14:textId="43B25F36"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Reading the negative accuracy values:</w:t>
      </w:r>
      <w:r w:rsidRPr="00EE3EF2">
        <w:rPr>
          <w:rFonts w:ascii="Times New Roman" w:hAnsi="Times New Roman" w:cs="Times New Roman"/>
          <w:sz w:val="24"/>
          <w:szCs w:val="24"/>
        </w:rPr>
        <w:t xml:space="preserve"> Forecast Accuracy = 1 − |Error| / Actual. When the error is larger than the actual (i.e., forecast is more than twice the actual), this formula goes negative. Countries B and D had Lag 0 forecasts that were 3× to 13× larger than actual sales — producing extreme negative accuracy values.</w:t>
      </w:r>
    </w:p>
    <w:p w14:paraId="3F605A82" w14:textId="77777777" w:rsid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The opposing bias problem:</w:t>
      </w:r>
      <w:r w:rsidRPr="00EE3EF2">
        <w:rPr>
          <w:rFonts w:ascii="Times New Roman" w:hAnsi="Times New Roman" w:cs="Times New Roman"/>
          <w:sz w:val="24"/>
          <w:szCs w:val="24"/>
        </w:rPr>
        <w:t xml:space="preserve"> Country A is severely under-forecasted (actual demand is far higher than forecast) while Countries B and D are severely over-forecasted (forecast is far higher than actual). These opposing errors partially cancel at the aggregate level — the −43% overall bias is actually moderated by the positive bias from B and D. But from a supply chain perspective, this is the worst outcome: Country A faces stockouts while Countries B and D accumulate excess inventory.</w:t>
      </w:r>
    </w:p>
    <w:p w14:paraId="11B6DDD1" w14:textId="2641A4EA" w:rsidR="00EE3EF2" w:rsidRPr="00EE3EF2" w:rsidRDefault="00EE3EF2" w:rsidP="00EE3EF2">
      <w:pPr>
        <w:jc w:val="both"/>
        <w:rPr>
          <w:rFonts w:ascii="Times New Roman" w:hAnsi="Times New Roman" w:cs="Times New Roman"/>
          <w:sz w:val="24"/>
          <w:szCs w:val="24"/>
        </w:rPr>
      </w:pPr>
      <w:r w:rsidRPr="00EE3EF2">
        <w:rPr>
          <w:b/>
          <w:bCs/>
          <w:sz w:val="28"/>
          <w:szCs w:val="28"/>
        </w:rPr>
        <w:t xml:space="preserve">SECTION 10 </w:t>
      </w:r>
      <w:r>
        <w:rPr>
          <w:b/>
          <w:bCs/>
          <w:sz w:val="28"/>
          <w:szCs w:val="28"/>
        </w:rPr>
        <w:t>:</w:t>
      </w:r>
      <w:r w:rsidRPr="00EE3EF2">
        <w:rPr>
          <w:b/>
          <w:bCs/>
          <w:sz w:val="28"/>
          <w:szCs w:val="28"/>
        </w:rPr>
        <w:t xml:space="preserve"> POWER BI DASHBOARD PAGES</w:t>
      </w:r>
    </w:p>
    <w:p w14:paraId="2F684C3B"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lastRenderedPageBreak/>
        <w:t>Page 1 — Landing / Navigation</w:t>
      </w:r>
    </w:p>
    <w:p w14:paraId="4F413AD7"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A central hub with a black-and-orange SIOP brand palette. Displays four headline KPI cards across the bottom: Actual Revenue Qty (34.44M), Resultant Revenue (16.05M), Forecast Accuracy Lag 1 (40.9%), and Forecast Attainment (0.47). Six orange bookmark buttons navigate to each report section. This page gives executives a one-screen summary before they drill in.</w:t>
      </w:r>
    </w:p>
    <w:p w14:paraId="147B27EB"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Page 2 — Executive Overview</w:t>
      </w:r>
    </w:p>
    <w:p w14:paraId="53B725BB"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Provides a high-level three-snapshot comparison. The primary visual is a dual-line chart overlaying Selected Revenue Forecast (controlled by the Lag Slicer) against Actual Revenue Qty across all periods. Three supporting elements: a Revenue Forecast by Country lag comparison grouped bar chart, Non-Revenue Forecast KPI card (715.00), and a CAPEX Forecast KPI card (5.4K). A Forecast Revision waterfall by period shows the cumulative delta between Resultant and Lag 0 by planning period — negative bars (downward revisions) are highlighted in orange, positive bars (upward revisions) in blue. The Lag Slicer in the top-left switches all lag-dependent visuals simultaneously.</w:t>
      </w:r>
    </w:p>
    <w:p w14:paraId="342F5C16"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Page 3 — Forecast vs Actual Analysis</w:t>
      </w:r>
    </w:p>
    <w:p w14:paraId="17EC9A13"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The most analytical page. The primary visual is a matrix table with five columns: Country, Resultant Revenue Forecast, Lag 0 Non-Revenue Forecast, Lag 1 Revenue Forecast, Actual Revenue Qty, Forecast Accuracy Lag 0 (with conditional formatting — green background when ≥ 80%, otherwise white), and Forecast Bias Lag 0. Country-level rows show: A (33.0% accuracy), B (−220.3% accuracy), C (63.2% accuracy), D (−1,186.3% accuracy), Total (57.0% accuracy). A period line chart overlays Lag 0 Revenue Forecast (dark blue bars) against Actual Revenue Qty (light blue bars) across all 15 periods. A Revenue Gap Contribution waterfall by country shows how each country contributes to the 18.39M total gap. Four KPI cards in the bottom-left: Revenue Variance % (−0.53), Total Revenue Gap (18.39M), Forecast Accuracy Lag 0 (57.0%), Forecast Accuracy Lag 1 (40.9%).</w:t>
      </w:r>
    </w:p>
    <w:p w14:paraId="6ADF9BD3"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Page 4 — Segmentation Analysis</w:t>
      </w:r>
    </w:p>
    <w:p w14:paraId="1F69CE16"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Geography and product segmentation breakdown. The Revenue Forecast by Country treemap shows relative volume: A (largest block, blue), B (dark blue, second), D (orange, third), C (purple, smallest). Top 10 Items by Resultant Revenue Forecast bar chart shows items 10001, 100107, 100550, 100600, 100615, 100616, 100700, 100900, 100901, 100910 — each contributing between 10M and 15M units. The Revenue by Segmentation Region matrix confirms consistent totals across all AX/AY/AZ/BX/BY/BZ/CX/CY/CZ regions (all showing 16,051,100 Resultant, 19,623,929 Lag 0, and 3,44,37,829.18 Actual). A Revenue Forecast Share by Country over Time stacked area chart shows Country A's dominance throughout the timeline with B/C/D as thin bands below.</w:t>
      </w:r>
    </w:p>
    <w:p w14:paraId="3913F324"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Page 5 — Accuracy Trend</w:t>
      </w:r>
    </w:p>
    <w:p w14:paraId="4D637B0D"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Monitoring page for tracking accuracy over time. The primary visual is a dual-line chart with Forecast Accuracy Lag 0 (light blue) and Forecast Accuracy Lag 1 (dark blue) plotted across all 15 periods — showing dramatic period-to-period swings from near 0% to ~90%, with no stable improvement trend. A Forecast Volatility bar chart (green bars for lower volatility periods, blue for higher) shows volatility peaked in 2023 P10 and P11, declined through mid-2024, then spiked again in late 2024. The Forecast Direction by Country &amp; Period table shows every row for Country A is highlighted orange as "Under Forecast" across all periods — visually emphasising the systemic nature of the problem. A horizontal bar chart compares Lag 0 vs Lag 1 accuracy by country, where Countries B and D extend far into negative accuracy territory.</w:t>
      </w:r>
    </w:p>
    <w:p w14:paraId="7C748CCB"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Page 6 — Item Analysis</w:t>
      </w:r>
    </w:p>
    <w:p w14:paraId="1E4A373E"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lastRenderedPageBreak/>
        <w:t>SKU-level drill-down with FG/Set toggle buttons (top-right) and Country A/B/C/D filter buttons. The primary table lists the top items by revenue variance, including: 87110005 (Country A, Revenue Variance −66,11,168), 87120003 (Country A, −58,20,146), 87110001 (Country A, −51,58,207), 87120009 (Country A, −41,14,816), 87120007 (Country A, −22,58,098). Total Revenue Variance shown as −1,83,86,729.18. Two donut charts: Revenue Split Set vs FG for Resultant forecast (50%/50% split) and for Actual (50%/50% split), confirming the product mix is balanced between Sets and Finished Goods.</w:t>
      </w:r>
    </w:p>
    <w:p w14:paraId="203603CB" w14:textId="77777777" w:rsidR="00EE3EF2" w:rsidRPr="00EE3EF2" w:rsidRDefault="00EE3EF2" w:rsidP="00EE3EF2">
      <w:pPr>
        <w:jc w:val="both"/>
        <w:rPr>
          <w:rFonts w:ascii="Times New Roman" w:hAnsi="Times New Roman" w:cs="Times New Roman"/>
          <w:b/>
          <w:bCs/>
          <w:sz w:val="24"/>
          <w:szCs w:val="24"/>
        </w:rPr>
      </w:pPr>
      <w:r w:rsidRPr="00EE3EF2">
        <w:rPr>
          <w:rFonts w:ascii="Times New Roman" w:hAnsi="Times New Roman" w:cs="Times New Roman"/>
          <w:b/>
          <w:bCs/>
          <w:sz w:val="24"/>
          <w:szCs w:val="24"/>
        </w:rPr>
        <w:t>Page 7 — Forecast Insights &amp; Risk Analysis</w:t>
      </w:r>
    </w:p>
    <w:p w14:paraId="533C340C" w14:textId="77777777" w:rsidR="00EE3EF2" w:rsidRPr="00EE3EF2" w:rsidRDefault="00EE3EF2" w:rsidP="00EE3EF2">
      <w:pPr>
        <w:jc w:val="both"/>
      </w:pPr>
      <w:r w:rsidRPr="00EE3EF2">
        <w:rPr>
          <w:rFonts w:ascii="Times New Roman" w:hAnsi="Times New Roman" w:cs="Times New Roman"/>
          <w:sz w:val="24"/>
          <w:szCs w:val="24"/>
        </w:rPr>
        <w:t>Risk identification page. The "Products Causing Forecast Bias" table lists the top over-forecasted items: Item 71754036 (Country A) with Forecast Bias Lag 0 of +563,670% — the forecast was 5,637 times the actual quantity of 10 units; Item 71420830 (Country B) at +532,131%; Item 72202894 (Country B) at +460,486%; Item 74025646 (Country A) at +412,863%; Item 4184 (Country A) at +406,896%. These are items where tiny actual sales were matched against very large forecasts — they are either slow-moving items that should be removed from the active forecast, or new launches where initial demand was vastly overestimated. The Non-Revenue Forecast Trend line chart shows erratic, spike-shaped behaviour across periods (peaks in 2024 P07 and 2024 P12). A Forecast vs Actual Decomposition waterfall traces cumulative Resultant Revenue Forecast build-up by period, growing from 2023 P10 to approximately 16M by 2024 P12.</w:t>
      </w:r>
    </w:p>
    <w:p w14:paraId="77CF69E5" w14:textId="25056E67" w:rsidR="00EE3EF2" w:rsidRPr="00EE3EF2" w:rsidRDefault="00EE3EF2" w:rsidP="00EE3EF2">
      <w:r>
        <w:br w:type="page"/>
      </w:r>
    </w:p>
    <w:p w14:paraId="37B035CD" w14:textId="742DB39B" w:rsidR="00EE3EF2" w:rsidRPr="00EE3EF2" w:rsidRDefault="00EE3EF2" w:rsidP="00EE3EF2">
      <w:pPr>
        <w:rPr>
          <w:b/>
          <w:bCs/>
          <w:sz w:val="28"/>
          <w:szCs w:val="28"/>
        </w:rPr>
      </w:pPr>
      <w:r w:rsidRPr="00EE3EF2">
        <w:rPr>
          <w:b/>
          <w:bCs/>
          <w:sz w:val="28"/>
          <w:szCs w:val="28"/>
        </w:rPr>
        <w:lastRenderedPageBreak/>
        <w:t xml:space="preserve">SECTION 11 </w:t>
      </w:r>
      <w:r>
        <w:rPr>
          <w:b/>
          <w:bCs/>
          <w:sz w:val="28"/>
          <w:szCs w:val="28"/>
        </w:rPr>
        <w:t>:</w:t>
      </w:r>
      <w:r w:rsidRPr="00EE3EF2">
        <w:rPr>
          <w:b/>
          <w:bCs/>
          <w:sz w:val="28"/>
          <w:szCs w:val="28"/>
        </w:rPr>
        <w:t>KEY BUSINESS INSIGHTS (FROM EDA)</w:t>
      </w:r>
    </w:p>
    <w:p w14:paraId="7E0CBCD4"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Six headline insights derived from the analysis:</w:t>
      </w:r>
    </w:p>
    <w:p w14:paraId="49B51C88"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1. Systematic Under-Forecasting</w:t>
      </w:r>
      <w:r w:rsidRPr="00EE3EF2">
        <w:rPr>
          <w:rFonts w:ascii="Times New Roman" w:hAnsi="Times New Roman" w:cs="Times New Roman"/>
          <w:sz w:val="24"/>
          <w:szCs w:val="24"/>
        </w:rPr>
        <w:t xml:space="preserve"> Forecast Bias is approximately −43% at Lag 0. Actual demand consistently and significantly exceeds forecasts across all countries and periods. This is not a one-off event — it is a persistent structural bias that has likely been present for multiple planning cycles.</w:t>
      </w:r>
    </w:p>
    <w:p w14:paraId="44146FA3"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2. Low Forecast Accuracy</w:t>
      </w:r>
      <w:r w:rsidRPr="00EE3EF2">
        <w:rPr>
          <w:rFonts w:ascii="Times New Roman" w:hAnsi="Times New Roman" w:cs="Times New Roman"/>
          <w:sz w:val="24"/>
          <w:szCs w:val="24"/>
        </w:rPr>
        <w:t xml:space="preserve"> At 57% Lag 0 accuracy, the organisation is well below the 80% industry benchmark. Forecast accuracy of 57% means the average item's forecast misses by 43% of actual demand. This level of inaccuracy creates chronic supply shortages (Country A), excess inventory (Countries B and D), and unreliable financial planning.</w:t>
      </w:r>
    </w:p>
    <w:p w14:paraId="5F0B9F13"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3. Country A Dominates Volume</w:t>
      </w:r>
      <w:r w:rsidRPr="00EE3EF2">
        <w:rPr>
          <w:rFonts w:ascii="Times New Roman" w:hAnsi="Times New Roman" w:cs="Times New Roman"/>
          <w:sz w:val="24"/>
          <w:szCs w:val="24"/>
        </w:rPr>
        <w:t xml:space="preserve"> Country A represents approximately 65% of total forecast volume. The combination of high volume and severe under-forecasting (−67% bias) makes Country A the highest-priority area for immediate accuracy improvement. Even a 10% accuracy gain in Country A would have more business impact than a 50% gain in Country D.</w:t>
      </w:r>
    </w:p>
    <w:p w14:paraId="5BE27417"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4. Upward Forecast Revisions Are Systematic</w:t>
      </w:r>
      <w:r w:rsidRPr="00EE3EF2">
        <w:rPr>
          <w:rFonts w:ascii="Times New Roman" w:hAnsi="Times New Roman" w:cs="Times New Roman"/>
          <w:sz w:val="24"/>
          <w:szCs w:val="24"/>
        </w:rPr>
        <w:t xml:space="preserve"> Forecasts consistently increase from Lag 1 → Lag 0 → Resultant across all countries. The team under-estimates demand in early snapshots and progressively revises upward. While this is common, it means procurement decisions made at Lag 1 are structurally under-supplied. Safety stock policies should be calibrated to the expected revision magnitude.</w:t>
      </w:r>
    </w:p>
    <w:p w14:paraId="198C8E8B"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5. CAPEX Data Gap</w:t>
      </w:r>
      <w:r w:rsidRPr="00EE3EF2">
        <w:rPr>
          <w:rFonts w:ascii="Times New Roman" w:hAnsi="Times New Roman" w:cs="Times New Roman"/>
          <w:sz w:val="24"/>
          <w:szCs w:val="24"/>
        </w:rPr>
        <w:t xml:space="preserve"> Actuals CAPEX Qty is entirely zero across all 500,000+ rows of the Actual table. CAPEX forecast accuracy analysis is completely infeasible. The organisation is forecasting CAPEX expenditure but not recording actuals against it — this is a fundamental SIOP process gap that prevents capital expenditure review.</w:t>
      </w:r>
    </w:p>
    <w:p w14:paraId="40452B76"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6. Lifecycle Data Gap</w:t>
      </w:r>
      <w:r w:rsidRPr="00EE3EF2">
        <w:rPr>
          <w:rFonts w:ascii="Times New Roman" w:hAnsi="Times New Roman" w:cs="Times New Roman"/>
          <w:sz w:val="24"/>
          <w:szCs w:val="24"/>
        </w:rPr>
        <w:t xml:space="preserve"> 94.7% of Lifecycle values are null or unclassified. Lifecycle-based demand segmentation (Introduction / Growth / Maturity / Decline), ABC-XYZ classification, and differentiated forecasting strategy by lifecycle stage are all blocked by this gap. Populating this field for active SKUs should be a near-term data governance priority.</w:t>
      </w:r>
    </w:p>
    <w:p w14:paraId="1B6ED3C0" w14:textId="5C693A4F" w:rsidR="00EE3EF2" w:rsidRPr="00EE3EF2" w:rsidRDefault="00EE3EF2" w:rsidP="00EE3EF2">
      <w:r>
        <w:br w:type="page"/>
      </w:r>
    </w:p>
    <w:p w14:paraId="16835EB3" w14:textId="35B742D7" w:rsidR="00EE3EF2" w:rsidRPr="00EE3EF2" w:rsidRDefault="00EE3EF2" w:rsidP="00EE3EF2">
      <w:pPr>
        <w:rPr>
          <w:rFonts w:ascii="Times New Roman" w:hAnsi="Times New Roman" w:cs="Times New Roman"/>
          <w:b/>
          <w:bCs/>
          <w:sz w:val="24"/>
          <w:szCs w:val="24"/>
        </w:rPr>
      </w:pPr>
      <w:r w:rsidRPr="00EE3EF2">
        <w:rPr>
          <w:rFonts w:ascii="Times New Roman" w:hAnsi="Times New Roman" w:cs="Times New Roman"/>
          <w:b/>
          <w:bCs/>
          <w:sz w:val="24"/>
          <w:szCs w:val="24"/>
        </w:rPr>
        <w:lastRenderedPageBreak/>
        <w:t xml:space="preserve">SECTION 12 </w:t>
      </w:r>
      <w:r w:rsidRPr="00EE3EF2">
        <w:rPr>
          <w:rFonts w:ascii="Times New Roman" w:hAnsi="Times New Roman" w:cs="Times New Roman"/>
          <w:b/>
          <w:bCs/>
          <w:sz w:val="24"/>
          <w:szCs w:val="24"/>
        </w:rPr>
        <w:t xml:space="preserve">: </w:t>
      </w:r>
      <w:r w:rsidRPr="00EE3EF2">
        <w:rPr>
          <w:rFonts w:ascii="Times New Roman" w:hAnsi="Times New Roman" w:cs="Times New Roman"/>
          <w:b/>
          <w:bCs/>
          <w:sz w:val="24"/>
          <w:szCs w:val="24"/>
        </w:rPr>
        <w:t>RECOMMENDATIONS &amp; ROADMAP</w:t>
      </w:r>
    </w:p>
    <w:p w14:paraId="48D4BDF6" w14:textId="77777777" w:rsidR="00EE3EF2" w:rsidRPr="00EE3EF2" w:rsidRDefault="00EE3EF2" w:rsidP="00EE3EF2">
      <w:pPr>
        <w:rPr>
          <w:b/>
          <w:bCs/>
        </w:rPr>
      </w:pPr>
      <w:r w:rsidRPr="00EE3EF2">
        <w:rPr>
          <w:b/>
          <w:bCs/>
        </w:rPr>
        <w:t>Priority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5543"/>
        <w:gridCol w:w="2787"/>
        <w:gridCol w:w="830"/>
      </w:tblGrid>
      <w:tr w:rsidR="00EE3EF2" w:rsidRPr="00EE3EF2" w14:paraId="5EAF49A1" w14:textId="77777777">
        <w:trPr>
          <w:tblHeader/>
          <w:tblCellSpacing w:w="15" w:type="dxa"/>
        </w:trPr>
        <w:tc>
          <w:tcPr>
            <w:tcW w:w="0" w:type="auto"/>
            <w:vAlign w:val="center"/>
            <w:hideMark/>
          </w:tcPr>
          <w:p w14:paraId="24886467" w14:textId="77777777" w:rsidR="00EE3EF2" w:rsidRPr="00EE3EF2" w:rsidRDefault="00EE3EF2" w:rsidP="00EE3EF2">
            <w:pPr>
              <w:rPr>
                <w:b/>
                <w:bCs/>
              </w:rPr>
            </w:pPr>
            <w:r w:rsidRPr="00EE3EF2">
              <w:rPr>
                <w:b/>
                <w:bCs/>
              </w:rPr>
              <w:t>Priority</w:t>
            </w:r>
          </w:p>
        </w:tc>
        <w:tc>
          <w:tcPr>
            <w:tcW w:w="0" w:type="auto"/>
            <w:vAlign w:val="center"/>
            <w:hideMark/>
          </w:tcPr>
          <w:p w14:paraId="1F809BB0" w14:textId="77777777" w:rsidR="00EE3EF2" w:rsidRPr="00EE3EF2" w:rsidRDefault="00EE3EF2" w:rsidP="00EE3EF2">
            <w:pPr>
              <w:rPr>
                <w:b/>
                <w:bCs/>
              </w:rPr>
            </w:pPr>
            <w:r w:rsidRPr="00EE3EF2">
              <w:rPr>
                <w:b/>
                <w:bCs/>
              </w:rPr>
              <w:t>Recommendation</w:t>
            </w:r>
          </w:p>
        </w:tc>
        <w:tc>
          <w:tcPr>
            <w:tcW w:w="0" w:type="auto"/>
            <w:vAlign w:val="center"/>
            <w:hideMark/>
          </w:tcPr>
          <w:p w14:paraId="23E1615E" w14:textId="77777777" w:rsidR="00EE3EF2" w:rsidRPr="00EE3EF2" w:rsidRDefault="00EE3EF2" w:rsidP="00EE3EF2">
            <w:pPr>
              <w:rPr>
                <w:b/>
                <w:bCs/>
              </w:rPr>
            </w:pPr>
            <w:r w:rsidRPr="00EE3EF2">
              <w:rPr>
                <w:b/>
                <w:bCs/>
              </w:rPr>
              <w:t>Expected Impact</w:t>
            </w:r>
          </w:p>
        </w:tc>
        <w:tc>
          <w:tcPr>
            <w:tcW w:w="0" w:type="auto"/>
            <w:vAlign w:val="center"/>
            <w:hideMark/>
          </w:tcPr>
          <w:p w14:paraId="18610FFE" w14:textId="77777777" w:rsidR="00EE3EF2" w:rsidRPr="00EE3EF2" w:rsidRDefault="00EE3EF2" w:rsidP="00EE3EF2">
            <w:pPr>
              <w:rPr>
                <w:b/>
                <w:bCs/>
              </w:rPr>
            </w:pPr>
            <w:r w:rsidRPr="00EE3EF2">
              <w:rPr>
                <w:b/>
                <w:bCs/>
              </w:rPr>
              <w:t>Effort</w:t>
            </w:r>
          </w:p>
        </w:tc>
      </w:tr>
      <w:tr w:rsidR="00EE3EF2" w:rsidRPr="00EE3EF2" w14:paraId="6CF08140" w14:textId="77777777">
        <w:trPr>
          <w:tblCellSpacing w:w="15" w:type="dxa"/>
        </w:trPr>
        <w:tc>
          <w:tcPr>
            <w:tcW w:w="0" w:type="auto"/>
            <w:vAlign w:val="center"/>
            <w:hideMark/>
          </w:tcPr>
          <w:p w14:paraId="05A894D6" w14:textId="77777777" w:rsidR="00EE3EF2" w:rsidRPr="00EE3EF2" w:rsidRDefault="00EE3EF2" w:rsidP="00EE3EF2">
            <w:r w:rsidRPr="00EE3EF2">
              <w:t>Critical</w:t>
            </w:r>
          </w:p>
        </w:tc>
        <w:tc>
          <w:tcPr>
            <w:tcW w:w="0" w:type="auto"/>
            <w:vAlign w:val="center"/>
            <w:hideMark/>
          </w:tcPr>
          <w:p w14:paraId="2F628613" w14:textId="77777777" w:rsidR="00EE3EF2" w:rsidRPr="00EE3EF2" w:rsidRDefault="00EE3EF2" w:rsidP="00EE3EF2">
            <w:r w:rsidRPr="00EE3EF2">
              <w:t>Root cause analysis for −43% under-forecast bias in Country A — review demand sensing process, sales input quality, and statistical model baseline</w:t>
            </w:r>
          </w:p>
        </w:tc>
        <w:tc>
          <w:tcPr>
            <w:tcW w:w="0" w:type="auto"/>
            <w:vAlign w:val="center"/>
            <w:hideMark/>
          </w:tcPr>
          <w:p w14:paraId="71BE4072" w14:textId="77777777" w:rsidR="00EE3EF2" w:rsidRPr="00EE3EF2" w:rsidRDefault="00EE3EF2" w:rsidP="00EE3EF2">
            <w:r w:rsidRPr="00EE3EF2">
              <w:t>Prevents supply shortages across 65% of volume</w:t>
            </w:r>
          </w:p>
        </w:tc>
        <w:tc>
          <w:tcPr>
            <w:tcW w:w="0" w:type="auto"/>
            <w:vAlign w:val="center"/>
            <w:hideMark/>
          </w:tcPr>
          <w:p w14:paraId="2ABB4270" w14:textId="77777777" w:rsidR="00EE3EF2" w:rsidRPr="00EE3EF2" w:rsidRDefault="00EE3EF2" w:rsidP="00EE3EF2">
            <w:r w:rsidRPr="00EE3EF2">
              <w:t>High</w:t>
            </w:r>
          </w:p>
        </w:tc>
      </w:tr>
      <w:tr w:rsidR="00EE3EF2" w:rsidRPr="00EE3EF2" w14:paraId="2B038073" w14:textId="77777777">
        <w:trPr>
          <w:tblCellSpacing w:w="15" w:type="dxa"/>
        </w:trPr>
        <w:tc>
          <w:tcPr>
            <w:tcW w:w="0" w:type="auto"/>
            <w:vAlign w:val="center"/>
            <w:hideMark/>
          </w:tcPr>
          <w:p w14:paraId="619B67CA" w14:textId="77777777" w:rsidR="00EE3EF2" w:rsidRPr="00EE3EF2" w:rsidRDefault="00EE3EF2" w:rsidP="00EE3EF2">
            <w:r w:rsidRPr="00EE3EF2">
              <w:t>Critical</w:t>
            </w:r>
          </w:p>
        </w:tc>
        <w:tc>
          <w:tcPr>
            <w:tcW w:w="0" w:type="auto"/>
            <w:vAlign w:val="center"/>
            <w:hideMark/>
          </w:tcPr>
          <w:p w14:paraId="21E98DD2" w14:textId="77777777" w:rsidR="00EE3EF2" w:rsidRPr="00EE3EF2" w:rsidRDefault="00EE3EF2" w:rsidP="00EE3EF2">
            <w:r w:rsidRPr="00EE3EF2">
              <w:t>Investigate Countries B and D extreme over-forecast (320% and 1,286% bias) — check if items are incorrectly classified or carry stale forecasts</w:t>
            </w:r>
          </w:p>
        </w:tc>
        <w:tc>
          <w:tcPr>
            <w:tcW w:w="0" w:type="auto"/>
            <w:vAlign w:val="center"/>
            <w:hideMark/>
          </w:tcPr>
          <w:p w14:paraId="17F2782D" w14:textId="77777777" w:rsidR="00EE3EF2" w:rsidRPr="00EE3EF2" w:rsidRDefault="00EE3EF2" w:rsidP="00EE3EF2">
            <w:r w:rsidRPr="00EE3EF2">
              <w:t>Reduces excess inventory and write-offs</w:t>
            </w:r>
          </w:p>
        </w:tc>
        <w:tc>
          <w:tcPr>
            <w:tcW w:w="0" w:type="auto"/>
            <w:vAlign w:val="center"/>
            <w:hideMark/>
          </w:tcPr>
          <w:p w14:paraId="4BF90361" w14:textId="77777777" w:rsidR="00EE3EF2" w:rsidRPr="00EE3EF2" w:rsidRDefault="00EE3EF2" w:rsidP="00EE3EF2">
            <w:r w:rsidRPr="00EE3EF2">
              <w:t>High</w:t>
            </w:r>
          </w:p>
        </w:tc>
      </w:tr>
      <w:tr w:rsidR="00EE3EF2" w:rsidRPr="00EE3EF2" w14:paraId="54C6E091" w14:textId="77777777">
        <w:trPr>
          <w:tblCellSpacing w:w="15" w:type="dxa"/>
        </w:trPr>
        <w:tc>
          <w:tcPr>
            <w:tcW w:w="0" w:type="auto"/>
            <w:vAlign w:val="center"/>
            <w:hideMark/>
          </w:tcPr>
          <w:p w14:paraId="406377F2" w14:textId="77777777" w:rsidR="00EE3EF2" w:rsidRPr="00EE3EF2" w:rsidRDefault="00EE3EF2" w:rsidP="00EE3EF2">
            <w:r w:rsidRPr="00EE3EF2">
              <w:t>High</w:t>
            </w:r>
          </w:p>
        </w:tc>
        <w:tc>
          <w:tcPr>
            <w:tcW w:w="0" w:type="auto"/>
            <w:vAlign w:val="center"/>
            <w:hideMark/>
          </w:tcPr>
          <w:p w14:paraId="42FD5349" w14:textId="77777777" w:rsidR="00EE3EF2" w:rsidRPr="00EE3EF2" w:rsidRDefault="00EE3EF2" w:rsidP="00EE3EF2">
            <w:r w:rsidRPr="00EE3EF2">
              <w:t>Implement statistical demand sensing for Country A top Pareto items</w:t>
            </w:r>
          </w:p>
        </w:tc>
        <w:tc>
          <w:tcPr>
            <w:tcW w:w="0" w:type="auto"/>
            <w:vAlign w:val="center"/>
            <w:hideMark/>
          </w:tcPr>
          <w:p w14:paraId="0B70DF3B" w14:textId="77777777" w:rsidR="00EE3EF2" w:rsidRPr="00EE3EF2" w:rsidRDefault="00EE3EF2" w:rsidP="00EE3EF2">
            <w:r w:rsidRPr="00EE3EF2">
              <w:t>+15–20% accuracy gain on highest-volume SKUs</w:t>
            </w:r>
          </w:p>
        </w:tc>
        <w:tc>
          <w:tcPr>
            <w:tcW w:w="0" w:type="auto"/>
            <w:vAlign w:val="center"/>
            <w:hideMark/>
          </w:tcPr>
          <w:p w14:paraId="04308765" w14:textId="77777777" w:rsidR="00EE3EF2" w:rsidRPr="00EE3EF2" w:rsidRDefault="00EE3EF2" w:rsidP="00EE3EF2">
            <w:r w:rsidRPr="00EE3EF2">
              <w:t>Medium</w:t>
            </w:r>
          </w:p>
        </w:tc>
      </w:tr>
      <w:tr w:rsidR="00EE3EF2" w:rsidRPr="00EE3EF2" w14:paraId="08245075" w14:textId="77777777">
        <w:trPr>
          <w:tblCellSpacing w:w="15" w:type="dxa"/>
        </w:trPr>
        <w:tc>
          <w:tcPr>
            <w:tcW w:w="0" w:type="auto"/>
            <w:vAlign w:val="center"/>
            <w:hideMark/>
          </w:tcPr>
          <w:p w14:paraId="6CA20153" w14:textId="77777777" w:rsidR="00EE3EF2" w:rsidRPr="00EE3EF2" w:rsidRDefault="00EE3EF2" w:rsidP="00EE3EF2">
            <w:r w:rsidRPr="00EE3EF2">
              <w:t>High</w:t>
            </w:r>
          </w:p>
        </w:tc>
        <w:tc>
          <w:tcPr>
            <w:tcW w:w="0" w:type="auto"/>
            <w:vAlign w:val="center"/>
            <w:hideMark/>
          </w:tcPr>
          <w:p w14:paraId="1E19C783" w14:textId="77777777" w:rsidR="00EE3EF2" w:rsidRPr="00EE3EF2" w:rsidRDefault="00EE3EF2" w:rsidP="00EE3EF2">
            <w:r w:rsidRPr="00EE3EF2">
              <w:t>Set SKU-level and country-level accuracy targets rather than a single aggregate KPI</w:t>
            </w:r>
          </w:p>
        </w:tc>
        <w:tc>
          <w:tcPr>
            <w:tcW w:w="0" w:type="auto"/>
            <w:vAlign w:val="center"/>
            <w:hideMark/>
          </w:tcPr>
          <w:p w14:paraId="5E07B7E4" w14:textId="77777777" w:rsidR="00EE3EF2" w:rsidRPr="00EE3EF2" w:rsidRDefault="00EE3EF2" w:rsidP="00EE3EF2">
            <w:r w:rsidRPr="00EE3EF2">
              <w:t>Identifies specific weak spots early in the review cycle</w:t>
            </w:r>
          </w:p>
        </w:tc>
        <w:tc>
          <w:tcPr>
            <w:tcW w:w="0" w:type="auto"/>
            <w:vAlign w:val="center"/>
            <w:hideMark/>
          </w:tcPr>
          <w:p w14:paraId="692694B8" w14:textId="77777777" w:rsidR="00EE3EF2" w:rsidRPr="00EE3EF2" w:rsidRDefault="00EE3EF2" w:rsidP="00EE3EF2">
            <w:r w:rsidRPr="00EE3EF2">
              <w:t>Low</w:t>
            </w:r>
          </w:p>
        </w:tc>
      </w:tr>
      <w:tr w:rsidR="00EE3EF2" w:rsidRPr="00EE3EF2" w14:paraId="5834C53D" w14:textId="77777777">
        <w:trPr>
          <w:tblCellSpacing w:w="15" w:type="dxa"/>
        </w:trPr>
        <w:tc>
          <w:tcPr>
            <w:tcW w:w="0" w:type="auto"/>
            <w:vAlign w:val="center"/>
            <w:hideMark/>
          </w:tcPr>
          <w:p w14:paraId="742F4469" w14:textId="77777777" w:rsidR="00EE3EF2" w:rsidRPr="00EE3EF2" w:rsidRDefault="00EE3EF2" w:rsidP="00EE3EF2">
            <w:r w:rsidRPr="00EE3EF2">
              <w:t>High</w:t>
            </w:r>
          </w:p>
        </w:tc>
        <w:tc>
          <w:tcPr>
            <w:tcW w:w="0" w:type="auto"/>
            <w:vAlign w:val="center"/>
            <w:hideMark/>
          </w:tcPr>
          <w:p w14:paraId="54605AEB" w14:textId="77777777" w:rsidR="00EE3EF2" w:rsidRPr="00EE3EF2" w:rsidRDefault="00EE3EF2" w:rsidP="00EE3EF2">
            <w:r w:rsidRPr="00EE3EF2">
              <w:t>Calibrate safety stock policies to expected revision magnitude (Lag 1 to Resultant delta)</w:t>
            </w:r>
          </w:p>
        </w:tc>
        <w:tc>
          <w:tcPr>
            <w:tcW w:w="0" w:type="auto"/>
            <w:vAlign w:val="center"/>
            <w:hideMark/>
          </w:tcPr>
          <w:p w14:paraId="0F8CBD12" w14:textId="77777777" w:rsidR="00EE3EF2" w:rsidRPr="00EE3EF2" w:rsidRDefault="00EE3EF2" w:rsidP="00EE3EF2">
            <w:r w:rsidRPr="00EE3EF2">
              <w:t>Reduces stockouts in early planning cycles</w:t>
            </w:r>
          </w:p>
        </w:tc>
        <w:tc>
          <w:tcPr>
            <w:tcW w:w="0" w:type="auto"/>
            <w:vAlign w:val="center"/>
            <w:hideMark/>
          </w:tcPr>
          <w:p w14:paraId="253E0AE5" w14:textId="77777777" w:rsidR="00EE3EF2" w:rsidRPr="00EE3EF2" w:rsidRDefault="00EE3EF2" w:rsidP="00EE3EF2">
            <w:r w:rsidRPr="00EE3EF2">
              <w:t>Medium</w:t>
            </w:r>
          </w:p>
        </w:tc>
      </w:tr>
      <w:tr w:rsidR="00EE3EF2" w:rsidRPr="00EE3EF2" w14:paraId="34FAE108" w14:textId="77777777">
        <w:trPr>
          <w:tblCellSpacing w:w="15" w:type="dxa"/>
        </w:trPr>
        <w:tc>
          <w:tcPr>
            <w:tcW w:w="0" w:type="auto"/>
            <w:vAlign w:val="center"/>
            <w:hideMark/>
          </w:tcPr>
          <w:p w14:paraId="7B7F8B06" w14:textId="77777777" w:rsidR="00EE3EF2" w:rsidRPr="00EE3EF2" w:rsidRDefault="00EE3EF2" w:rsidP="00EE3EF2">
            <w:r w:rsidRPr="00EE3EF2">
              <w:t>Medium</w:t>
            </w:r>
          </w:p>
        </w:tc>
        <w:tc>
          <w:tcPr>
            <w:tcW w:w="0" w:type="auto"/>
            <w:vAlign w:val="center"/>
            <w:hideMark/>
          </w:tcPr>
          <w:p w14:paraId="67056B86" w14:textId="77777777" w:rsidR="00EE3EF2" w:rsidRPr="00EE3EF2" w:rsidRDefault="00EE3EF2" w:rsidP="00EE3EF2">
            <w:r w:rsidRPr="00EE3EF2">
              <w:t>Populate Lifecycle field for all active SKUs to enable ABC-XYZ segmented forecasting</w:t>
            </w:r>
          </w:p>
        </w:tc>
        <w:tc>
          <w:tcPr>
            <w:tcW w:w="0" w:type="auto"/>
            <w:vAlign w:val="center"/>
            <w:hideMark/>
          </w:tcPr>
          <w:p w14:paraId="55FAE7BE" w14:textId="77777777" w:rsidR="00EE3EF2" w:rsidRPr="00EE3EF2" w:rsidRDefault="00EE3EF2" w:rsidP="00EE3EF2">
            <w:r w:rsidRPr="00EE3EF2">
              <w:t>Unlocks lifecycle-differentiated forecast strategies</w:t>
            </w:r>
          </w:p>
        </w:tc>
        <w:tc>
          <w:tcPr>
            <w:tcW w:w="0" w:type="auto"/>
            <w:vAlign w:val="center"/>
            <w:hideMark/>
          </w:tcPr>
          <w:p w14:paraId="15994BBA" w14:textId="77777777" w:rsidR="00EE3EF2" w:rsidRPr="00EE3EF2" w:rsidRDefault="00EE3EF2" w:rsidP="00EE3EF2">
            <w:r w:rsidRPr="00EE3EF2">
              <w:t>Low</w:t>
            </w:r>
          </w:p>
        </w:tc>
      </w:tr>
      <w:tr w:rsidR="00EE3EF2" w:rsidRPr="00EE3EF2" w14:paraId="7BDD7F66" w14:textId="77777777">
        <w:trPr>
          <w:tblCellSpacing w:w="15" w:type="dxa"/>
        </w:trPr>
        <w:tc>
          <w:tcPr>
            <w:tcW w:w="0" w:type="auto"/>
            <w:vAlign w:val="center"/>
            <w:hideMark/>
          </w:tcPr>
          <w:p w14:paraId="1797CE2B" w14:textId="77777777" w:rsidR="00EE3EF2" w:rsidRPr="00EE3EF2" w:rsidRDefault="00EE3EF2" w:rsidP="00EE3EF2">
            <w:r w:rsidRPr="00EE3EF2">
              <w:t>Medium</w:t>
            </w:r>
          </w:p>
        </w:tc>
        <w:tc>
          <w:tcPr>
            <w:tcW w:w="0" w:type="auto"/>
            <w:vAlign w:val="center"/>
            <w:hideMark/>
          </w:tcPr>
          <w:p w14:paraId="35CD0E6E" w14:textId="77777777" w:rsidR="00EE3EF2" w:rsidRPr="00EE3EF2" w:rsidRDefault="00EE3EF2" w:rsidP="00EE3EF2">
            <w:r w:rsidRPr="00EE3EF2">
              <w:t>Collect and record CAPEX actuals systematically</w:t>
            </w:r>
          </w:p>
        </w:tc>
        <w:tc>
          <w:tcPr>
            <w:tcW w:w="0" w:type="auto"/>
            <w:vAlign w:val="center"/>
            <w:hideMark/>
          </w:tcPr>
          <w:p w14:paraId="16AF5E64" w14:textId="77777777" w:rsidR="00EE3EF2" w:rsidRPr="00EE3EF2" w:rsidRDefault="00EE3EF2" w:rsidP="00EE3EF2">
            <w:r w:rsidRPr="00EE3EF2">
              <w:t>Enables CAPEX KPI tracking and capital planning review</w:t>
            </w:r>
          </w:p>
        </w:tc>
        <w:tc>
          <w:tcPr>
            <w:tcW w:w="0" w:type="auto"/>
            <w:vAlign w:val="center"/>
            <w:hideMark/>
          </w:tcPr>
          <w:p w14:paraId="60C4E04B" w14:textId="77777777" w:rsidR="00EE3EF2" w:rsidRPr="00EE3EF2" w:rsidRDefault="00EE3EF2" w:rsidP="00EE3EF2">
            <w:r w:rsidRPr="00EE3EF2">
              <w:t>Medium</w:t>
            </w:r>
          </w:p>
        </w:tc>
      </w:tr>
      <w:tr w:rsidR="00EE3EF2" w:rsidRPr="00EE3EF2" w14:paraId="09B51915" w14:textId="77777777">
        <w:trPr>
          <w:tblCellSpacing w:w="15" w:type="dxa"/>
        </w:trPr>
        <w:tc>
          <w:tcPr>
            <w:tcW w:w="0" w:type="auto"/>
            <w:vAlign w:val="center"/>
            <w:hideMark/>
          </w:tcPr>
          <w:p w14:paraId="7B6D6A4E" w14:textId="77777777" w:rsidR="00EE3EF2" w:rsidRPr="00EE3EF2" w:rsidRDefault="00EE3EF2" w:rsidP="00EE3EF2">
            <w:r w:rsidRPr="00EE3EF2">
              <w:t>Medium</w:t>
            </w:r>
          </w:p>
        </w:tc>
        <w:tc>
          <w:tcPr>
            <w:tcW w:w="0" w:type="auto"/>
            <w:vAlign w:val="center"/>
            <w:hideMark/>
          </w:tcPr>
          <w:p w14:paraId="2F943516" w14:textId="77777777" w:rsidR="00EE3EF2" w:rsidRPr="00EE3EF2" w:rsidRDefault="00EE3EF2" w:rsidP="00EE3EF2">
            <w:r w:rsidRPr="00EE3EF2">
              <w:t>Set per-horizon accuracy targets (Period Offset 0–3 vs 4–14)</w:t>
            </w:r>
          </w:p>
        </w:tc>
        <w:tc>
          <w:tcPr>
            <w:tcW w:w="0" w:type="auto"/>
            <w:vAlign w:val="center"/>
            <w:hideMark/>
          </w:tcPr>
          <w:p w14:paraId="63C5657B" w14:textId="77777777" w:rsidR="00EE3EF2" w:rsidRPr="00EE3EF2" w:rsidRDefault="00EE3EF2" w:rsidP="00EE3EF2">
            <w:r w:rsidRPr="00EE3EF2">
              <w:t>Realistic KPI expectations by forecast horizon</w:t>
            </w:r>
          </w:p>
        </w:tc>
        <w:tc>
          <w:tcPr>
            <w:tcW w:w="0" w:type="auto"/>
            <w:vAlign w:val="center"/>
            <w:hideMark/>
          </w:tcPr>
          <w:p w14:paraId="26D30D61" w14:textId="77777777" w:rsidR="00EE3EF2" w:rsidRPr="00EE3EF2" w:rsidRDefault="00EE3EF2" w:rsidP="00EE3EF2">
            <w:r w:rsidRPr="00EE3EF2">
              <w:t>Low</w:t>
            </w:r>
          </w:p>
        </w:tc>
      </w:tr>
      <w:tr w:rsidR="00EE3EF2" w:rsidRPr="00EE3EF2" w14:paraId="34432F43" w14:textId="77777777">
        <w:trPr>
          <w:tblCellSpacing w:w="15" w:type="dxa"/>
        </w:trPr>
        <w:tc>
          <w:tcPr>
            <w:tcW w:w="0" w:type="auto"/>
            <w:vAlign w:val="center"/>
            <w:hideMark/>
          </w:tcPr>
          <w:p w14:paraId="0390021D" w14:textId="77777777" w:rsidR="00EE3EF2" w:rsidRPr="00EE3EF2" w:rsidRDefault="00EE3EF2" w:rsidP="00EE3EF2">
            <w:r w:rsidRPr="00EE3EF2">
              <w:t>Low</w:t>
            </w:r>
          </w:p>
        </w:tc>
        <w:tc>
          <w:tcPr>
            <w:tcW w:w="0" w:type="auto"/>
            <w:vAlign w:val="center"/>
            <w:hideMark/>
          </w:tcPr>
          <w:p w14:paraId="46ADD0F3" w14:textId="77777777" w:rsidR="00EE3EF2" w:rsidRPr="00EE3EF2" w:rsidRDefault="00EE3EF2" w:rsidP="00EE3EF2">
            <w:r w:rsidRPr="00EE3EF2">
              <w:t>Add Lag 2 and Lag 3 snapshots to extend accuracy trend visibility</w:t>
            </w:r>
          </w:p>
        </w:tc>
        <w:tc>
          <w:tcPr>
            <w:tcW w:w="0" w:type="auto"/>
            <w:vAlign w:val="center"/>
            <w:hideMark/>
          </w:tcPr>
          <w:p w14:paraId="1535DFE2" w14:textId="77777777" w:rsidR="00EE3EF2" w:rsidRPr="00EE3EF2" w:rsidRDefault="00EE3EF2" w:rsidP="00EE3EF2">
            <w:r w:rsidRPr="00EE3EF2">
              <w:t>Shows whether accuracy deteriorates further at longer horizons</w:t>
            </w:r>
          </w:p>
        </w:tc>
        <w:tc>
          <w:tcPr>
            <w:tcW w:w="0" w:type="auto"/>
            <w:vAlign w:val="center"/>
            <w:hideMark/>
          </w:tcPr>
          <w:p w14:paraId="4EDAA044" w14:textId="77777777" w:rsidR="00EE3EF2" w:rsidRPr="00EE3EF2" w:rsidRDefault="00EE3EF2" w:rsidP="00EE3EF2">
            <w:r w:rsidRPr="00EE3EF2">
              <w:t>Low</w:t>
            </w:r>
          </w:p>
        </w:tc>
      </w:tr>
      <w:tr w:rsidR="00EE3EF2" w:rsidRPr="00EE3EF2" w14:paraId="196CE2CC" w14:textId="77777777">
        <w:trPr>
          <w:tblCellSpacing w:w="15" w:type="dxa"/>
        </w:trPr>
        <w:tc>
          <w:tcPr>
            <w:tcW w:w="0" w:type="auto"/>
            <w:vAlign w:val="center"/>
            <w:hideMark/>
          </w:tcPr>
          <w:p w14:paraId="10790006" w14:textId="77777777" w:rsidR="00EE3EF2" w:rsidRPr="00EE3EF2" w:rsidRDefault="00EE3EF2" w:rsidP="00EE3EF2">
            <w:r w:rsidRPr="00EE3EF2">
              <w:t>Low</w:t>
            </w:r>
          </w:p>
        </w:tc>
        <w:tc>
          <w:tcPr>
            <w:tcW w:w="0" w:type="auto"/>
            <w:vAlign w:val="center"/>
            <w:hideMark/>
          </w:tcPr>
          <w:p w14:paraId="0D02A220" w14:textId="77777777" w:rsidR="00EE3EF2" w:rsidRPr="00EE3EF2" w:rsidRDefault="00EE3EF2" w:rsidP="00EE3EF2">
            <w:r w:rsidRPr="00EE3EF2">
              <w:t>Standardise Item key format across Forecast and Actual tables</w:t>
            </w:r>
          </w:p>
        </w:tc>
        <w:tc>
          <w:tcPr>
            <w:tcW w:w="0" w:type="auto"/>
            <w:vAlign w:val="center"/>
            <w:hideMark/>
          </w:tcPr>
          <w:p w14:paraId="39126517" w14:textId="77777777" w:rsidR="00EE3EF2" w:rsidRPr="00EE3EF2" w:rsidRDefault="00EE3EF2" w:rsidP="00EE3EF2">
            <w:r w:rsidRPr="00EE3EF2">
              <w:t>Prevents silent join mismatches; data governance hygiene</w:t>
            </w:r>
          </w:p>
        </w:tc>
        <w:tc>
          <w:tcPr>
            <w:tcW w:w="0" w:type="auto"/>
            <w:vAlign w:val="center"/>
            <w:hideMark/>
          </w:tcPr>
          <w:p w14:paraId="11BCF76E" w14:textId="77777777" w:rsidR="00EE3EF2" w:rsidRPr="00EE3EF2" w:rsidRDefault="00EE3EF2" w:rsidP="00EE3EF2">
            <w:r w:rsidRPr="00EE3EF2">
              <w:t>Low</w:t>
            </w:r>
          </w:p>
        </w:tc>
      </w:tr>
    </w:tbl>
    <w:p w14:paraId="73D91154" w14:textId="77777777" w:rsidR="00EE3EF2" w:rsidRDefault="00EE3EF2" w:rsidP="00EE3EF2">
      <w:pPr>
        <w:rPr>
          <w:b/>
          <w:bCs/>
        </w:rPr>
      </w:pPr>
    </w:p>
    <w:p w14:paraId="0145698E" w14:textId="661F6AE3" w:rsidR="00EE3EF2" w:rsidRPr="00EE3EF2" w:rsidRDefault="00EE3EF2" w:rsidP="00EE3EF2">
      <w:pPr>
        <w:jc w:val="both"/>
        <w:rPr>
          <w:b/>
          <w:bCs/>
          <w:sz w:val="24"/>
          <w:szCs w:val="24"/>
        </w:rPr>
      </w:pPr>
      <w:r w:rsidRPr="00EE3EF2">
        <w:rPr>
          <w:b/>
          <w:bCs/>
          <w:sz w:val="24"/>
          <w:szCs w:val="24"/>
        </w:rPr>
        <w:t>Accuracy Improvement Roadmap</w:t>
      </w:r>
    </w:p>
    <w:p w14:paraId="5EEF1DF6" w14:textId="77777777" w:rsidR="00EE3EF2" w:rsidRPr="00EE3EF2" w:rsidRDefault="00EE3EF2" w:rsidP="00EE3EF2">
      <w:pPr>
        <w:numPr>
          <w:ilvl w:val="0"/>
          <w:numId w:val="22"/>
        </w:numPr>
        <w:jc w:val="both"/>
        <w:rPr>
          <w:sz w:val="24"/>
          <w:szCs w:val="24"/>
        </w:rPr>
      </w:pPr>
      <w:r w:rsidRPr="00EE3EF2">
        <w:rPr>
          <w:b/>
          <w:bCs/>
          <w:sz w:val="24"/>
          <w:szCs w:val="24"/>
        </w:rPr>
        <w:t>Baseline (current):</w:t>
      </w:r>
      <w:r w:rsidRPr="00EE3EF2">
        <w:rPr>
          <w:sz w:val="24"/>
          <w:szCs w:val="24"/>
        </w:rPr>
        <w:t xml:space="preserve"> 57% Forecast Accuracy Lag 0</w:t>
      </w:r>
    </w:p>
    <w:p w14:paraId="165D5B1C" w14:textId="77777777" w:rsidR="00EE3EF2" w:rsidRPr="00EE3EF2" w:rsidRDefault="00EE3EF2" w:rsidP="00EE3EF2">
      <w:pPr>
        <w:numPr>
          <w:ilvl w:val="0"/>
          <w:numId w:val="22"/>
        </w:numPr>
        <w:jc w:val="both"/>
        <w:rPr>
          <w:sz w:val="24"/>
          <w:szCs w:val="24"/>
        </w:rPr>
      </w:pPr>
      <w:r w:rsidRPr="00EE3EF2">
        <w:rPr>
          <w:b/>
          <w:bCs/>
          <w:sz w:val="24"/>
          <w:szCs w:val="24"/>
        </w:rPr>
        <w:t>Q2 target:</w:t>
      </w:r>
      <w:r w:rsidRPr="00EE3EF2">
        <w:rPr>
          <w:sz w:val="24"/>
          <w:szCs w:val="24"/>
        </w:rPr>
        <w:t xml:space="preserve"> 65% — achieved by root cause resolution on Country A and removing extreme outlier items (B/D) from the base</w:t>
      </w:r>
    </w:p>
    <w:p w14:paraId="167CFFF7" w14:textId="77777777" w:rsidR="00EE3EF2" w:rsidRPr="00EE3EF2" w:rsidRDefault="00EE3EF2" w:rsidP="00EE3EF2">
      <w:pPr>
        <w:numPr>
          <w:ilvl w:val="0"/>
          <w:numId w:val="22"/>
        </w:numPr>
        <w:jc w:val="both"/>
        <w:rPr>
          <w:sz w:val="24"/>
          <w:szCs w:val="24"/>
        </w:rPr>
      </w:pPr>
      <w:r w:rsidRPr="00EE3EF2">
        <w:rPr>
          <w:b/>
          <w:bCs/>
          <w:sz w:val="24"/>
          <w:szCs w:val="24"/>
        </w:rPr>
        <w:t>Q3 target:</w:t>
      </w:r>
      <w:r w:rsidRPr="00EE3EF2">
        <w:rPr>
          <w:sz w:val="24"/>
          <w:szCs w:val="24"/>
        </w:rPr>
        <w:t xml:space="preserve"> 75% — achieved by implementing statistical demand sensing for Pareto A-items</w:t>
      </w:r>
    </w:p>
    <w:p w14:paraId="54746273" w14:textId="77777777" w:rsidR="00EE3EF2" w:rsidRPr="00EE3EF2" w:rsidRDefault="00EE3EF2" w:rsidP="00EE3EF2">
      <w:pPr>
        <w:numPr>
          <w:ilvl w:val="0"/>
          <w:numId w:val="22"/>
        </w:numPr>
        <w:jc w:val="both"/>
        <w:rPr>
          <w:sz w:val="24"/>
          <w:szCs w:val="24"/>
        </w:rPr>
      </w:pPr>
      <w:r w:rsidRPr="00EE3EF2">
        <w:rPr>
          <w:b/>
          <w:bCs/>
          <w:sz w:val="24"/>
          <w:szCs w:val="24"/>
        </w:rPr>
        <w:t>Q4 target:</w:t>
      </w:r>
      <w:r w:rsidRPr="00EE3EF2">
        <w:rPr>
          <w:sz w:val="24"/>
          <w:szCs w:val="24"/>
        </w:rPr>
        <w:t xml:space="preserve"> 80% — achieved by deploying machine learning models for top SKUs and collaborative planning with key customers</w:t>
      </w:r>
    </w:p>
    <w:p w14:paraId="0FF1A6B4"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sz w:val="24"/>
          <w:szCs w:val="24"/>
        </w:rPr>
        <w:t>Track progress monthly using the Accuracy Trend page of the delivered Power BI dashboard as the single source of truth for SIOP review meetings.</w:t>
      </w:r>
    </w:p>
    <w:p w14:paraId="44950176" w14:textId="6D0CDBBC" w:rsidR="00EE3EF2" w:rsidRPr="00EE3EF2" w:rsidRDefault="00EE3EF2" w:rsidP="00EE3EF2"/>
    <w:p w14:paraId="2365DCF1" w14:textId="59F7524B" w:rsidR="00EE3EF2" w:rsidRPr="00EE3EF2" w:rsidRDefault="00EE3EF2" w:rsidP="00EE3EF2">
      <w:pPr>
        <w:rPr>
          <w:b/>
          <w:bCs/>
          <w:sz w:val="28"/>
          <w:szCs w:val="28"/>
        </w:rPr>
      </w:pPr>
      <w:r w:rsidRPr="00EE3EF2">
        <w:rPr>
          <w:b/>
          <w:bCs/>
          <w:sz w:val="28"/>
          <w:szCs w:val="28"/>
        </w:rPr>
        <w:t xml:space="preserve">SECTION 13 </w:t>
      </w:r>
      <w:r>
        <w:rPr>
          <w:b/>
          <w:bCs/>
          <w:sz w:val="28"/>
          <w:szCs w:val="28"/>
        </w:rPr>
        <w:t>:</w:t>
      </w:r>
      <w:r w:rsidRPr="00EE3EF2">
        <w:rPr>
          <w:b/>
          <w:bCs/>
          <w:sz w:val="28"/>
          <w:szCs w:val="28"/>
        </w:rPr>
        <w:t xml:space="preserve"> WHAT WAS DELIVERED</w:t>
      </w:r>
    </w:p>
    <w:p w14:paraId="15D9D18F"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EDA Notebook (SIOP_EDA_Virat_Dwivedi.ipynb)</w:t>
      </w:r>
    </w:p>
    <w:p w14:paraId="604923C7" w14:textId="77777777" w:rsidR="00EE3EF2" w:rsidRPr="00EE3EF2" w:rsidRDefault="00EE3EF2" w:rsidP="00EE3EF2">
      <w:pPr>
        <w:numPr>
          <w:ilvl w:val="0"/>
          <w:numId w:val="19"/>
        </w:numPr>
        <w:jc w:val="both"/>
        <w:rPr>
          <w:rFonts w:ascii="Times New Roman" w:hAnsi="Times New Roman" w:cs="Times New Roman"/>
          <w:sz w:val="24"/>
          <w:szCs w:val="24"/>
        </w:rPr>
      </w:pPr>
      <w:r w:rsidRPr="00EE3EF2">
        <w:rPr>
          <w:rFonts w:ascii="Times New Roman" w:hAnsi="Times New Roman" w:cs="Times New Roman"/>
          <w:sz w:val="24"/>
          <w:szCs w:val="24"/>
        </w:rPr>
        <w:t>Loaded and profiled 746,477 rows across Forecast (246,477 rows) and Actual (~500,000 rows) tables</w:t>
      </w:r>
    </w:p>
    <w:p w14:paraId="70EE7869" w14:textId="77777777" w:rsidR="00EE3EF2" w:rsidRPr="00EE3EF2" w:rsidRDefault="00EE3EF2" w:rsidP="00EE3EF2">
      <w:pPr>
        <w:numPr>
          <w:ilvl w:val="0"/>
          <w:numId w:val="19"/>
        </w:numPr>
        <w:jc w:val="both"/>
        <w:rPr>
          <w:rFonts w:ascii="Times New Roman" w:hAnsi="Times New Roman" w:cs="Times New Roman"/>
          <w:sz w:val="24"/>
          <w:szCs w:val="24"/>
        </w:rPr>
      </w:pPr>
      <w:r w:rsidRPr="00EE3EF2">
        <w:rPr>
          <w:rFonts w:ascii="Times New Roman" w:hAnsi="Times New Roman" w:cs="Times New Roman"/>
          <w:sz w:val="24"/>
          <w:szCs w:val="24"/>
        </w:rPr>
        <w:t>Classified all 21 columns across both tables by type, role, data quality, and null coverage</w:t>
      </w:r>
    </w:p>
    <w:p w14:paraId="078E3C4C" w14:textId="77777777" w:rsidR="00EE3EF2" w:rsidRPr="00EE3EF2" w:rsidRDefault="00EE3EF2" w:rsidP="00EE3EF2">
      <w:pPr>
        <w:numPr>
          <w:ilvl w:val="0"/>
          <w:numId w:val="19"/>
        </w:numPr>
        <w:jc w:val="both"/>
        <w:rPr>
          <w:rFonts w:ascii="Times New Roman" w:hAnsi="Times New Roman" w:cs="Times New Roman"/>
          <w:sz w:val="24"/>
          <w:szCs w:val="24"/>
        </w:rPr>
      </w:pPr>
      <w:r w:rsidRPr="00EE3EF2">
        <w:rPr>
          <w:rFonts w:ascii="Times New Roman" w:hAnsi="Times New Roman" w:cs="Times New Roman"/>
          <w:sz w:val="24"/>
          <w:szCs w:val="24"/>
        </w:rPr>
        <w:t>Identified 3 critical data quality issues: Lifecycle nulls (94.7%), CAPEX actuals all-zero, Item type mismatch</w:t>
      </w:r>
    </w:p>
    <w:p w14:paraId="76ABF5AA" w14:textId="77777777" w:rsidR="00EE3EF2" w:rsidRPr="00EE3EF2" w:rsidRDefault="00EE3EF2" w:rsidP="00EE3EF2">
      <w:pPr>
        <w:numPr>
          <w:ilvl w:val="0"/>
          <w:numId w:val="19"/>
        </w:numPr>
        <w:jc w:val="both"/>
        <w:rPr>
          <w:rFonts w:ascii="Times New Roman" w:hAnsi="Times New Roman" w:cs="Times New Roman"/>
          <w:sz w:val="24"/>
          <w:szCs w:val="24"/>
        </w:rPr>
      </w:pPr>
      <w:r w:rsidRPr="00EE3EF2">
        <w:rPr>
          <w:rFonts w:ascii="Times New Roman" w:hAnsi="Times New Roman" w:cs="Times New Roman"/>
          <w:sz w:val="24"/>
          <w:szCs w:val="24"/>
        </w:rPr>
        <w:t>Performed 14 distinct EDA analyses covering distributions, temporal trends, country patterns, correlation analysis, Pareto concentration, segmentation analysis, Set vs FG breakdown, Period Offset analysis, forecast revision analysis, and KPI computation</w:t>
      </w:r>
    </w:p>
    <w:p w14:paraId="3DFC7497" w14:textId="77777777" w:rsidR="00EE3EF2" w:rsidRPr="00EE3EF2" w:rsidRDefault="00EE3EF2" w:rsidP="00EE3EF2">
      <w:pPr>
        <w:numPr>
          <w:ilvl w:val="0"/>
          <w:numId w:val="19"/>
        </w:numPr>
        <w:jc w:val="both"/>
        <w:rPr>
          <w:rFonts w:ascii="Times New Roman" w:hAnsi="Times New Roman" w:cs="Times New Roman"/>
          <w:sz w:val="24"/>
          <w:szCs w:val="24"/>
        </w:rPr>
      </w:pPr>
      <w:r w:rsidRPr="00EE3EF2">
        <w:rPr>
          <w:rFonts w:ascii="Times New Roman" w:hAnsi="Times New Roman" w:cs="Times New Roman"/>
          <w:sz w:val="24"/>
          <w:szCs w:val="24"/>
        </w:rPr>
        <w:t>Computed Forecast Accuracy (57% Lag 0, 40.9% Lag 1) and Forecast Bias (−43% Lag 0) at overall, country, and period level</w:t>
      </w:r>
    </w:p>
    <w:p w14:paraId="1911AC2F" w14:textId="77777777" w:rsidR="00EE3EF2" w:rsidRPr="00EE3EF2" w:rsidRDefault="00EE3EF2" w:rsidP="00EE3EF2">
      <w:pPr>
        <w:numPr>
          <w:ilvl w:val="0"/>
          <w:numId w:val="19"/>
        </w:numPr>
        <w:jc w:val="both"/>
        <w:rPr>
          <w:rFonts w:ascii="Times New Roman" w:hAnsi="Times New Roman" w:cs="Times New Roman"/>
          <w:sz w:val="24"/>
          <w:szCs w:val="24"/>
        </w:rPr>
      </w:pPr>
      <w:r w:rsidRPr="00EE3EF2">
        <w:rPr>
          <w:rFonts w:ascii="Times New Roman" w:hAnsi="Times New Roman" w:cs="Times New Roman"/>
          <w:sz w:val="24"/>
          <w:szCs w:val="24"/>
        </w:rPr>
        <w:t>Built the complete wide-format pivot table replicating the Power Query transformation logic in Python</w:t>
      </w:r>
    </w:p>
    <w:p w14:paraId="56074D0E" w14:textId="77777777" w:rsidR="00EE3EF2" w:rsidRPr="00EE3EF2" w:rsidRDefault="00EE3EF2" w:rsidP="00EE3EF2">
      <w:pPr>
        <w:numPr>
          <w:ilvl w:val="0"/>
          <w:numId w:val="19"/>
        </w:numPr>
        <w:jc w:val="both"/>
        <w:rPr>
          <w:rFonts w:ascii="Times New Roman" w:hAnsi="Times New Roman" w:cs="Times New Roman"/>
          <w:sz w:val="24"/>
          <w:szCs w:val="24"/>
        </w:rPr>
      </w:pPr>
      <w:r w:rsidRPr="00EE3EF2">
        <w:rPr>
          <w:rFonts w:ascii="Times New Roman" w:hAnsi="Times New Roman" w:cs="Times New Roman"/>
          <w:sz w:val="24"/>
          <w:szCs w:val="24"/>
        </w:rPr>
        <w:t>Generated 10+ professional visualisations with business interpretation on every chart</w:t>
      </w:r>
    </w:p>
    <w:p w14:paraId="712404F3" w14:textId="77777777" w:rsidR="00EE3EF2" w:rsidRPr="00EE3EF2" w:rsidRDefault="00EE3EF2" w:rsidP="00EE3EF2">
      <w:pPr>
        <w:jc w:val="both"/>
        <w:rPr>
          <w:rFonts w:ascii="Times New Roman" w:hAnsi="Times New Roman" w:cs="Times New Roman"/>
          <w:sz w:val="24"/>
          <w:szCs w:val="24"/>
        </w:rPr>
      </w:pPr>
      <w:r w:rsidRPr="00EE3EF2">
        <w:rPr>
          <w:rFonts w:ascii="Times New Roman" w:hAnsi="Times New Roman" w:cs="Times New Roman"/>
          <w:b/>
          <w:bCs/>
          <w:sz w:val="24"/>
          <w:szCs w:val="24"/>
        </w:rPr>
        <w:t>Power BI Dashboard</w:t>
      </w:r>
    </w:p>
    <w:p w14:paraId="0DDEC994" w14:textId="77777777" w:rsidR="00EE3EF2" w:rsidRPr="00EE3EF2" w:rsidRDefault="00EE3EF2" w:rsidP="00EE3EF2">
      <w:pPr>
        <w:numPr>
          <w:ilvl w:val="0"/>
          <w:numId w:val="20"/>
        </w:numPr>
        <w:jc w:val="both"/>
        <w:rPr>
          <w:rFonts w:ascii="Times New Roman" w:hAnsi="Times New Roman" w:cs="Times New Roman"/>
          <w:sz w:val="24"/>
          <w:szCs w:val="24"/>
        </w:rPr>
      </w:pPr>
      <w:r w:rsidRPr="00EE3EF2">
        <w:rPr>
          <w:rFonts w:ascii="Times New Roman" w:hAnsi="Times New Roman" w:cs="Times New Roman"/>
          <w:sz w:val="24"/>
          <w:szCs w:val="24"/>
        </w:rPr>
        <w:t>6 fully interactive report pages with consistent orange-navy brand palette</w:t>
      </w:r>
    </w:p>
    <w:p w14:paraId="36E7EA70" w14:textId="77777777" w:rsidR="00EE3EF2" w:rsidRPr="00EE3EF2" w:rsidRDefault="00EE3EF2" w:rsidP="00EE3EF2">
      <w:pPr>
        <w:numPr>
          <w:ilvl w:val="0"/>
          <w:numId w:val="20"/>
        </w:numPr>
        <w:jc w:val="both"/>
        <w:rPr>
          <w:rFonts w:ascii="Times New Roman" w:hAnsi="Times New Roman" w:cs="Times New Roman"/>
          <w:sz w:val="24"/>
          <w:szCs w:val="24"/>
        </w:rPr>
      </w:pPr>
      <w:r w:rsidRPr="00EE3EF2">
        <w:rPr>
          <w:rFonts w:ascii="Times New Roman" w:hAnsi="Times New Roman" w:cs="Times New Roman"/>
          <w:sz w:val="24"/>
          <w:szCs w:val="24"/>
        </w:rPr>
        <w:t>21 DAX measures across 5 logical blocks</w:t>
      </w:r>
    </w:p>
    <w:p w14:paraId="7A19A2F3" w14:textId="77777777" w:rsidR="00EE3EF2" w:rsidRPr="00EE3EF2" w:rsidRDefault="00EE3EF2" w:rsidP="00EE3EF2">
      <w:pPr>
        <w:numPr>
          <w:ilvl w:val="0"/>
          <w:numId w:val="20"/>
        </w:numPr>
        <w:jc w:val="both"/>
        <w:rPr>
          <w:rFonts w:ascii="Times New Roman" w:hAnsi="Times New Roman" w:cs="Times New Roman"/>
          <w:sz w:val="24"/>
          <w:szCs w:val="24"/>
        </w:rPr>
      </w:pPr>
      <w:r w:rsidRPr="00EE3EF2">
        <w:rPr>
          <w:rFonts w:ascii="Times New Roman" w:hAnsi="Times New Roman" w:cs="Times New Roman"/>
          <w:sz w:val="24"/>
          <w:szCs w:val="24"/>
        </w:rPr>
        <w:t>Dynamic Lag Slicer using disconnected SlicerLag table and SWITCH() pattern</w:t>
      </w:r>
    </w:p>
    <w:p w14:paraId="448D436E" w14:textId="77777777" w:rsidR="00EE3EF2" w:rsidRPr="00EE3EF2" w:rsidRDefault="00EE3EF2" w:rsidP="00EE3EF2">
      <w:pPr>
        <w:numPr>
          <w:ilvl w:val="0"/>
          <w:numId w:val="20"/>
        </w:numPr>
        <w:jc w:val="both"/>
        <w:rPr>
          <w:rFonts w:ascii="Times New Roman" w:hAnsi="Times New Roman" w:cs="Times New Roman"/>
          <w:sz w:val="24"/>
          <w:szCs w:val="24"/>
        </w:rPr>
      </w:pPr>
      <w:r w:rsidRPr="00EE3EF2">
        <w:rPr>
          <w:rFonts w:ascii="Times New Roman" w:hAnsi="Times New Roman" w:cs="Times New Roman"/>
          <w:sz w:val="24"/>
          <w:szCs w:val="24"/>
        </w:rPr>
        <w:t>Star schema data model with 4 tables (ForecastWide, DimPeriod, DimCountry, SlicerLag)</w:t>
      </w:r>
    </w:p>
    <w:p w14:paraId="7A60B63D" w14:textId="77777777" w:rsidR="00EE3EF2" w:rsidRPr="00EE3EF2" w:rsidRDefault="00EE3EF2" w:rsidP="00EE3EF2">
      <w:pPr>
        <w:numPr>
          <w:ilvl w:val="0"/>
          <w:numId w:val="20"/>
        </w:numPr>
        <w:jc w:val="both"/>
        <w:rPr>
          <w:rFonts w:ascii="Times New Roman" w:hAnsi="Times New Roman" w:cs="Times New Roman"/>
          <w:sz w:val="24"/>
          <w:szCs w:val="24"/>
        </w:rPr>
      </w:pPr>
      <w:r w:rsidRPr="00EE3EF2">
        <w:rPr>
          <w:rFonts w:ascii="Times New Roman" w:hAnsi="Times New Roman" w:cs="Times New Roman"/>
          <w:sz w:val="24"/>
          <w:szCs w:val="24"/>
        </w:rPr>
        <w:t>Cross-page slicers for Country (A/B/C/D) and Period (2023 P10 – 2024 P12)</w:t>
      </w:r>
    </w:p>
    <w:p w14:paraId="6B3C35D9" w14:textId="77777777" w:rsidR="00EE3EF2" w:rsidRPr="00EE3EF2" w:rsidRDefault="00EE3EF2" w:rsidP="00EE3EF2">
      <w:pPr>
        <w:numPr>
          <w:ilvl w:val="0"/>
          <w:numId w:val="20"/>
        </w:numPr>
        <w:jc w:val="both"/>
        <w:rPr>
          <w:rFonts w:ascii="Times New Roman" w:hAnsi="Times New Roman" w:cs="Times New Roman"/>
          <w:sz w:val="24"/>
          <w:szCs w:val="24"/>
        </w:rPr>
      </w:pPr>
      <w:r w:rsidRPr="00EE3EF2">
        <w:rPr>
          <w:rFonts w:ascii="Times New Roman" w:hAnsi="Times New Roman" w:cs="Times New Roman"/>
          <w:sz w:val="24"/>
          <w:szCs w:val="24"/>
        </w:rPr>
        <w:t>Conditional formatting on accuracy cells (green ≥80%)</w:t>
      </w:r>
    </w:p>
    <w:p w14:paraId="137BAE45" w14:textId="4DC1F5F4" w:rsidR="00270605" w:rsidRPr="00EE3EF2" w:rsidRDefault="00EE3EF2" w:rsidP="00EE3EF2">
      <w:pPr>
        <w:numPr>
          <w:ilvl w:val="0"/>
          <w:numId w:val="20"/>
        </w:numPr>
        <w:jc w:val="both"/>
        <w:rPr>
          <w:rFonts w:ascii="Times New Roman" w:hAnsi="Times New Roman" w:cs="Times New Roman"/>
          <w:sz w:val="24"/>
          <w:szCs w:val="24"/>
        </w:rPr>
      </w:pPr>
      <w:r w:rsidRPr="00EE3EF2">
        <w:rPr>
          <w:rFonts w:ascii="Times New Roman" w:hAnsi="Times New Roman" w:cs="Times New Roman"/>
          <w:sz w:val="24"/>
          <w:szCs w:val="24"/>
        </w:rPr>
        <w:t>Waterfall charts, donut charts, treemaps, heatmaps, line charts, matrix tables</w:t>
      </w:r>
    </w:p>
    <w:sectPr w:rsidR="00270605" w:rsidRPr="00EE3EF2" w:rsidSect="00081689">
      <w:pgSz w:w="11910" w:h="16850"/>
      <w:pgMar w:top="1480" w:right="900" w:bottom="280" w:left="10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3BE"/>
    <w:multiLevelType w:val="multilevel"/>
    <w:tmpl w:val="057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D0E45"/>
    <w:multiLevelType w:val="multilevel"/>
    <w:tmpl w:val="35B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100D6"/>
    <w:multiLevelType w:val="multilevel"/>
    <w:tmpl w:val="6ADAB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D1148"/>
    <w:multiLevelType w:val="hybridMultilevel"/>
    <w:tmpl w:val="6F44FB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0B307D"/>
    <w:multiLevelType w:val="multilevel"/>
    <w:tmpl w:val="E9A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26030"/>
    <w:multiLevelType w:val="multilevel"/>
    <w:tmpl w:val="D70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82F1C"/>
    <w:multiLevelType w:val="multilevel"/>
    <w:tmpl w:val="049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87DC1"/>
    <w:multiLevelType w:val="multilevel"/>
    <w:tmpl w:val="3E2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4257D"/>
    <w:multiLevelType w:val="multilevel"/>
    <w:tmpl w:val="EF74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D12FA"/>
    <w:multiLevelType w:val="multilevel"/>
    <w:tmpl w:val="7AA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1007"/>
    <w:multiLevelType w:val="multilevel"/>
    <w:tmpl w:val="036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5227E"/>
    <w:multiLevelType w:val="multilevel"/>
    <w:tmpl w:val="D7F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42BBF"/>
    <w:multiLevelType w:val="multilevel"/>
    <w:tmpl w:val="C0C6E7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B1DFC"/>
    <w:multiLevelType w:val="multilevel"/>
    <w:tmpl w:val="F88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A3E35"/>
    <w:multiLevelType w:val="multilevel"/>
    <w:tmpl w:val="682C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50C11"/>
    <w:multiLevelType w:val="multilevel"/>
    <w:tmpl w:val="4B3C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C47AE"/>
    <w:multiLevelType w:val="multilevel"/>
    <w:tmpl w:val="2D5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D4EDE"/>
    <w:multiLevelType w:val="multilevel"/>
    <w:tmpl w:val="E18A1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654967"/>
    <w:multiLevelType w:val="multilevel"/>
    <w:tmpl w:val="C0C6E7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A2D21"/>
    <w:multiLevelType w:val="multilevel"/>
    <w:tmpl w:val="0DA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D0C0A"/>
    <w:multiLevelType w:val="multilevel"/>
    <w:tmpl w:val="042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44AB0"/>
    <w:multiLevelType w:val="multilevel"/>
    <w:tmpl w:val="1BD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517174">
    <w:abstractNumId w:val="5"/>
  </w:num>
  <w:num w:numId="2" w16cid:durableId="16664967">
    <w:abstractNumId w:val="2"/>
  </w:num>
  <w:num w:numId="3" w16cid:durableId="358701197">
    <w:abstractNumId w:val="19"/>
  </w:num>
  <w:num w:numId="4" w16cid:durableId="1779175027">
    <w:abstractNumId w:val="11"/>
  </w:num>
  <w:num w:numId="5" w16cid:durableId="2101368065">
    <w:abstractNumId w:val="17"/>
  </w:num>
  <w:num w:numId="6" w16cid:durableId="1033186238">
    <w:abstractNumId w:val="9"/>
  </w:num>
  <w:num w:numId="7" w16cid:durableId="1104810884">
    <w:abstractNumId w:val="14"/>
  </w:num>
  <w:num w:numId="8" w16cid:durableId="1797216101">
    <w:abstractNumId w:val="15"/>
  </w:num>
  <w:num w:numId="9" w16cid:durableId="106627446">
    <w:abstractNumId w:val="0"/>
  </w:num>
  <w:num w:numId="10" w16cid:durableId="1404646191">
    <w:abstractNumId w:val="6"/>
  </w:num>
  <w:num w:numId="11" w16cid:durableId="1848328272">
    <w:abstractNumId w:val="7"/>
  </w:num>
  <w:num w:numId="12" w16cid:durableId="2089962396">
    <w:abstractNumId w:val="21"/>
  </w:num>
  <w:num w:numId="13" w16cid:durableId="1343389111">
    <w:abstractNumId w:val="13"/>
  </w:num>
  <w:num w:numId="14" w16cid:durableId="187332386">
    <w:abstractNumId w:val="1"/>
  </w:num>
  <w:num w:numId="15" w16cid:durableId="1527213291">
    <w:abstractNumId w:val="4"/>
  </w:num>
  <w:num w:numId="16" w16cid:durableId="1787263360">
    <w:abstractNumId w:val="8"/>
  </w:num>
  <w:num w:numId="17" w16cid:durableId="1627273186">
    <w:abstractNumId w:val="16"/>
  </w:num>
  <w:num w:numId="18" w16cid:durableId="1012338250">
    <w:abstractNumId w:val="20"/>
  </w:num>
  <w:num w:numId="19" w16cid:durableId="1653950064">
    <w:abstractNumId w:val="12"/>
  </w:num>
  <w:num w:numId="20" w16cid:durableId="1879660091">
    <w:abstractNumId w:val="18"/>
  </w:num>
  <w:num w:numId="21" w16cid:durableId="1041130184">
    <w:abstractNumId w:val="10"/>
  </w:num>
  <w:num w:numId="22" w16cid:durableId="516894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F2"/>
    <w:rsid w:val="00081689"/>
    <w:rsid w:val="000E70B2"/>
    <w:rsid w:val="00270605"/>
    <w:rsid w:val="002F679A"/>
    <w:rsid w:val="009C0668"/>
    <w:rsid w:val="00E3709D"/>
    <w:rsid w:val="00EE3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1DA1"/>
  <w15:chartTrackingRefBased/>
  <w15:docId w15:val="{1686E53E-718E-4CCE-B953-779DF14E5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E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E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E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E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E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E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E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E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E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E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EF2"/>
    <w:rPr>
      <w:rFonts w:eastAsiaTheme="majorEastAsia" w:cstheme="majorBidi"/>
      <w:color w:val="272727" w:themeColor="text1" w:themeTint="D8"/>
    </w:rPr>
  </w:style>
  <w:style w:type="paragraph" w:styleId="Title">
    <w:name w:val="Title"/>
    <w:basedOn w:val="Normal"/>
    <w:next w:val="Normal"/>
    <w:link w:val="TitleChar"/>
    <w:uiPriority w:val="10"/>
    <w:qFormat/>
    <w:rsid w:val="00EE3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EF2"/>
    <w:pPr>
      <w:spacing w:before="160"/>
      <w:jc w:val="center"/>
    </w:pPr>
    <w:rPr>
      <w:i/>
      <w:iCs/>
      <w:color w:val="404040" w:themeColor="text1" w:themeTint="BF"/>
    </w:rPr>
  </w:style>
  <w:style w:type="character" w:customStyle="1" w:styleId="QuoteChar">
    <w:name w:val="Quote Char"/>
    <w:basedOn w:val="DefaultParagraphFont"/>
    <w:link w:val="Quote"/>
    <w:uiPriority w:val="29"/>
    <w:rsid w:val="00EE3EF2"/>
    <w:rPr>
      <w:i/>
      <w:iCs/>
      <w:color w:val="404040" w:themeColor="text1" w:themeTint="BF"/>
    </w:rPr>
  </w:style>
  <w:style w:type="paragraph" w:styleId="ListParagraph">
    <w:name w:val="List Paragraph"/>
    <w:basedOn w:val="Normal"/>
    <w:uiPriority w:val="34"/>
    <w:qFormat/>
    <w:rsid w:val="00EE3EF2"/>
    <w:pPr>
      <w:ind w:left="720"/>
      <w:contextualSpacing/>
    </w:pPr>
  </w:style>
  <w:style w:type="character" w:styleId="IntenseEmphasis">
    <w:name w:val="Intense Emphasis"/>
    <w:basedOn w:val="DefaultParagraphFont"/>
    <w:uiPriority w:val="21"/>
    <w:qFormat/>
    <w:rsid w:val="00EE3EF2"/>
    <w:rPr>
      <w:i/>
      <w:iCs/>
      <w:color w:val="2F5496" w:themeColor="accent1" w:themeShade="BF"/>
    </w:rPr>
  </w:style>
  <w:style w:type="paragraph" w:styleId="IntenseQuote">
    <w:name w:val="Intense Quote"/>
    <w:basedOn w:val="Normal"/>
    <w:next w:val="Normal"/>
    <w:link w:val="IntenseQuoteChar"/>
    <w:uiPriority w:val="30"/>
    <w:qFormat/>
    <w:rsid w:val="00EE3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EF2"/>
    <w:rPr>
      <w:i/>
      <w:iCs/>
      <w:color w:val="2F5496" w:themeColor="accent1" w:themeShade="BF"/>
    </w:rPr>
  </w:style>
  <w:style w:type="character" w:styleId="IntenseReference">
    <w:name w:val="Intense Reference"/>
    <w:basedOn w:val="DefaultParagraphFont"/>
    <w:uiPriority w:val="32"/>
    <w:qFormat/>
    <w:rsid w:val="00EE3E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5431</Words>
  <Characters>30959</Characters>
  <Application>Microsoft Office Word</Application>
  <DocSecurity>0</DocSecurity>
  <Lines>257</Lines>
  <Paragraphs>72</Paragraphs>
  <ScaleCrop>false</ScaleCrop>
  <Company/>
  <LinksUpToDate>false</LinksUpToDate>
  <CharactersWithSpaces>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Virat Dwivedi</dc:creator>
  <cp:keywords/>
  <dc:description/>
  <cp:lastModifiedBy>Virat Dwivedi</cp:lastModifiedBy>
  <cp:revision>1</cp:revision>
  <dcterms:created xsi:type="dcterms:W3CDTF">2026-06-14T10:54:00Z</dcterms:created>
  <dcterms:modified xsi:type="dcterms:W3CDTF">2026-06-14T11:08:00Z</dcterms:modified>
</cp:coreProperties>
</file>