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FEC" w:rsidRPr="00D86FEC" w:rsidRDefault="00D86FEC" w:rsidP="00D86FEC">
      <w:pPr>
        <w:spacing w:before="100" w:beforeAutospacing="1" w:after="100" w:afterAutospacing="1" w:line="240" w:lineRule="auto"/>
        <w:outlineLvl w:val="2"/>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Stata Data Analysis Examples</w:t>
      </w:r>
      <w:r w:rsidRPr="00D86FEC">
        <w:rPr>
          <w:rFonts w:ascii="Courier New" w:eastAsia="Times New Roman" w:hAnsi="Courier New" w:cs="Courier New"/>
          <w:b/>
          <w:bCs/>
          <w:sz w:val="16"/>
          <w:szCs w:val="16"/>
          <w:lang w:val="en-GB" w:eastAsia="pt-BR"/>
        </w:rPr>
        <w:br/>
        <w:t>Negative Binomial Regression</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b/>
          <w:bCs/>
          <w:sz w:val="16"/>
          <w:szCs w:val="16"/>
          <w:lang w:val="en-GB" w:eastAsia="pt-BR"/>
        </w:rPr>
        <w:t xml:space="preserve">Version info: </w:t>
      </w:r>
      <w:r w:rsidRPr="00D86FEC">
        <w:rPr>
          <w:rFonts w:ascii="Courier New" w:eastAsia="Times New Roman" w:hAnsi="Courier New" w:cs="Courier New"/>
          <w:sz w:val="16"/>
          <w:szCs w:val="16"/>
          <w:lang w:val="en-GB" w:eastAsia="pt-BR"/>
        </w:rPr>
        <w:t xml:space="preserve">Code for this page was tested in Stata 12. </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Negative binomial regression is for modeling count variables, usually for over-dispersed count outcome variables.</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w:t>
      </w:r>
      <w:r w:rsidRPr="00D86FEC">
        <w:rPr>
          <w:rFonts w:ascii="Courier New" w:eastAsia="Times New Roman" w:hAnsi="Courier New" w:cs="Courier New"/>
          <w:b/>
          <w:bCs/>
          <w:sz w:val="16"/>
          <w:szCs w:val="16"/>
          <w:lang w:val="en-GB" w:eastAsia="pt-BR"/>
        </w:rPr>
        <w:t xml:space="preserve">Please note: </w:t>
      </w:r>
      <w:r w:rsidRPr="00D86FEC">
        <w:rPr>
          <w:rFonts w:ascii="Courier New" w:eastAsia="Times New Roman" w:hAnsi="Courier New" w:cs="Courier New"/>
          <w:sz w:val="16"/>
          <w:szCs w:val="16"/>
          <w:lang w:val="en-GB" w:eastAsia="pt-BR"/>
        </w:rPr>
        <w:t xml:space="preserve">The purpose of this page is to show how to use various data analysis commands.  It does not cover all aspects of the research process which researchers are expected to do.  In particular, it does not cover data cleaning and checking, verification of assumptions, model diagnostics or potential follow-up analyses. </w:t>
      </w:r>
    </w:p>
    <w:p w:rsidR="00D86FEC" w:rsidRPr="00D86FEC" w:rsidRDefault="00D86FEC" w:rsidP="00D86FEC">
      <w:pPr>
        <w:spacing w:before="100" w:beforeAutospacing="1" w:after="100" w:afterAutospacing="1" w:line="240" w:lineRule="auto"/>
        <w:outlineLvl w:val="3"/>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Examples of negative binomial regression</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Example 1.  School administrators study the attendance behavior of high school juniors at two schools.  Predictors of the number of days of absence include the type of program in which the student is enrolled and a standardized test in math. </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Example 2.  A health-related researcher is studying the number of hospital visits in past 12 months by senior citizens in a community based on the characteristics of the individuals and the types of health plans under which each one is covered.  </w:t>
      </w:r>
    </w:p>
    <w:p w:rsidR="00D86FEC" w:rsidRPr="00D86FEC" w:rsidRDefault="00D86FEC" w:rsidP="00D86FEC">
      <w:pPr>
        <w:spacing w:before="100" w:beforeAutospacing="1" w:after="100" w:afterAutospacing="1" w:line="240" w:lineRule="auto"/>
        <w:outlineLvl w:val="3"/>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Description of the data</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Let's pursue Example 1 from above.</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We have attendance data on 314 high school juniors from two urban high schools in the file </w:t>
      </w:r>
      <w:r w:rsidRPr="00D86FEC">
        <w:rPr>
          <w:rFonts w:ascii="Courier New" w:eastAsia="Times New Roman" w:hAnsi="Courier New" w:cs="Courier New"/>
          <w:b/>
          <w:bCs/>
          <w:sz w:val="16"/>
          <w:szCs w:val="16"/>
          <w:lang w:val="en-GB" w:eastAsia="pt-BR"/>
        </w:rPr>
        <w:t>nb_data.dta</w:t>
      </w:r>
      <w:r w:rsidRPr="00D86FEC">
        <w:rPr>
          <w:rFonts w:ascii="Courier New" w:eastAsia="Times New Roman" w:hAnsi="Courier New" w:cs="Courier New"/>
          <w:sz w:val="16"/>
          <w:szCs w:val="16"/>
          <w:lang w:val="en-GB" w:eastAsia="pt-BR"/>
        </w:rPr>
        <w:t xml:space="preserve">.  The response variable of interest is days absent, </w:t>
      </w:r>
      <w:r w:rsidRPr="00D86FEC">
        <w:rPr>
          <w:rFonts w:ascii="Courier New" w:eastAsia="Times New Roman" w:hAnsi="Courier New" w:cs="Courier New"/>
          <w:b/>
          <w:bCs/>
          <w:sz w:val="16"/>
          <w:szCs w:val="16"/>
          <w:lang w:val="en-GB" w:eastAsia="pt-BR"/>
        </w:rPr>
        <w:t>daysabs</w:t>
      </w:r>
      <w:r w:rsidRPr="00D86FEC">
        <w:rPr>
          <w:rFonts w:ascii="Courier New" w:eastAsia="Times New Roman" w:hAnsi="Courier New" w:cs="Courier New"/>
          <w:sz w:val="16"/>
          <w:szCs w:val="16"/>
          <w:lang w:val="en-GB" w:eastAsia="pt-BR"/>
        </w:rPr>
        <w:t xml:space="preserve">.  The variable </w:t>
      </w:r>
      <w:r w:rsidRPr="00D86FEC">
        <w:rPr>
          <w:rFonts w:ascii="Courier New" w:eastAsia="Times New Roman" w:hAnsi="Courier New" w:cs="Courier New"/>
          <w:b/>
          <w:bCs/>
          <w:sz w:val="16"/>
          <w:szCs w:val="16"/>
          <w:lang w:val="en-GB" w:eastAsia="pt-BR"/>
        </w:rPr>
        <w:t>math</w:t>
      </w:r>
      <w:r w:rsidRPr="00D86FEC">
        <w:rPr>
          <w:rFonts w:ascii="Courier New" w:eastAsia="Times New Roman" w:hAnsi="Courier New" w:cs="Courier New"/>
          <w:sz w:val="16"/>
          <w:szCs w:val="16"/>
          <w:lang w:val="en-GB" w:eastAsia="pt-BR"/>
        </w:rPr>
        <w:t xml:space="preserve"> is the standardized math score for each student.  The variable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is a three-level nominal variable indicating the type of instructional program in which the student is enrolled.</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Let's look at the data.  It is always a good idea to start with descriptive statistics and plots.</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use http://www.ats.ucla.edu/stat/stata/dae/nb_data, clear</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b/>
          <w:bCs/>
          <w:sz w:val="16"/>
          <w:szCs w:val="16"/>
          <w:lang w:val="en-GB" w:eastAsia="pt-BR"/>
        </w:rPr>
        <w:t>summarize daysabs math</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Variable |       Obs        Mean    Std. Dev.       Min        Max</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daysabs |       314    5.955414    7.036958          0         35</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math |       314    48.26752    25.36239          1         99</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b/>
          <w:bCs/>
          <w:sz w:val="16"/>
          <w:szCs w:val="16"/>
          <w:lang w:val="en-GB" w:eastAsia="pt-BR"/>
        </w:rPr>
        <w:t>histogram daysabs, discrete freq scheme(s1mono)</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lang w:eastAsia="pt-BR"/>
        </w:rPr>
      </w:pPr>
      <w:r w:rsidRPr="00D86FEC">
        <w:rPr>
          <w:rFonts w:ascii="Courier New" w:eastAsia="Times New Roman" w:hAnsi="Courier New" w:cs="Courier New"/>
          <w:noProof/>
          <w:sz w:val="16"/>
          <w:szCs w:val="16"/>
          <w:lang w:eastAsia="pt-BR"/>
        </w:rPr>
        <w:lastRenderedPageBreak/>
        <w:drawing>
          <wp:inline distT="0" distB="0" distL="0" distR="0">
            <wp:extent cx="5353050" cy="3886200"/>
            <wp:effectExtent l="0" t="0" r="0" b="0"/>
            <wp:docPr id="2" name="Imagem 2" descr="http://www.ats.ucla.edu/stat/stata/dae/nbr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s.ucla.edu/stat/stata/dae/nbre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3886200"/>
                    </a:xfrm>
                    <a:prstGeom prst="rect">
                      <a:avLst/>
                    </a:prstGeom>
                    <a:noFill/>
                    <a:ln>
                      <a:noFill/>
                    </a:ln>
                  </pic:spPr>
                </pic:pic>
              </a:graphicData>
            </a:graphic>
          </wp:inline>
        </w:drawing>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Each variable has 314 valid observations and their distributions seem quite reasonable. The unconditional mean of our outcome variable is much lower than its variance. </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Let's continue with our description of the variables in this dataset. The table below shows the average numbers of days absent by program type and seems to suggest that program type is a good candidate for predicting the number of days absent, our outcome variable, because the mean value of the outcome appears to vary by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The variances within each level of </w:t>
      </w:r>
      <w:r w:rsidRPr="00D86FEC">
        <w:rPr>
          <w:rFonts w:ascii="Courier New" w:eastAsia="Times New Roman" w:hAnsi="Courier New" w:cs="Courier New"/>
          <w:b/>
          <w:bCs/>
          <w:sz w:val="16"/>
          <w:szCs w:val="16"/>
          <w:lang w:val="en-GB" w:eastAsia="pt-BR"/>
        </w:rPr>
        <w:t xml:space="preserve">prog </w:t>
      </w:r>
      <w:r w:rsidRPr="00D86FEC">
        <w:rPr>
          <w:rFonts w:ascii="Courier New" w:eastAsia="Times New Roman" w:hAnsi="Courier New" w:cs="Courier New"/>
          <w:sz w:val="16"/>
          <w:szCs w:val="16"/>
          <w:lang w:val="en-GB" w:eastAsia="pt-BR"/>
        </w:rPr>
        <w:t xml:space="preserve">are higher than the means within each level. These are the conditional means and variances. These differences suggest that over-dispersion is present and that a Negative Binomial model would be appropriate.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b/>
          <w:bCs/>
          <w:sz w:val="16"/>
          <w:szCs w:val="16"/>
          <w:lang w:val="en-GB" w:eastAsia="pt-BR"/>
        </w:rPr>
        <w:t>tabstat daysabs, by(prog) stats(mean v n)</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Summary for variables: daysabs</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by categories of: prog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prog |      mean  variance         N</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1 |     10.65  67.25897        40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2 |  6.934132  55.44744       167</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3 |  2.672897  13.93916       107</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Total |  5.955414  49.51877       314</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spacing w:before="100" w:beforeAutospacing="1" w:after="100" w:afterAutospacing="1" w:line="240" w:lineRule="auto"/>
        <w:outlineLvl w:val="3"/>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Analysis methods you might consider</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Below is a list of some analysis methods you may have encountered.  Some of the methods listed are quite reasonable, while others have either fallen out of favor or have limitations.  </w:t>
      </w:r>
    </w:p>
    <w:p w:rsidR="00D86FEC" w:rsidRPr="00D86FEC" w:rsidRDefault="00D86FEC" w:rsidP="00D86FEC">
      <w:pPr>
        <w:numPr>
          <w:ilvl w:val="0"/>
          <w:numId w:val="1"/>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Negative binomial regression - Negative binomial regression can be used for over-dispersed count data, that is when the conditional variance exceeds the conditional mean. It can be considered as a generalization of Poisson regression since it has the same mean structure as Poisson regression and it has an extra parameter to model the over-dispersion. If the conditional distribution of the outcome variable is over-dispersed, the confidence intervals for the Negative binomial regression are likely to be narrower as compared to those from a Poisson regression model.</w:t>
      </w:r>
    </w:p>
    <w:p w:rsidR="00D86FEC" w:rsidRPr="00D86FEC" w:rsidRDefault="00D86FEC" w:rsidP="00D86FEC">
      <w:pPr>
        <w:numPr>
          <w:ilvl w:val="0"/>
          <w:numId w:val="1"/>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lastRenderedPageBreak/>
        <w:t xml:space="preserve">Poisson regression - Poisson regression is often used for modeling count data. Poisson regression has a number of extensions useful for count models. </w:t>
      </w:r>
    </w:p>
    <w:p w:rsidR="00D86FEC" w:rsidRPr="00D86FEC" w:rsidRDefault="00D86FEC" w:rsidP="00D86FEC">
      <w:pPr>
        <w:numPr>
          <w:ilvl w:val="0"/>
          <w:numId w:val="1"/>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Zero-inflated regression model - Zero-inflated models attempt to account for excess zeros.  In other words, two kinds of zeros are thought to exist in the data, "true zeros" and "excess zeros".  Zero-inflated models estimate two equations simultaneously, one for the count model and one for the excess zeros.</w:t>
      </w:r>
    </w:p>
    <w:p w:rsidR="00D86FEC" w:rsidRPr="00D86FEC" w:rsidRDefault="00D86FEC" w:rsidP="00D86FEC">
      <w:pPr>
        <w:numPr>
          <w:ilvl w:val="0"/>
          <w:numId w:val="1"/>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OLS regression - Count outcome variables are sometimes log-transformed and analyzed using OLS regression.  Many issues arise with this approach, including loss of data due to undefined values generated by taking the log of zero (which is undefined), as well as the lack of capacity to model the dispersion.</w:t>
      </w:r>
    </w:p>
    <w:p w:rsidR="00D86FEC" w:rsidRPr="00D86FEC" w:rsidRDefault="00D86FEC" w:rsidP="00D86FEC">
      <w:pPr>
        <w:spacing w:before="100" w:beforeAutospacing="1" w:after="100" w:afterAutospacing="1" w:line="240" w:lineRule="auto"/>
        <w:outlineLvl w:val="3"/>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Negative binomial regression analysis</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Below we use the </w:t>
      </w:r>
      <w:r w:rsidRPr="00D86FEC">
        <w:rPr>
          <w:rFonts w:ascii="Courier New" w:eastAsia="Times New Roman" w:hAnsi="Courier New" w:cs="Courier New"/>
          <w:b/>
          <w:bCs/>
          <w:sz w:val="16"/>
          <w:szCs w:val="16"/>
          <w:lang w:val="en-GB" w:eastAsia="pt-BR"/>
        </w:rPr>
        <w:t>nbreg</w:t>
      </w:r>
      <w:r w:rsidRPr="00D86FEC">
        <w:rPr>
          <w:rFonts w:ascii="Courier New" w:eastAsia="Times New Roman" w:hAnsi="Courier New" w:cs="Courier New"/>
          <w:sz w:val="16"/>
          <w:szCs w:val="16"/>
          <w:lang w:val="en-GB" w:eastAsia="pt-BR"/>
        </w:rPr>
        <w:t xml:space="preserve"> command to estimate a negative binomial regression model.  The </w:t>
      </w:r>
      <w:r w:rsidRPr="00D86FEC">
        <w:rPr>
          <w:rFonts w:ascii="Courier New" w:eastAsia="Times New Roman" w:hAnsi="Courier New" w:cs="Courier New"/>
          <w:b/>
          <w:bCs/>
          <w:sz w:val="16"/>
          <w:szCs w:val="16"/>
          <w:lang w:val="en-GB" w:eastAsia="pt-BR"/>
        </w:rPr>
        <w:t>i.</w:t>
      </w:r>
      <w:r w:rsidRPr="00D86FEC">
        <w:rPr>
          <w:rFonts w:ascii="Courier New" w:eastAsia="Times New Roman" w:hAnsi="Courier New" w:cs="Courier New"/>
          <w:sz w:val="16"/>
          <w:szCs w:val="16"/>
          <w:lang w:val="en-GB" w:eastAsia="pt-BR"/>
        </w:rPr>
        <w:t xml:space="preserve"> before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indicates that it is a factor variable (i.e., categorical variable), and that it should be included in the model as a series of indicator variables.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b/>
          <w:bCs/>
          <w:sz w:val="16"/>
          <w:szCs w:val="16"/>
          <w:lang w:val="en-GB" w:eastAsia="pt-BR"/>
        </w:rPr>
        <w:t>nbreg daysabs math i.prog</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Fitting Poisson model:</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0:   log likelihood = -1328.6751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1:   log likelihood = -1328.6425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2:   log likelihood = -1328.6425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Fitting constant-only model:</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0:   log likelihood = -899.27009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1:   log likelihood = -896.47264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2:   log likelihood = -896.47237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3:   log likelihood = -896.47237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Fitting full model:</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0:   log likelihood = -870.49809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1:   log likelihood = -865.90381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2:   log likelihood = -865.62942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3:   log likelihood =  -865.6289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Iteration 4:   log likelihood =  -865.6289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Negative binomial regression                      Number of obs   =        314</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LR chi2(3)      =      61.69</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Dispersion     = mean                             Prob &gt; chi2     =     0.0000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Log likelihood = -865.6289                        Pseudo R2       =     0.0344</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daysabs |      Coef.   Std. Err.      z    P&gt;|z|     [95% Conf. Interval]</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math |   -.005993   .0025072    -2.39   0.017     -.010907    -.001079</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prog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2  |    -.44076    .182576    -2.41   0.016    -.7986025   -.0829175</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3  |  -1.278651   .2019811    -6.33   0.000    -1.674526    -.882775</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_cons |   2.615265   .1963519    13.32   0.000     2.230423    3.000108</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/lnalpha |  -.0321895   .1027882                     -.2336506    .1692717</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alpha |   .9683231   .0995322                      .7916384    1.184442</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Likelihood-ratio test of alpha=0:  chibar2(01) =  926.03 Prob&gt;=chibar2 = 0.000</w:t>
      </w:r>
    </w:p>
    <w:p w:rsidR="00D86FEC" w:rsidRPr="00D86FEC" w:rsidRDefault="00D86FEC" w:rsidP="00D86FEC">
      <w:pPr>
        <w:numPr>
          <w:ilvl w:val="0"/>
          <w:numId w:val="2"/>
        </w:num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val="en-GB" w:eastAsia="pt-BR"/>
        </w:rPr>
        <w:t xml:space="preserve">The output begins the iteration log. We can see that it starts with fitting a Poisson model, then a null model (intercept only model) and finally the negative binomial model. Since it uses maximum likelihood estimate, it iterates until the change in the log likelihood is sufficiently small. The last value in the iteration log is the final value of the log likelihood for the full model and is displayed again.  </w:t>
      </w:r>
      <w:r w:rsidRPr="00D86FEC">
        <w:rPr>
          <w:rFonts w:ascii="Courier New" w:eastAsia="Times New Roman" w:hAnsi="Courier New" w:cs="Courier New"/>
          <w:sz w:val="16"/>
          <w:szCs w:val="16"/>
          <w:lang w:eastAsia="pt-BR"/>
        </w:rPr>
        <w:t>The log likelihood can be used to compare models.</w:t>
      </w:r>
    </w:p>
    <w:p w:rsidR="00D86FEC" w:rsidRPr="00D86FEC" w:rsidRDefault="00D86FEC" w:rsidP="00D86FEC">
      <w:pPr>
        <w:numPr>
          <w:ilvl w:val="0"/>
          <w:numId w:val="2"/>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The header information is presented next.  On the right-hand side, the number of observations used in the analysis (314) is given, along with the Wald chi-square statistic with three degrees of freedom for the full model, followed by the p-value for the chi-square. This is a test that </w:t>
      </w:r>
      <w:r w:rsidRPr="00D86FEC">
        <w:rPr>
          <w:rFonts w:ascii="Courier New" w:eastAsia="Times New Roman" w:hAnsi="Courier New" w:cs="Courier New"/>
          <w:i/>
          <w:iCs/>
          <w:sz w:val="16"/>
          <w:szCs w:val="16"/>
          <w:lang w:val="en-GB" w:eastAsia="pt-BR"/>
        </w:rPr>
        <w:t>all</w:t>
      </w:r>
      <w:r w:rsidRPr="00D86FEC">
        <w:rPr>
          <w:rFonts w:ascii="Courier New" w:eastAsia="Times New Roman" w:hAnsi="Courier New" w:cs="Courier New"/>
          <w:sz w:val="16"/>
          <w:szCs w:val="16"/>
          <w:lang w:val="en-GB" w:eastAsia="pt-BR"/>
        </w:rPr>
        <w:t xml:space="preserve"> of the estimated coefficients are equal to zero--a test of the model as a whole. From the p-value, we can see </w:t>
      </w:r>
      <w:r w:rsidRPr="00D86FEC">
        <w:rPr>
          <w:rFonts w:ascii="Courier New" w:eastAsia="Times New Roman" w:hAnsi="Courier New" w:cs="Courier New"/>
          <w:sz w:val="16"/>
          <w:szCs w:val="16"/>
          <w:lang w:val="en-GB" w:eastAsia="pt-BR"/>
        </w:rPr>
        <w:lastRenderedPageBreak/>
        <w:t>that the model is statistically significant. The header also includes a pseudo-R</w:t>
      </w:r>
      <w:r w:rsidRPr="00D86FEC">
        <w:rPr>
          <w:rFonts w:ascii="Courier New" w:eastAsia="Times New Roman" w:hAnsi="Courier New" w:cs="Courier New"/>
          <w:sz w:val="16"/>
          <w:szCs w:val="16"/>
          <w:vertAlign w:val="superscript"/>
          <w:lang w:val="en-GB" w:eastAsia="pt-BR"/>
        </w:rPr>
        <w:t>2</w:t>
      </w:r>
      <w:r w:rsidRPr="00D86FEC">
        <w:rPr>
          <w:rFonts w:ascii="Courier New" w:eastAsia="Times New Roman" w:hAnsi="Courier New" w:cs="Courier New"/>
          <w:sz w:val="16"/>
          <w:szCs w:val="16"/>
          <w:lang w:val="en-GB" w:eastAsia="pt-BR"/>
        </w:rPr>
        <w:t>, which is 0.03 in this example.</w:t>
      </w:r>
    </w:p>
    <w:p w:rsidR="00D86FEC" w:rsidRPr="00D86FEC" w:rsidRDefault="00D86FEC" w:rsidP="00D86FEC">
      <w:pPr>
        <w:numPr>
          <w:ilvl w:val="0"/>
          <w:numId w:val="2"/>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Below the header you will find the negative binomial regression coefficients for each of the variables, along with standard errors, z-scores, p-values and 95% confidence intervals for the coefficients.  The variable </w:t>
      </w:r>
      <w:r w:rsidRPr="00D86FEC">
        <w:rPr>
          <w:rFonts w:ascii="Courier New" w:eastAsia="Times New Roman" w:hAnsi="Courier New" w:cs="Courier New"/>
          <w:b/>
          <w:bCs/>
          <w:sz w:val="16"/>
          <w:szCs w:val="16"/>
          <w:lang w:val="en-GB" w:eastAsia="pt-BR"/>
        </w:rPr>
        <w:t>math</w:t>
      </w:r>
      <w:r w:rsidRPr="00D86FEC">
        <w:rPr>
          <w:rFonts w:ascii="Courier New" w:eastAsia="Times New Roman" w:hAnsi="Courier New" w:cs="Courier New"/>
          <w:sz w:val="16"/>
          <w:szCs w:val="16"/>
          <w:lang w:val="en-GB" w:eastAsia="pt-BR"/>
        </w:rPr>
        <w:t xml:space="preserve"> has a coefficient of -0.006, which is statistically significant.  This means that for each one-unit increase on </w:t>
      </w:r>
      <w:r w:rsidRPr="00D86FEC">
        <w:rPr>
          <w:rFonts w:ascii="Courier New" w:eastAsia="Times New Roman" w:hAnsi="Courier New" w:cs="Courier New"/>
          <w:b/>
          <w:bCs/>
          <w:sz w:val="16"/>
          <w:szCs w:val="16"/>
          <w:lang w:val="en-GB" w:eastAsia="pt-BR"/>
        </w:rPr>
        <w:t>math</w:t>
      </w:r>
      <w:r w:rsidRPr="00D86FEC">
        <w:rPr>
          <w:rFonts w:ascii="Courier New" w:eastAsia="Times New Roman" w:hAnsi="Courier New" w:cs="Courier New"/>
          <w:sz w:val="16"/>
          <w:szCs w:val="16"/>
          <w:lang w:val="en-GB" w:eastAsia="pt-BR"/>
        </w:rPr>
        <w:t xml:space="preserve">, the expected log count of the number of days absent decreases by 0.006. The indicator variable </w:t>
      </w:r>
      <w:r w:rsidRPr="00D86FEC">
        <w:rPr>
          <w:rFonts w:ascii="Courier New" w:eastAsia="Times New Roman" w:hAnsi="Courier New" w:cs="Courier New"/>
          <w:b/>
          <w:bCs/>
          <w:sz w:val="16"/>
          <w:szCs w:val="16"/>
          <w:lang w:val="en-GB" w:eastAsia="pt-BR"/>
        </w:rPr>
        <w:t>2.prog</w:t>
      </w:r>
      <w:r w:rsidRPr="00D86FEC">
        <w:rPr>
          <w:rFonts w:ascii="Courier New" w:eastAsia="Times New Roman" w:hAnsi="Courier New" w:cs="Courier New"/>
          <w:sz w:val="16"/>
          <w:szCs w:val="16"/>
          <w:lang w:val="en-GB" w:eastAsia="pt-BR"/>
        </w:rPr>
        <w:t xml:space="preserve"> is the expected difference in log count between group 2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=2) and the reference group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=1).  The expected log count for level 2 of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is 0.44 lower than the expected log count for level 1. The indicator variable </w:t>
      </w:r>
      <w:r w:rsidRPr="00D86FEC">
        <w:rPr>
          <w:rFonts w:ascii="Courier New" w:eastAsia="Times New Roman" w:hAnsi="Courier New" w:cs="Courier New"/>
          <w:b/>
          <w:bCs/>
          <w:sz w:val="16"/>
          <w:szCs w:val="16"/>
          <w:lang w:val="en-GB" w:eastAsia="pt-BR"/>
        </w:rPr>
        <w:t>3.prog</w:t>
      </w:r>
      <w:r w:rsidRPr="00D86FEC">
        <w:rPr>
          <w:rFonts w:ascii="Courier New" w:eastAsia="Times New Roman" w:hAnsi="Courier New" w:cs="Courier New"/>
          <w:sz w:val="16"/>
          <w:szCs w:val="16"/>
          <w:lang w:val="en-GB" w:eastAsia="pt-BR"/>
        </w:rPr>
        <w:t xml:space="preserve"> is the expected difference in log count between group 3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=3) and the reference group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=1).  The expected log count for level 3 of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is 1.28 lower than the expected log count for level 1.  To determine if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itself, overall, is statistically significant, we can use the </w:t>
      </w:r>
      <w:r w:rsidRPr="00D86FEC">
        <w:rPr>
          <w:rFonts w:ascii="Courier New" w:eastAsia="Times New Roman" w:hAnsi="Courier New" w:cs="Courier New"/>
          <w:b/>
          <w:bCs/>
          <w:sz w:val="16"/>
          <w:szCs w:val="16"/>
          <w:lang w:val="en-GB" w:eastAsia="pt-BR"/>
        </w:rPr>
        <w:t>test</w:t>
      </w:r>
      <w:r w:rsidRPr="00D86FEC">
        <w:rPr>
          <w:rFonts w:ascii="Courier New" w:eastAsia="Times New Roman" w:hAnsi="Courier New" w:cs="Courier New"/>
          <w:sz w:val="16"/>
          <w:szCs w:val="16"/>
          <w:lang w:val="en-GB" w:eastAsia="pt-BR"/>
        </w:rPr>
        <w:t xml:space="preserve"> command to obtain the two degrees-of-freedom test of this variable. The two degree-of-freedom chi-square test indicates that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is a statistically significant predictor of </w:t>
      </w:r>
      <w:r w:rsidRPr="00D86FEC">
        <w:rPr>
          <w:rFonts w:ascii="Courier New" w:eastAsia="Times New Roman" w:hAnsi="Courier New" w:cs="Courier New"/>
          <w:b/>
          <w:bCs/>
          <w:sz w:val="16"/>
          <w:szCs w:val="16"/>
          <w:lang w:val="en-GB" w:eastAsia="pt-BR"/>
        </w:rPr>
        <w:t>daysabs</w:t>
      </w: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b/>
          <w:bCs/>
          <w:sz w:val="16"/>
          <w:szCs w:val="16"/>
          <w:lang w:val="en-GB" w:eastAsia="pt-BR"/>
        </w:rPr>
        <w:t>test 2.prog 3.prog</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( 1)  [daysabs]2.prog = 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 ( 2)  [daysabs]3.prog = 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chi2(  2) =   49.21</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Prob &gt; chi2 =    0.0000</w:t>
      </w:r>
    </w:p>
    <w:p w:rsidR="00D86FEC" w:rsidRPr="00D86FEC" w:rsidRDefault="00D86FEC" w:rsidP="00D86FEC">
      <w:pPr>
        <w:numPr>
          <w:ilvl w:val="0"/>
          <w:numId w:val="3"/>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Additionally, the log-transformed over-dispersion parameter (</w:t>
      </w:r>
      <w:r w:rsidRPr="00D86FEC">
        <w:rPr>
          <w:rFonts w:ascii="Courier New" w:eastAsia="Times New Roman" w:hAnsi="Courier New" w:cs="Courier New"/>
          <w:b/>
          <w:bCs/>
          <w:sz w:val="16"/>
          <w:szCs w:val="16"/>
          <w:lang w:val="en-GB" w:eastAsia="pt-BR"/>
        </w:rPr>
        <w:t>/lnalpha</w:t>
      </w:r>
      <w:r w:rsidRPr="00D86FEC">
        <w:rPr>
          <w:rFonts w:ascii="Courier New" w:eastAsia="Times New Roman" w:hAnsi="Courier New" w:cs="Courier New"/>
          <w:sz w:val="16"/>
          <w:szCs w:val="16"/>
          <w:lang w:val="en-GB" w:eastAsia="pt-BR"/>
        </w:rPr>
        <w:t xml:space="preserve">) is estimated and is displayed along with the untransformed value. A Poisson model is one in which this alpha value is constrained to zero. Stata finds the maximum likelihood estimate of the log of alpha and then calculates alpha from this. This means that alpha is </w:t>
      </w:r>
      <w:r w:rsidRPr="00D86FEC">
        <w:rPr>
          <w:rFonts w:ascii="Courier New" w:eastAsia="Times New Roman" w:hAnsi="Courier New" w:cs="Courier New"/>
          <w:i/>
          <w:iCs/>
          <w:sz w:val="16"/>
          <w:szCs w:val="16"/>
          <w:lang w:val="en-GB" w:eastAsia="pt-BR"/>
        </w:rPr>
        <w:t>always</w:t>
      </w:r>
      <w:r w:rsidRPr="00D86FEC">
        <w:rPr>
          <w:rFonts w:ascii="Courier New" w:eastAsia="Times New Roman" w:hAnsi="Courier New" w:cs="Courier New"/>
          <w:sz w:val="16"/>
          <w:szCs w:val="16"/>
          <w:lang w:val="en-GB" w:eastAsia="pt-BR"/>
        </w:rPr>
        <w:t xml:space="preserve"> greater than zero and that Stata's </w:t>
      </w:r>
      <w:r w:rsidRPr="00D86FEC">
        <w:rPr>
          <w:rFonts w:ascii="Courier New" w:eastAsia="Times New Roman" w:hAnsi="Courier New" w:cs="Courier New"/>
          <w:b/>
          <w:bCs/>
          <w:sz w:val="16"/>
          <w:szCs w:val="16"/>
          <w:lang w:val="en-GB" w:eastAsia="pt-BR"/>
        </w:rPr>
        <w:t>nbreg</w:t>
      </w:r>
      <w:r w:rsidRPr="00D86FEC">
        <w:rPr>
          <w:rFonts w:ascii="Courier New" w:eastAsia="Times New Roman" w:hAnsi="Courier New" w:cs="Courier New"/>
          <w:sz w:val="16"/>
          <w:szCs w:val="16"/>
          <w:lang w:val="en-GB" w:eastAsia="pt-BR"/>
        </w:rPr>
        <w:t xml:space="preserve"> </w:t>
      </w:r>
      <w:r w:rsidRPr="00D86FEC">
        <w:rPr>
          <w:rFonts w:ascii="Courier New" w:eastAsia="Times New Roman" w:hAnsi="Courier New" w:cs="Courier New"/>
          <w:i/>
          <w:iCs/>
          <w:sz w:val="16"/>
          <w:szCs w:val="16"/>
          <w:lang w:val="en-GB" w:eastAsia="pt-BR"/>
        </w:rPr>
        <w:t>only</w:t>
      </w:r>
      <w:r w:rsidRPr="00D86FEC">
        <w:rPr>
          <w:rFonts w:ascii="Courier New" w:eastAsia="Times New Roman" w:hAnsi="Courier New" w:cs="Courier New"/>
          <w:sz w:val="16"/>
          <w:szCs w:val="16"/>
          <w:lang w:val="en-GB" w:eastAsia="pt-BR"/>
        </w:rPr>
        <w:t xml:space="preserve"> allows for overdispersion (variance greater than the mean).</w:t>
      </w:r>
    </w:p>
    <w:p w:rsidR="00D86FEC" w:rsidRPr="00D86FEC" w:rsidRDefault="00D86FEC" w:rsidP="00D86FEC">
      <w:pPr>
        <w:numPr>
          <w:ilvl w:val="0"/>
          <w:numId w:val="3"/>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Below the table of coefficients, you will find a likelihood ratio test that alpha equals zero--the likelihood ratio test comparing this model to a Poisson model.  In this example the associated chi-squared value is 926.03 with one degree of freedom.  This strongly suggests that alpha is non-zero and the negative binomial model is more appropriate than the Poisson model. </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We can also see the results as incident rate ratios by using the </w:t>
      </w:r>
      <w:r w:rsidRPr="00D86FEC">
        <w:rPr>
          <w:rFonts w:ascii="Courier New" w:eastAsia="Times New Roman" w:hAnsi="Courier New" w:cs="Courier New"/>
          <w:b/>
          <w:bCs/>
          <w:sz w:val="16"/>
          <w:szCs w:val="16"/>
          <w:lang w:val="en-GB" w:eastAsia="pt-BR"/>
        </w:rPr>
        <w:t>irr</w:t>
      </w:r>
      <w:r w:rsidRPr="00D86FEC">
        <w:rPr>
          <w:rFonts w:ascii="Courier New" w:eastAsia="Times New Roman" w:hAnsi="Courier New" w:cs="Courier New"/>
          <w:sz w:val="16"/>
          <w:szCs w:val="16"/>
          <w:lang w:val="en-GB" w:eastAsia="pt-BR"/>
        </w:rPr>
        <w:t xml:space="preserve"> option.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b/>
          <w:bCs/>
          <w:sz w:val="16"/>
          <w:szCs w:val="16"/>
          <w:lang w:val="en-GB" w:eastAsia="pt-BR"/>
        </w:rPr>
        <w:t>nbreg, irr</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Negative binomial regression                      Number of obs   =        314</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LR chi2(3)      =      61.69</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Dispersion     = mean                             Prob &gt; chi2     =     0.0000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Log likelihood = -865.6289                        Pseudo R2       =     0.0344</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daysabs |        IRR   Std. Err.      z    P&gt;|z|     [95% Conf. Interval]</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math |   .9940249   .0024922    -2.39   0.017     .9891523    .9989216</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prog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2  |   .6435471   .1174963    -2.41   0.016     .4499573     .920427</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3  |   .2784127   .0562341    -6.33   0.000     .1873969    .4136335</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/lnalpha |  -.0321895   .1027882                     -.2336506    .1692717</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alpha |   .9683231   .0995322                      .7916384    1.184442</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Likelihood-ratio test of alpha=0:  chibar2(01) =  926.03 Prob&gt;=chibar2 = 0.000</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The output above indicates that the incident rate for </w:t>
      </w:r>
      <w:r w:rsidRPr="00D86FEC">
        <w:rPr>
          <w:rFonts w:ascii="Courier New" w:eastAsia="Times New Roman" w:hAnsi="Courier New" w:cs="Courier New"/>
          <w:b/>
          <w:bCs/>
          <w:sz w:val="16"/>
          <w:szCs w:val="16"/>
          <w:lang w:val="en-GB" w:eastAsia="pt-BR"/>
        </w:rPr>
        <w:t>2.prog</w:t>
      </w:r>
      <w:r w:rsidRPr="00D86FEC">
        <w:rPr>
          <w:rFonts w:ascii="Courier New" w:eastAsia="Times New Roman" w:hAnsi="Courier New" w:cs="Courier New"/>
          <w:sz w:val="16"/>
          <w:szCs w:val="16"/>
          <w:lang w:val="en-GB" w:eastAsia="pt-BR"/>
        </w:rPr>
        <w:t xml:space="preserve"> is 0.64 times the incident rate for the reference group (</w:t>
      </w:r>
      <w:r w:rsidRPr="00D86FEC">
        <w:rPr>
          <w:rFonts w:ascii="Courier New" w:eastAsia="Times New Roman" w:hAnsi="Courier New" w:cs="Courier New"/>
          <w:b/>
          <w:bCs/>
          <w:sz w:val="16"/>
          <w:szCs w:val="16"/>
          <w:lang w:val="en-GB" w:eastAsia="pt-BR"/>
        </w:rPr>
        <w:t>1.prog</w:t>
      </w:r>
      <w:r w:rsidRPr="00D86FEC">
        <w:rPr>
          <w:rFonts w:ascii="Courier New" w:eastAsia="Times New Roman" w:hAnsi="Courier New" w:cs="Courier New"/>
          <w:sz w:val="16"/>
          <w:szCs w:val="16"/>
          <w:lang w:val="en-GB" w:eastAsia="pt-BR"/>
        </w:rPr>
        <w:t xml:space="preserve">). Likewise, the incident rate for </w:t>
      </w:r>
      <w:r w:rsidRPr="00D86FEC">
        <w:rPr>
          <w:rFonts w:ascii="Courier New" w:eastAsia="Times New Roman" w:hAnsi="Courier New" w:cs="Courier New"/>
          <w:b/>
          <w:bCs/>
          <w:sz w:val="16"/>
          <w:szCs w:val="16"/>
          <w:lang w:val="en-GB" w:eastAsia="pt-BR"/>
        </w:rPr>
        <w:t>3.prog</w:t>
      </w:r>
      <w:r w:rsidRPr="00D86FEC">
        <w:rPr>
          <w:rFonts w:ascii="Courier New" w:eastAsia="Times New Roman" w:hAnsi="Courier New" w:cs="Courier New"/>
          <w:sz w:val="16"/>
          <w:szCs w:val="16"/>
          <w:lang w:val="en-GB" w:eastAsia="pt-BR"/>
        </w:rPr>
        <w:t xml:space="preserve"> is 0.28 times the incident rate for the reference group holding the other variables constant. The percent change in the incident rate of </w:t>
      </w:r>
      <w:r w:rsidRPr="00D86FEC">
        <w:rPr>
          <w:rFonts w:ascii="Courier New" w:eastAsia="Times New Roman" w:hAnsi="Courier New" w:cs="Courier New"/>
          <w:b/>
          <w:bCs/>
          <w:sz w:val="16"/>
          <w:szCs w:val="16"/>
          <w:lang w:val="en-GB" w:eastAsia="pt-BR"/>
        </w:rPr>
        <w:t>daysabs</w:t>
      </w:r>
      <w:r w:rsidRPr="00D86FEC">
        <w:rPr>
          <w:rFonts w:ascii="Courier New" w:eastAsia="Times New Roman" w:hAnsi="Courier New" w:cs="Courier New"/>
          <w:sz w:val="16"/>
          <w:szCs w:val="16"/>
          <w:lang w:val="en-GB" w:eastAsia="pt-BR"/>
        </w:rPr>
        <w:t xml:space="preserve"> is a 1% decrease for every unit increase in </w:t>
      </w:r>
      <w:r w:rsidRPr="00D86FEC">
        <w:rPr>
          <w:rFonts w:ascii="Courier New" w:eastAsia="Times New Roman" w:hAnsi="Courier New" w:cs="Courier New"/>
          <w:b/>
          <w:bCs/>
          <w:sz w:val="16"/>
          <w:szCs w:val="16"/>
          <w:lang w:val="en-GB" w:eastAsia="pt-BR"/>
        </w:rPr>
        <w:t>math</w:t>
      </w:r>
      <w:r w:rsidRPr="00D86FEC">
        <w:rPr>
          <w:rFonts w:ascii="Courier New" w:eastAsia="Times New Roman" w:hAnsi="Courier New" w:cs="Courier New"/>
          <w:sz w:val="16"/>
          <w:szCs w:val="16"/>
          <w:lang w:val="en-GB" w:eastAsia="pt-BR"/>
        </w:rPr>
        <w:t xml:space="preserve">. </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The form of the model equation for negative binomial regression is the same as that for Poisson regression. The log of the outcome is predicted with a linear combination of the predictors:</w:t>
      </w:r>
    </w:p>
    <w:p w:rsidR="00D86FEC" w:rsidRPr="00D86FEC" w:rsidRDefault="00D86FEC" w:rsidP="00D86FEC">
      <w:pPr>
        <w:spacing w:after="10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log(daysabs) = Intercept + b</w:t>
      </w:r>
      <w:r w:rsidRPr="00D86FEC">
        <w:rPr>
          <w:rFonts w:ascii="Courier New" w:eastAsia="Times New Roman" w:hAnsi="Courier New" w:cs="Courier New"/>
          <w:sz w:val="16"/>
          <w:szCs w:val="16"/>
          <w:vertAlign w:val="subscript"/>
          <w:lang w:val="en-GB" w:eastAsia="pt-BR"/>
        </w:rPr>
        <w:t>1</w:t>
      </w:r>
      <w:r w:rsidRPr="00D86FEC">
        <w:rPr>
          <w:rFonts w:ascii="Courier New" w:eastAsia="Times New Roman" w:hAnsi="Courier New" w:cs="Courier New"/>
          <w:sz w:val="16"/>
          <w:szCs w:val="16"/>
          <w:lang w:val="en-GB" w:eastAsia="pt-BR"/>
        </w:rPr>
        <w:t>(prog=2) + b</w:t>
      </w:r>
      <w:r w:rsidRPr="00D86FEC">
        <w:rPr>
          <w:rFonts w:ascii="Courier New" w:eastAsia="Times New Roman" w:hAnsi="Courier New" w:cs="Courier New"/>
          <w:sz w:val="16"/>
          <w:szCs w:val="16"/>
          <w:vertAlign w:val="subscript"/>
          <w:lang w:val="en-GB" w:eastAsia="pt-BR"/>
        </w:rPr>
        <w:t>2</w:t>
      </w:r>
      <w:r w:rsidRPr="00D86FEC">
        <w:rPr>
          <w:rFonts w:ascii="Courier New" w:eastAsia="Times New Roman" w:hAnsi="Courier New" w:cs="Courier New"/>
          <w:sz w:val="16"/>
          <w:szCs w:val="16"/>
          <w:lang w:val="en-GB" w:eastAsia="pt-BR"/>
        </w:rPr>
        <w:t>(prog=3) + b</w:t>
      </w:r>
      <w:r w:rsidRPr="00D86FEC">
        <w:rPr>
          <w:rFonts w:ascii="Courier New" w:eastAsia="Times New Roman" w:hAnsi="Courier New" w:cs="Courier New"/>
          <w:sz w:val="16"/>
          <w:szCs w:val="16"/>
          <w:vertAlign w:val="subscript"/>
          <w:lang w:val="en-GB" w:eastAsia="pt-BR"/>
        </w:rPr>
        <w:t>3</w:t>
      </w:r>
      <w:r w:rsidRPr="00D86FEC">
        <w:rPr>
          <w:rFonts w:ascii="Courier New" w:eastAsia="Times New Roman" w:hAnsi="Courier New" w:cs="Courier New"/>
          <w:sz w:val="16"/>
          <w:szCs w:val="16"/>
          <w:lang w:val="en-GB" w:eastAsia="pt-BR"/>
        </w:rPr>
        <w:t>math.</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lastRenderedPageBreak/>
        <w:t>This implies:</w:t>
      </w:r>
    </w:p>
    <w:p w:rsidR="00D86FEC" w:rsidRPr="00D86FEC" w:rsidRDefault="00D86FEC" w:rsidP="00D86FEC">
      <w:pPr>
        <w:spacing w:after="10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daysabs = exp(Intercept + b</w:t>
      </w:r>
      <w:r w:rsidRPr="00D86FEC">
        <w:rPr>
          <w:rFonts w:ascii="Courier New" w:eastAsia="Times New Roman" w:hAnsi="Courier New" w:cs="Courier New"/>
          <w:sz w:val="16"/>
          <w:szCs w:val="16"/>
          <w:vertAlign w:val="subscript"/>
          <w:lang w:val="en-GB" w:eastAsia="pt-BR"/>
        </w:rPr>
        <w:t>1</w:t>
      </w:r>
      <w:r w:rsidRPr="00D86FEC">
        <w:rPr>
          <w:rFonts w:ascii="Courier New" w:eastAsia="Times New Roman" w:hAnsi="Courier New" w:cs="Courier New"/>
          <w:sz w:val="16"/>
          <w:szCs w:val="16"/>
          <w:lang w:val="en-GB" w:eastAsia="pt-BR"/>
        </w:rPr>
        <w:t>(prog=2) + b</w:t>
      </w:r>
      <w:r w:rsidRPr="00D86FEC">
        <w:rPr>
          <w:rFonts w:ascii="Courier New" w:eastAsia="Times New Roman" w:hAnsi="Courier New" w:cs="Courier New"/>
          <w:sz w:val="16"/>
          <w:szCs w:val="16"/>
          <w:vertAlign w:val="subscript"/>
          <w:lang w:val="en-GB" w:eastAsia="pt-BR"/>
        </w:rPr>
        <w:t>2</w:t>
      </w:r>
      <w:r w:rsidRPr="00D86FEC">
        <w:rPr>
          <w:rFonts w:ascii="Courier New" w:eastAsia="Times New Roman" w:hAnsi="Courier New" w:cs="Courier New"/>
          <w:sz w:val="16"/>
          <w:szCs w:val="16"/>
          <w:lang w:val="en-GB" w:eastAsia="pt-BR"/>
        </w:rPr>
        <w:t>(prog=3)+ b</w:t>
      </w:r>
      <w:r w:rsidRPr="00D86FEC">
        <w:rPr>
          <w:rFonts w:ascii="Courier New" w:eastAsia="Times New Roman" w:hAnsi="Courier New" w:cs="Courier New"/>
          <w:sz w:val="16"/>
          <w:szCs w:val="16"/>
          <w:vertAlign w:val="subscript"/>
          <w:lang w:val="en-GB" w:eastAsia="pt-BR"/>
        </w:rPr>
        <w:t>3</w:t>
      </w:r>
      <w:r w:rsidRPr="00D86FEC">
        <w:rPr>
          <w:rFonts w:ascii="Courier New" w:eastAsia="Times New Roman" w:hAnsi="Courier New" w:cs="Courier New"/>
          <w:sz w:val="16"/>
          <w:szCs w:val="16"/>
          <w:lang w:val="en-GB" w:eastAsia="pt-BR"/>
        </w:rPr>
        <w:t>math) = exp(Intercept) * exp(b</w:t>
      </w:r>
      <w:r w:rsidRPr="00D86FEC">
        <w:rPr>
          <w:rFonts w:ascii="Courier New" w:eastAsia="Times New Roman" w:hAnsi="Courier New" w:cs="Courier New"/>
          <w:sz w:val="16"/>
          <w:szCs w:val="16"/>
          <w:vertAlign w:val="subscript"/>
          <w:lang w:val="en-GB" w:eastAsia="pt-BR"/>
        </w:rPr>
        <w:t>1</w:t>
      </w:r>
      <w:r w:rsidRPr="00D86FEC">
        <w:rPr>
          <w:rFonts w:ascii="Courier New" w:eastAsia="Times New Roman" w:hAnsi="Courier New" w:cs="Courier New"/>
          <w:sz w:val="16"/>
          <w:szCs w:val="16"/>
          <w:lang w:val="en-GB" w:eastAsia="pt-BR"/>
        </w:rPr>
        <w:t>(prog=2)) * exp(b</w:t>
      </w:r>
      <w:r w:rsidRPr="00D86FEC">
        <w:rPr>
          <w:rFonts w:ascii="Courier New" w:eastAsia="Times New Roman" w:hAnsi="Courier New" w:cs="Courier New"/>
          <w:sz w:val="16"/>
          <w:szCs w:val="16"/>
          <w:vertAlign w:val="subscript"/>
          <w:lang w:val="en-GB" w:eastAsia="pt-BR"/>
        </w:rPr>
        <w:t>2</w:t>
      </w:r>
      <w:r w:rsidRPr="00D86FEC">
        <w:rPr>
          <w:rFonts w:ascii="Courier New" w:eastAsia="Times New Roman" w:hAnsi="Courier New" w:cs="Courier New"/>
          <w:sz w:val="16"/>
          <w:szCs w:val="16"/>
          <w:lang w:val="en-GB" w:eastAsia="pt-BR"/>
        </w:rPr>
        <w:t>(prog=3)) * exp(b</w:t>
      </w:r>
      <w:r w:rsidRPr="00D86FEC">
        <w:rPr>
          <w:rFonts w:ascii="Courier New" w:eastAsia="Times New Roman" w:hAnsi="Courier New" w:cs="Courier New"/>
          <w:sz w:val="16"/>
          <w:szCs w:val="16"/>
          <w:vertAlign w:val="subscript"/>
          <w:lang w:val="en-GB" w:eastAsia="pt-BR"/>
        </w:rPr>
        <w:t>3</w:t>
      </w:r>
      <w:r w:rsidRPr="00D86FEC">
        <w:rPr>
          <w:rFonts w:ascii="Courier New" w:eastAsia="Times New Roman" w:hAnsi="Courier New" w:cs="Courier New"/>
          <w:sz w:val="16"/>
          <w:szCs w:val="16"/>
          <w:lang w:val="en-GB" w:eastAsia="pt-BR"/>
        </w:rPr>
        <w:t>math)</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The coefficients have an </w:t>
      </w:r>
      <w:r w:rsidRPr="00D86FEC">
        <w:rPr>
          <w:rFonts w:ascii="Courier New" w:eastAsia="Times New Roman" w:hAnsi="Courier New" w:cs="Courier New"/>
          <w:i/>
          <w:iCs/>
          <w:sz w:val="16"/>
          <w:szCs w:val="16"/>
          <w:lang w:val="en-GB" w:eastAsia="pt-BR"/>
        </w:rPr>
        <w:t>additive</w:t>
      </w:r>
      <w:r w:rsidRPr="00D86FEC">
        <w:rPr>
          <w:rFonts w:ascii="Courier New" w:eastAsia="Times New Roman" w:hAnsi="Courier New" w:cs="Courier New"/>
          <w:sz w:val="16"/>
          <w:szCs w:val="16"/>
          <w:lang w:val="en-GB" w:eastAsia="pt-BR"/>
        </w:rPr>
        <w:t xml:space="preserve"> effect in the log(y) scale and the IRR have a </w:t>
      </w:r>
      <w:r w:rsidRPr="00D86FEC">
        <w:rPr>
          <w:rFonts w:ascii="Courier New" w:eastAsia="Times New Roman" w:hAnsi="Courier New" w:cs="Courier New"/>
          <w:i/>
          <w:iCs/>
          <w:sz w:val="16"/>
          <w:szCs w:val="16"/>
          <w:lang w:val="en-GB" w:eastAsia="pt-BR"/>
        </w:rPr>
        <w:t>multiplicative</w:t>
      </w:r>
      <w:r w:rsidRPr="00D86FEC">
        <w:rPr>
          <w:rFonts w:ascii="Courier New" w:eastAsia="Times New Roman" w:hAnsi="Courier New" w:cs="Courier New"/>
          <w:sz w:val="16"/>
          <w:szCs w:val="16"/>
          <w:lang w:val="en-GB" w:eastAsia="pt-BR"/>
        </w:rPr>
        <w:t xml:space="preserve"> effect in the y scale. The dispersion parameter </w:t>
      </w:r>
      <w:r w:rsidRPr="00D86FEC">
        <w:rPr>
          <w:rFonts w:ascii="Courier New" w:eastAsia="Times New Roman" w:hAnsi="Courier New" w:cs="Courier New"/>
          <w:b/>
          <w:bCs/>
          <w:sz w:val="16"/>
          <w:szCs w:val="16"/>
          <w:lang w:val="en-GB" w:eastAsia="pt-BR"/>
        </w:rPr>
        <w:t>alpha</w:t>
      </w:r>
      <w:r w:rsidRPr="00D86FEC">
        <w:rPr>
          <w:rFonts w:ascii="Courier New" w:eastAsia="Times New Roman" w:hAnsi="Courier New" w:cs="Courier New"/>
          <w:sz w:val="16"/>
          <w:szCs w:val="16"/>
          <w:lang w:val="en-GB" w:eastAsia="pt-BR"/>
        </w:rPr>
        <w:t xml:space="preserve"> in negative binomial regression does not effect the expected counts, but it does effect the estimated variance of the expected counts. More details can be found in the Stata documentation.</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For additional information on the various metrics in which the results can be presented, and the interpretation of such, please see </w:t>
      </w:r>
      <w:r w:rsidRPr="00D86FEC">
        <w:rPr>
          <w:rFonts w:ascii="Courier New" w:eastAsia="Times New Roman" w:hAnsi="Courier New" w:cs="Courier New"/>
          <w:i/>
          <w:iCs/>
          <w:sz w:val="16"/>
          <w:szCs w:val="16"/>
          <w:lang w:val="en-GB" w:eastAsia="pt-BR"/>
        </w:rPr>
        <w:t>Regression Models for Categorical Dependent Variables Using Stata, Second Edition</w:t>
      </w:r>
      <w:r w:rsidRPr="00D86FEC">
        <w:rPr>
          <w:rFonts w:ascii="Courier New" w:eastAsia="Times New Roman" w:hAnsi="Courier New" w:cs="Courier New"/>
          <w:sz w:val="16"/>
          <w:szCs w:val="16"/>
          <w:lang w:val="en-GB" w:eastAsia="pt-BR"/>
        </w:rPr>
        <w:t xml:space="preserve"> by J. Scott Long and Jeremy Freese (2006).</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To understand the model better, we can use the </w:t>
      </w:r>
      <w:r w:rsidRPr="00D86FEC">
        <w:rPr>
          <w:rFonts w:ascii="Courier New" w:eastAsia="Times New Roman" w:hAnsi="Courier New" w:cs="Courier New"/>
          <w:b/>
          <w:bCs/>
          <w:sz w:val="16"/>
          <w:szCs w:val="16"/>
          <w:lang w:val="en-GB" w:eastAsia="pt-BR"/>
        </w:rPr>
        <w:t>margins</w:t>
      </w:r>
      <w:r w:rsidRPr="00D86FEC">
        <w:rPr>
          <w:rFonts w:ascii="Courier New" w:eastAsia="Times New Roman" w:hAnsi="Courier New" w:cs="Courier New"/>
          <w:sz w:val="16"/>
          <w:szCs w:val="16"/>
          <w:lang w:val="en-GB" w:eastAsia="pt-BR"/>
        </w:rPr>
        <w:t xml:space="preserve"> command. Below we use the </w:t>
      </w:r>
      <w:r w:rsidRPr="00D86FEC">
        <w:rPr>
          <w:rFonts w:ascii="Courier New" w:eastAsia="Times New Roman" w:hAnsi="Courier New" w:cs="Courier New"/>
          <w:b/>
          <w:bCs/>
          <w:sz w:val="16"/>
          <w:szCs w:val="16"/>
          <w:lang w:val="en-GB" w:eastAsia="pt-BR"/>
        </w:rPr>
        <w:t>margins</w:t>
      </w:r>
      <w:r w:rsidRPr="00D86FEC">
        <w:rPr>
          <w:rFonts w:ascii="Courier New" w:eastAsia="Times New Roman" w:hAnsi="Courier New" w:cs="Courier New"/>
          <w:sz w:val="16"/>
          <w:szCs w:val="16"/>
          <w:lang w:val="en-GB" w:eastAsia="pt-BR"/>
        </w:rPr>
        <w:t xml:space="preserve"> command to calculate the predicted counts at each level of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holding all other variables (in this example, </w:t>
      </w:r>
      <w:r w:rsidRPr="00D86FEC">
        <w:rPr>
          <w:rFonts w:ascii="Courier New" w:eastAsia="Times New Roman" w:hAnsi="Courier New" w:cs="Courier New"/>
          <w:b/>
          <w:bCs/>
          <w:sz w:val="16"/>
          <w:szCs w:val="16"/>
          <w:lang w:val="en-GB" w:eastAsia="pt-BR"/>
        </w:rPr>
        <w:t>math</w:t>
      </w:r>
      <w:r w:rsidRPr="00D86FEC">
        <w:rPr>
          <w:rFonts w:ascii="Courier New" w:eastAsia="Times New Roman" w:hAnsi="Courier New" w:cs="Courier New"/>
          <w:sz w:val="16"/>
          <w:szCs w:val="16"/>
          <w:lang w:val="en-GB" w:eastAsia="pt-BR"/>
        </w:rPr>
        <w:t>) in the model at their means.</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margins prog, atmeans</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Adjusted predictions                              Number of obs   =        314</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Model VCE    : OIM</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Expression   : Predicted number of events, predict()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at           : math            =    48.26752 (mean)</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1.prog          =    .1273885 (mean)</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2.prog          =    .5318471 (mean)</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3.prog          =    .3407643 (mean)</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            Delta-method</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     Margin   Std. Err.      z    P&gt;|z|     [95% Conf. Interval]</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prog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1  |    10.2369   1.674445     6.11   0.000     6.955048    13.51875</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2  |   6.587927   .5511718    11.95   0.000      5.50765    7.668204</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3  |   2.850083   .3296496     8.65   0.000     2.203981    3.496184</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In the output above, we see that the predicted number of events for level 1 of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is about 10.24, holding </w:t>
      </w:r>
      <w:r w:rsidRPr="00D86FEC">
        <w:rPr>
          <w:rFonts w:ascii="Courier New" w:eastAsia="Times New Roman" w:hAnsi="Courier New" w:cs="Courier New"/>
          <w:b/>
          <w:bCs/>
          <w:sz w:val="16"/>
          <w:szCs w:val="16"/>
          <w:lang w:val="en-GB" w:eastAsia="pt-BR"/>
        </w:rPr>
        <w:t>math</w:t>
      </w:r>
      <w:r w:rsidRPr="00D86FEC">
        <w:rPr>
          <w:rFonts w:ascii="Courier New" w:eastAsia="Times New Roman" w:hAnsi="Courier New" w:cs="Courier New"/>
          <w:sz w:val="16"/>
          <w:szCs w:val="16"/>
          <w:lang w:val="en-GB" w:eastAsia="pt-BR"/>
        </w:rPr>
        <w:t xml:space="preserve"> at its mean.  The predicted number of events for level 2 of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is lower at 6.59, and the predicted number of events for level 3 of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is about 2.85. Note that the predicted count of level 2 of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is (6.587927/10.2369) = 0.64 times the predicted count for level 1 of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This matches what we saw in the IRR output table.</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Below we will obtain the predicted number of events for values of </w:t>
      </w:r>
      <w:r w:rsidRPr="00D86FEC">
        <w:rPr>
          <w:rFonts w:ascii="Courier New" w:eastAsia="Times New Roman" w:hAnsi="Courier New" w:cs="Courier New"/>
          <w:b/>
          <w:bCs/>
          <w:sz w:val="16"/>
          <w:szCs w:val="16"/>
          <w:lang w:val="en-GB" w:eastAsia="pt-BR"/>
        </w:rPr>
        <w:t>math</w:t>
      </w:r>
      <w:r w:rsidRPr="00D86FEC">
        <w:rPr>
          <w:rFonts w:ascii="Courier New" w:eastAsia="Times New Roman" w:hAnsi="Courier New" w:cs="Courier New"/>
          <w:sz w:val="16"/>
          <w:szCs w:val="16"/>
          <w:lang w:val="en-GB" w:eastAsia="pt-BR"/>
        </w:rPr>
        <w:t xml:space="preserve"> that range from 0 to 100 in increments of 20.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b/>
          <w:bCs/>
          <w:sz w:val="16"/>
          <w:szCs w:val="16"/>
          <w:lang w:val="en-GB" w:eastAsia="pt-BR"/>
        </w:rPr>
        <w:t>margins, at(math=(0(20)100)) vsquish</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Predictive margins                                Number of obs   =        314</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Model VCE    : OIM</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Expression   : Predicted number of events, predict()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1._at        : math            =           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2._at        : math            =          20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3._at        : math            =          40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4._at        : math            =          60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5._at        : math            =          80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6._at        : math            =         100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            Delta-method</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     Margin   Std. Err.      z    P&gt;|z|     [95% Conf. Interval]</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_at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1  |   7.717607   .9993707     7.72   0.000     5.758876    9.676337</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2  |   6.845863   .6132453    11.16   0.000     5.643924    8.047802</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3  |   6.072587   .3986397    15.23   0.000     5.291268    6.853907</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4  |   5.386657   .4039343    13.34   0.000      4.59496    6.178354</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lastRenderedPageBreak/>
        <w:t>          5  |   4.778206   .5226812     9.14   0.000      3.75377    5.802643</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6  |   4.238483   .6474951     6.55   0.000     2.969416     5.50755</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The table above shows that with </w:t>
      </w:r>
      <w:r w:rsidRPr="00D86FEC">
        <w:rPr>
          <w:rFonts w:ascii="Courier New" w:eastAsia="Times New Roman" w:hAnsi="Courier New" w:cs="Courier New"/>
          <w:b/>
          <w:bCs/>
          <w:sz w:val="16"/>
          <w:szCs w:val="16"/>
          <w:lang w:val="en-GB" w:eastAsia="pt-BR"/>
        </w:rPr>
        <w:t>prog</w:t>
      </w:r>
      <w:r w:rsidRPr="00D86FEC">
        <w:rPr>
          <w:rFonts w:ascii="Courier New" w:eastAsia="Times New Roman" w:hAnsi="Courier New" w:cs="Courier New"/>
          <w:sz w:val="16"/>
          <w:szCs w:val="16"/>
          <w:lang w:val="en-GB" w:eastAsia="pt-BR"/>
        </w:rPr>
        <w:t xml:space="preserve"> at its observed values and </w:t>
      </w:r>
      <w:r w:rsidRPr="00D86FEC">
        <w:rPr>
          <w:rFonts w:ascii="Courier New" w:eastAsia="Times New Roman" w:hAnsi="Courier New" w:cs="Courier New"/>
          <w:b/>
          <w:bCs/>
          <w:sz w:val="16"/>
          <w:szCs w:val="16"/>
          <w:lang w:val="en-GB" w:eastAsia="pt-BR"/>
        </w:rPr>
        <w:t>math</w:t>
      </w:r>
      <w:r w:rsidRPr="00D86FEC">
        <w:rPr>
          <w:rFonts w:ascii="Courier New" w:eastAsia="Times New Roman" w:hAnsi="Courier New" w:cs="Courier New"/>
          <w:sz w:val="16"/>
          <w:szCs w:val="16"/>
          <w:lang w:val="en-GB" w:eastAsia="pt-BR"/>
        </w:rPr>
        <w:t xml:space="preserve"> held at 0 for all observations, the average predicted count (or average number of days absent) is about 7.72; when </w:t>
      </w:r>
      <w:r w:rsidRPr="00D86FEC">
        <w:rPr>
          <w:rFonts w:ascii="Courier New" w:eastAsia="Times New Roman" w:hAnsi="Courier New" w:cs="Courier New"/>
          <w:b/>
          <w:bCs/>
          <w:sz w:val="16"/>
          <w:szCs w:val="16"/>
          <w:lang w:val="en-GB" w:eastAsia="pt-BR"/>
        </w:rPr>
        <w:t>math</w:t>
      </w:r>
      <w:r w:rsidRPr="00D86FEC">
        <w:rPr>
          <w:rFonts w:ascii="Courier New" w:eastAsia="Times New Roman" w:hAnsi="Courier New" w:cs="Courier New"/>
          <w:sz w:val="16"/>
          <w:szCs w:val="16"/>
          <w:lang w:val="en-GB" w:eastAsia="pt-BR"/>
        </w:rPr>
        <w:t xml:space="preserve"> = 100, the average predicted count is about 4.24. If we compare the predicted counts at any two levels of math, like math = 20 and math = 40, we can see that the ratio is (6.072587/6.845863) = 0.887. This matches the IRR of 0.994 for a 20 unit change: 0.994^20 = 0.887.</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The user-written </w:t>
      </w:r>
      <w:r w:rsidRPr="00D86FEC">
        <w:rPr>
          <w:rFonts w:ascii="Courier New" w:eastAsia="Times New Roman" w:hAnsi="Courier New" w:cs="Courier New"/>
          <w:b/>
          <w:bCs/>
          <w:sz w:val="16"/>
          <w:szCs w:val="16"/>
          <w:lang w:val="en-GB" w:eastAsia="pt-BR"/>
        </w:rPr>
        <w:t>fitstat</w:t>
      </w:r>
      <w:r w:rsidRPr="00D86FEC">
        <w:rPr>
          <w:rFonts w:ascii="Courier New" w:eastAsia="Times New Roman" w:hAnsi="Courier New" w:cs="Courier New"/>
          <w:sz w:val="16"/>
          <w:szCs w:val="16"/>
          <w:lang w:val="en-GB" w:eastAsia="pt-BR"/>
        </w:rPr>
        <w:t xml:space="preserve"> command (as well as Stata's </w:t>
      </w:r>
      <w:r w:rsidRPr="00D86FEC">
        <w:rPr>
          <w:rFonts w:ascii="Courier New" w:eastAsia="Times New Roman" w:hAnsi="Courier New" w:cs="Courier New"/>
          <w:b/>
          <w:bCs/>
          <w:sz w:val="16"/>
          <w:szCs w:val="16"/>
          <w:lang w:val="en-GB" w:eastAsia="pt-BR"/>
        </w:rPr>
        <w:t>estat</w:t>
      </w:r>
      <w:r w:rsidRPr="00D86FEC">
        <w:rPr>
          <w:rFonts w:ascii="Courier New" w:eastAsia="Times New Roman" w:hAnsi="Courier New" w:cs="Courier New"/>
          <w:sz w:val="16"/>
          <w:szCs w:val="16"/>
          <w:lang w:val="en-GB" w:eastAsia="pt-BR"/>
        </w:rPr>
        <w:t xml:space="preserve"> commands) can be used to obtain additional model fit information that may be helpful if you want to compare models.  You can type </w:t>
      </w:r>
      <w:r w:rsidRPr="00D86FEC">
        <w:rPr>
          <w:rFonts w:ascii="Courier New" w:eastAsia="Times New Roman" w:hAnsi="Courier New" w:cs="Courier New"/>
          <w:b/>
          <w:bCs/>
          <w:sz w:val="16"/>
          <w:szCs w:val="16"/>
          <w:lang w:val="en-GB" w:eastAsia="pt-BR"/>
        </w:rPr>
        <w:t>findit fitstat</w:t>
      </w:r>
      <w:r w:rsidRPr="00D86FEC">
        <w:rPr>
          <w:rFonts w:ascii="Courier New" w:eastAsia="Times New Roman" w:hAnsi="Courier New" w:cs="Courier New"/>
          <w:sz w:val="16"/>
          <w:szCs w:val="16"/>
          <w:lang w:val="en-GB" w:eastAsia="pt-BR"/>
        </w:rPr>
        <w:t xml:space="preserve"> to download this program (see</w:t>
      </w:r>
      <w:hyperlink r:id="rId8" w:history="1">
        <w:r w:rsidRPr="00D86FEC">
          <w:rPr>
            <w:rFonts w:ascii="Courier New" w:eastAsia="Times New Roman" w:hAnsi="Courier New" w:cs="Courier New"/>
            <w:color w:val="0000FF"/>
            <w:sz w:val="16"/>
            <w:szCs w:val="16"/>
            <w:u w:val="single"/>
            <w:lang w:val="en-GB" w:eastAsia="pt-BR"/>
          </w:rPr>
          <w:t xml:space="preserve"> How can I use the findit command to search for programs and get additional help?</w:t>
        </w:r>
      </w:hyperlink>
      <w:r w:rsidRPr="00D86FEC">
        <w:rPr>
          <w:rFonts w:ascii="Courier New" w:eastAsia="Times New Roman" w:hAnsi="Courier New" w:cs="Courier New"/>
          <w:sz w:val="16"/>
          <w:szCs w:val="16"/>
          <w:lang w:val="en-GB" w:eastAsia="pt-BR"/>
        </w:rPr>
        <w:t xml:space="preserve"> for more information about using </w:t>
      </w:r>
      <w:r w:rsidRPr="00D86FEC">
        <w:rPr>
          <w:rFonts w:ascii="Courier New" w:eastAsia="Times New Roman" w:hAnsi="Courier New" w:cs="Courier New"/>
          <w:b/>
          <w:bCs/>
          <w:sz w:val="16"/>
          <w:szCs w:val="16"/>
          <w:lang w:val="en-GB" w:eastAsia="pt-BR"/>
        </w:rPr>
        <w:t>findit</w:t>
      </w:r>
      <w:r w:rsidRPr="00D86FEC">
        <w:rPr>
          <w:rFonts w:ascii="Courier New" w:eastAsia="Times New Roman" w:hAnsi="Courier New" w:cs="Courier New"/>
          <w:sz w:val="16"/>
          <w:szCs w:val="16"/>
          <w:lang w:val="en-GB" w:eastAsia="pt-BR"/>
        </w:rPr>
        <w: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b/>
          <w:bCs/>
          <w:sz w:val="16"/>
          <w:szCs w:val="16"/>
          <w:lang w:val="en-GB" w:eastAsia="pt-BR"/>
        </w:rPr>
        <w:t>fitstat</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Measures of Fit for nbreg of daysabs</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Log-Lik Intercept Only:       -896.472   Log-Lik Full Model:           -865.629</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D(308):                       1731.258   LR(3):                          61.687</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Prob &gt; LR:                       0.000</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McFadden's R2:                   0.034   McFadden's Adj R2:               0.028</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ML (Cox-Snell) R2:               0.178   Cragg-Uhler(Nagelkerke) R2:      0.179</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eastAsia="pt-BR"/>
        </w:rPr>
        <w:t>AIC:                             5.552   AIC*n:                        1743.258</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eastAsia="pt-BR"/>
        </w:rPr>
        <w:t>BIC:                           -39.555   BIC':                          -44.439</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BIC used by Stata:            1760.005   AIC used by Stata:            1741.258</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You can graph the predicted number of events with the commands below.  The graph indicates that the most days absent are predicted for those in the academic program 1, especially if the student has a low math score.  The lowest number of predicted days absent is for those students in program 3.</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predict c</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sort math</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twoway (line c math if prog==1)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       (line c math if prog==2)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       (line c math if prog==3),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       ytitle("Predicted Mean Value of Response") ylabel(0(3)15 ,nogrid)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       xtitle("Math Score") legend(order(1 "prog=1" 2 "prog=2" 3 "prog=3")) scheme(s1mono)</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GB" w:eastAsia="pt-BR"/>
        </w:rPr>
      </w:pPr>
      <w:r w:rsidRPr="00D86FEC">
        <w:rPr>
          <w:rFonts w:ascii="Courier New" w:eastAsia="Times New Roman" w:hAnsi="Courier New" w:cs="Courier New"/>
          <w:b/>
          <w:bCs/>
          <w:sz w:val="16"/>
          <w:szCs w:val="16"/>
          <w:lang w:val="en-GB" w:eastAsia="pt-BR"/>
        </w:rPr>
        <w:t>      </w:t>
      </w:r>
    </w:p>
    <w:p w:rsidR="00D86FEC" w:rsidRPr="00D86FEC" w:rsidRDefault="00D86FEC" w:rsidP="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b/>
          <w:bCs/>
          <w:sz w:val="16"/>
          <w:szCs w:val="16"/>
          <w:lang w:val="en-GB" w:eastAsia="pt-BR"/>
        </w:rPr>
        <w:t xml:space="preserve">       </w:t>
      </w:r>
    </w:p>
    <w:p w:rsidR="00D86FEC" w:rsidRPr="00D86FEC" w:rsidRDefault="00D86FEC" w:rsidP="00D86FEC">
      <w:pPr>
        <w:spacing w:before="100" w:beforeAutospacing="1" w:after="100" w:afterAutospacing="1" w:line="240" w:lineRule="auto"/>
        <w:outlineLvl w:val="3"/>
        <w:rPr>
          <w:rFonts w:ascii="Courier New" w:eastAsia="Times New Roman" w:hAnsi="Courier New" w:cs="Courier New"/>
          <w:b/>
          <w:bCs/>
          <w:sz w:val="16"/>
          <w:szCs w:val="16"/>
          <w:lang w:eastAsia="pt-BR"/>
        </w:rPr>
      </w:pPr>
      <w:r w:rsidRPr="00D86FEC">
        <w:rPr>
          <w:rFonts w:ascii="Courier New" w:eastAsia="Times New Roman" w:hAnsi="Courier New" w:cs="Courier New"/>
          <w:b/>
          <w:bCs/>
          <w:noProof/>
          <w:sz w:val="16"/>
          <w:szCs w:val="16"/>
          <w:lang w:eastAsia="pt-BR"/>
        </w:rPr>
        <w:lastRenderedPageBreak/>
        <w:drawing>
          <wp:inline distT="0" distB="0" distL="0" distR="0">
            <wp:extent cx="5353050" cy="3886200"/>
            <wp:effectExtent l="0" t="0" r="0" b="0"/>
            <wp:docPr id="1" name="Imagem 1" descr="http://www.ats.ucla.edu/stat/stata/dae/nbr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ts.ucla.edu/stat/stata/dae/nbre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886200"/>
                    </a:xfrm>
                    <a:prstGeom prst="rect">
                      <a:avLst/>
                    </a:prstGeom>
                    <a:noFill/>
                    <a:ln>
                      <a:noFill/>
                    </a:ln>
                  </pic:spPr>
                </pic:pic>
              </a:graphicData>
            </a:graphic>
          </wp:inline>
        </w:drawing>
      </w:r>
    </w:p>
    <w:p w:rsidR="00D86FEC" w:rsidRPr="00D86FEC" w:rsidRDefault="00D86FEC" w:rsidP="00D86FEC">
      <w:pPr>
        <w:spacing w:before="100" w:beforeAutospacing="1" w:after="100" w:afterAutospacing="1" w:line="240" w:lineRule="auto"/>
        <w:outlineLvl w:val="3"/>
        <w:rPr>
          <w:rFonts w:ascii="Courier New" w:eastAsia="Times New Roman" w:hAnsi="Courier New" w:cs="Courier New"/>
          <w:b/>
          <w:bCs/>
          <w:sz w:val="16"/>
          <w:szCs w:val="16"/>
          <w:lang w:eastAsia="pt-BR"/>
        </w:rPr>
      </w:pPr>
      <w:r w:rsidRPr="00D86FEC">
        <w:rPr>
          <w:rFonts w:ascii="Courier New" w:eastAsia="Times New Roman" w:hAnsi="Courier New" w:cs="Courier New"/>
          <w:b/>
          <w:bCs/>
          <w:sz w:val="16"/>
          <w:szCs w:val="16"/>
          <w:lang w:eastAsia="pt-BR"/>
        </w:rPr>
        <w:t>Things to consider</w:t>
      </w:r>
    </w:p>
    <w:p w:rsidR="00D86FEC" w:rsidRPr="00D86FEC" w:rsidRDefault="00D86FEC" w:rsidP="00D86FEC">
      <w:pPr>
        <w:numPr>
          <w:ilvl w:val="0"/>
          <w:numId w:val="4"/>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It is not recommended that negative binomial models be applied to small samples. </w:t>
      </w:r>
    </w:p>
    <w:p w:rsidR="00D86FEC" w:rsidRPr="00D86FEC" w:rsidRDefault="00D86FEC" w:rsidP="00D86FEC">
      <w:pPr>
        <w:numPr>
          <w:ilvl w:val="0"/>
          <w:numId w:val="4"/>
        </w:num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val="en-GB" w:eastAsia="pt-BR"/>
        </w:rPr>
        <w:t xml:space="preserve">One common cause of over-dispersion is excess zeros by an additional data generating process.  </w:t>
      </w:r>
      <w:r w:rsidRPr="00D86FEC">
        <w:rPr>
          <w:rFonts w:ascii="Courier New" w:eastAsia="Times New Roman" w:hAnsi="Courier New" w:cs="Courier New"/>
          <w:sz w:val="16"/>
          <w:szCs w:val="16"/>
          <w:lang w:eastAsia="pt-BR"/>
        </w:rPr>
        <w:t>In this situation, zero-inflated model should be considered.</w:t>
      </w:r>
    </w:p>
    <w:p w:rsidR="00D86FEC" w:rsidRPr="00D86FEC" w:rsidRDefault="00D86FEC" w:rsidP="00D86FEC">
      <w:pPr>
        <w:numPr>
          <w:ilvl w:val="0"/>
          <w:numId w:val="4"/>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If the data generating process does not allow for any 0s (such as the number of days spent in the hospital), then a zero-truncated model may be more appropriate.</w:t>
      </w:r>
    </w:p>
    <w:p w:rsidR="00D86FEC" w:rsidRPr="00D86FEC" w:rsidRDefault="00D86FEC" w:rsidP="00D86FEC">
      <w:pPr>
        <w:numPr>
          <w:ilvl w:val="0"/>
          <w:numId w:val="4"/>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Count data often have an exposure variable, which indicates the number of times the event could have happened.  This variable should be incorporated into your negative binomial regression model with the use of the </w:t>
      </w:r>
      <w:r w:rsidRPr="00D86FEC">
        <w:rPr>
          <w:rFonts w:ascii="Courier New" w:eastAsia="Times New Roman" w:hAnsi="Courier New" w:cs="Courier New"/>
          <w:b/>
          <w:bCs/>
          <w:sz w:val="16"/>
          <w:szCs w:val="16"/>
          <w:lang w:val="en-GB" w:eastAsia="pt-BR"/>
        </w:rPr>
        <w:t>exp()</w:t>
      </w:r>
      <w:r w:rsidRPr="00D86FEC">
        <w:rPr>
          <w:rFonts w:ascii="Courier New" w:eastAsia="Times New Roman" w:hAnsi="Courier New" w:cs="Courier New"/>
          <w:sz w:val="16"/>
          <w:szCs w:val="16"/>
          <w:lang w:val="en-GB" w:eastAsia="pt-BR"/>
        </w:rPr>
        <w:t xml:space="preserve"> option.</w:t>
      </w:r>
    </w:p>
    <w:p w:rsidR="00D86FEC" w:rsidRPr="00D86FEC" w:rsidRDefault="00D86FEC" w:rsidP="00D86FEC">
      <w:pPr>
        <w:numPr>
          <w:ilvl w:val="0"/>
          <w:numId w:val="4"/>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The outcome variable in a negative binomial regression cannot have negative numbers, and the exposure cannot have 0s.</w:t>
      </w:r>
    </w:p>
    <w:p w:rsidR="00D86FEC" w:rsidRPr="00D86FEC" w:rsidRDefault="00D86FEC" w:rsidP="00D86FEC">
      <w:pPr>
        <w:numPr>
          <w:ilvl w:val="0"/>
          <w:numId w:val="4"/>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You can also run a negative binomial model using the </w:t>
      </w:r>
      <w:r w:rsidRPr="00D86FEC">
        <w:rPr>
          <w:rFonts w:ascii="Courier New" w:eastAsia="Times New Roman" w:hAnsi="Courier New" w:cs="Courier New"/>
          <w:b/>
          <w:bCs/>
          <w:sz w:val="16"/>
          <w:szCs w:val="16"/>
          <w:lang w:val="en-GB" w:eastAsia="pt-BR"/>
        </w:rPr>
        <w:t>glm</w:t>
      </w:r>
      <w:r w:rsidRPr="00D86FEC">
        <w:rPr>
          <w:rFonts w:ascii="Courier New" w:eastAsia="Times New Roman" w:hAnsi="Courier New" w:cs="Courier New"/>
          <w:sz w:val="16"/>
          <w:szCs w:val="16"/>
          <w:lang w:val="en-GB" w:eastAsia="pt-BR"/>
        </w:rPr>
        <w:t xml:space="preserve"> command with the log link and the binomial family.</w:t>
      </w:r>
    </w:p>
    <w:p w:rsidR="00D86FEC" w:rsidRPr="00D86FEC" w:rsidRDefault="00D86FEC" w:rsidP="00D86FEC">
      <w:pPr>
        <w:numPr>
          <w:ilvl w:val="0"/>
          <w:numId w:val="4"/>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You will need to use the </w:t>
      </w:r>
      <w:r w:rsidRPr="00D86FEC">
        <w:rPr>
          <w:rFonts w:ascii="Courier New" w:eastAsia="Times New Roman" w:hAnsi="Courier New" w:cs="Courier New"/>
          <w:b/>
          <w:bCs/>
          <w:sz w:val="16"/>
          <w:szCs w:val="16"/>
          <w:lang w:val="en-GB" w:eastAsia="pt-BR"/>
        </w:rPr>
        <w:t>glm</w:t>
      </w:r>
      <w:r w:rsidRPr="00D86FEC">
        <w:rPr>
          <w:rFonts w:ascii="Courier New" w:eastAsia="Times New Roman" w:hAnsi="Courier New" w:cs="Courier New"/>
          <w:sz w:val="16"/>
          <w:szCs w:val="16"/>
          <w:lang w:val="en-GB" w:eastAsia="pt-BR"/>
        </w:rPr>
        <w:t xml:space="preserve"> command to obtain the residuals to check other assumptions of the negative binomial model (see Cameron and Trivedi (1998) and Dupont (2002) for more information).</w:t>
      </w:r>
    </w:p>
    <w:p w:rsidR="00D86FEC" w:rsidRPr="00D86FEC" w:rsidRDefault="00D86FEC" w:rsidP="00D86FEC">
      <w:pPr>
        <w:numPr>
          <w:ilvl w:val="0"/>
          <w:numId w:val="4"/>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Pseudo-R-squared:  Many different measures of pseudo-R-squared exist. They all attempt to provide information similar to that provided by R-squared in OLS regression; however, none of them can be interpreted exactly as R-squared in OLS regression is interpreted. For a discussion of various pseudo-R-squares, see Long and Freese (2006) or our FAQ page </w:t>
      </w:r>
      <w:hyperlink r:id="rId10" w:history="1">
        <w:r w:rsidRPr="00D86FEC">
          <w:rPr>
            <w:rFonts w:ascii="Courier New" w:eastAsia="Times New Roman" w:hAnsi="Courier New" w:cs="Courier New"/>
            <w:color w:val="0000FF"/>
            <w:sz w:val="16"/>
            <w:szCs w:val="16"/>
            <w:u w:val="single"/>
            <w:lang w:val="en-GB" w:eastAsia="pt-BR"/>
          </w:rPr>
          <w:t>What are pseudo R-squareds?</w:t>
        </w:r>
      </w:hyperlink>
      <w:r w:rsidRPr="00D86FEC">
        <w:rPr>
          <w:rFonts w:ascii="Courier New" w:eastAsia="Times New Roman" w:hAnsi="Courier New" w:cs="Courier New"/>
          <w:sz w:val="16"/>
          <w:szCs w:val="16"/>
          <w:lang w:val="en-GB" w:eastAsia="pt-BR"/>
        </w:rPr>
        <w:t xml:space="preserve"> .</w:t>
      </w:r>
    </w:p>
    <w:p w:rsidR="00D86FEC" w:rsidRPr="00D86FEC" w:rsidRDefault="00D86FEC" w:rsidP="00D86FEC">
      <w:pPr>
        <w:spacing w:before="100" w:beforeAutospacing="1" w:after="100" w:afterAutospacing="1" w:line="240" w:lineRule="auto"/>
        <w:outlineLvl w:val="3"/>
        <w:rPr>
          <w:rFonts w:ascii="Courier New" w:eastAsia="Times New Roman" w:hAnsi="Courier New" w:cs="Courier New"/>
          <w:b/>
          <w:bCs/>
          <w:sz w:val="16"/>
          <w:szCs w:val="16"/>
          <w:lang w:eastAsia="pt-BR"/>
        </w:rPr>
      </w:pPr>
      <w:r w:rsidRPr="00D86FEC">
        <w:rPr>
          <w:rFonts w:ascii="Courier New" w:eastAsia="Times New Roman" w:hAnsi="Courier New" w:cs="Courier New"/>
          <w:b/>
          <w:bCs/>
          <w:sz w:val="16"/>
          <w:szCs w:val="16"/>
          <w:lang w:eastAsia="pt-BR"/>
        </w:rPr>
        <w:t>See also</w:t>
      </w:r>
    </w:p>
    <w:p w:rsidR="00D86FEC" w:rsidRPr="00D86FEC" w:rsidRDefault="00D86FEC" w:rsidP="00D86FEC">
      <w:pPr>
        <w:numPr>
          <w:ilvl w:val="0"/>
          <w:numId w:val="5"/>
        </w:numPr>
        <w:spacing w:before="100" w:beforeAutospacing="1" w:after="100" w:afterAutospacing="1" w:line="240" w:lineRule="auto"/>
        <w:rPr>
          <w:rFonts w:ascii="Courier New" w:eastAsia="Times New Roman" w:hAnsi="Courier New" w:cs="Courier New"/>
          <w:sz w:val="16"/>
          <w:szCs w:val="16"/>
          <w:lang w:val="en-GB" w:eastAsia="pt-BR"/>
        </w:rPr>
      </w:pPr>
      <w:hyperlink r:id="rId11" w:history="1">
        <w:r w:rsidRPr="00D86FEC">
          <w:rPr>
            <w:rFonts w:ascii="Courier New" w:eastAsia="Times New Roman" w:hAnsi="Courier New" w:cs="Courier New"/>
            <w:color w:val="0000FF"/>
            <w:sz w:val="16"/>
            <w:szCs w:val="16"/>
            <w:u w:val="single"/>
            <w:lang w:val="en-GB" w:eastAsia="pt-BR"/>
          </w:rPr>
          <w:t>Annotated output for the nbreg command</w:t>
        </w:r>
      </w:hyperlink>
    </w:p>
    <w:p w:rsidR="00D86FEC" w:rsidRPr="00D86FEC" w:rsidRDefault="00D86FEC" w:rsidP="00D86FEC">
      <w:pPr>
        <w:numPr>
          <w:ilvl w:val="0"/>
          <w:numId w:val="5"/>
        </w:num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eastAsia="pt-BR"/>
        </w:rPr>
        <w:t>Stata online manual</w:t>
      </w:r>
    </w:p>
    <w:p w:rsidR="00D86FEC" w:rsidRPr="00D86FEC" w:rsidRDefault="00D86FEC" w:rsidP="00D86FEC">
      <w:pPr>
        <w:numPr>
          <w:ilvl w:val="1"/>
          <w:numId w:val="5"/>
        </w:numPr>
        <w:spacing w:before="100" w:beforeAutospacing="1" w:after="100" w:afterAutospacing="1" w:line="240" w:lineRule="auto"/>
        <w:rPr>
          <w:rFonts w:ascii="Courier New" w:eastAsia="Times New Roman" w:hAnsi="Courier New" w:cs="Courier New"/>
          <w:sz w:val="16"/>
          <w:szCs w:val="16"/>
          <w:lang w:eastAsia="pt-BR"/>
        </w:rPr>
      </w:pPr>
      <w:hyperlink r:id="rId12" w:history="1">
        <w:r w:rsidRPr="00D86FEC">
          <w:rPr>
            <w:rFonts w:ascii="Courier New" w:eastAsia="Times New Roman" w:hAnsi="Courier New" w:cs="Courier New"/>
            <w:color w:val="0000FF"/>
            <w:sz w:val="16"/>
            <w:szCs w:val="16"/>
            <w:u w:val="single"/>
            <w:lang w:eastAsia="pt-BR"/>
          </w:rPr>
          <w:t>nbreg</w:t>
        </w:r>
      </w:hyperlink>
    </w:p>
    <w:p w:rsidR="00D86FEC" w:rsidRPr="00D86FEC" w:rsidRDefault="00D86FEC" w:rsidP="00D86FEC">
      <w:pPr>
        <w:numPr>
          <w:ilvl w:val="0"/>
          <w:numId w:val="5"/>
        </w:num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eastAsia="pt-BR"/>
        </w:rPr>
        <w:t>Related Stata commands</w:t>
      </w:r>
    </w:p>
    <w:p w:rsidR="00D86FEC" w:rsidRPr="00D86FEC" w:rsidRDefault="00D86FEC" w:rsidP="00D86FEC">
      <w:pPr>
        <w:numPr>
          <w:ilvl w:val="1"/>
          <w:numId w:val="5"/>
        </w:numPr>
        <w:spacing w:before="100" w:beforeAutospacing="1" w:after="100" w:afterAutospacing="1" w:line="240" w:lineRule="auto"/>
        <w:rPr>
          <w:rFonts w:ascii="Courier New" w:eastAsia="Times New Roman" w:hAnsi="Courier New" w:cs="Courier New"/>
          <w:sz w:val="16"/>
          <w:szCs w:val="16"/>
          <w:lang w:eastAsia="pt-BR"/>
        </w:rPr>
      </w:pPr>
      <w:hyperlink r:id="rId13" w:history="1">
        <w:r w:rsidRPr="00D86FEC">
          <w:rPr>
            <w:rFonts w:ascii="Courier New" w:eastAsia="Times New Roman" w:hAnsi="Courier New" w:cs="Courier New"/>
            <w:color w:val="0000FF"/>
            <w:sz w:val="16"/>
            <w:szCs w:val="16"/>
            <w:u w:val="single"/>
            <w:lang w:eastAsia="pt-BR"/>
          </w:rPr>
          <w:t>poisson</w:t>
        </w:r>
      </w:hyperlink>
      <w:r w:rsidRPr="00D86FEC">
        <w:rPr>
          <w:rFonts w:ascii="Courier New" w:eastAsia="Times New Roman" w:hAnsi="Courier New" w:cs="Courier New"/>
          <w:sz w:val="16"/>
          <w:szCs w:val="16"/>
          <w:lang w:eastAsia="pt-BR"/>
        </w:rPr>
        <w:t xml:space="preserve"> -- poisson regression</w:t>
      </w:r>
    </w:p>
    <w:p w:rsidR="00D86FEC" w:rsidRPr="00D86FEC" w:rsidRDefault="00D86FEC" w:rsidP="00D86FEC">
      <w:pPr>
        <w:numPr>
          <w:ilvl w:val="0"/>
          <w:numId w:val="5"/>
        </w:num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eastAsia="pt-BR"/>
        </w:rPr>
        <w:t>Stata FAQs</w:t>
      </w:r>
    </w:p>
    <w:p w:rsidR="00D86FEC" w:rsidRPr="00D86FEC" w:rsidRDefault="00D86FEC" w:rsidP="00D86FEC">
      <w:pPr>
        <w:numPr>
          <w:ilvl w:val="1"/>
          <w:numId w:val="5"/>
        </w:numPr>
        <w:spacing w:before="100" w:beforeAutospacing="1" w:after="100" w:afterAutospacing="1" w:line="240" w:lineRule="auto"/>
        <w:rPr>
          <w:rFonts w:ascii="Courier New" w:eastAsia="Times New Roman" w:hAnsi="Courier New" w:cs="Courier New"/>
          <w:sz w:val="16"/>
          <w:szCs w:val="16"/>
          <w:lang w:val="en-GB" w:eastAsia="pt-BR"/>
        </w:rPr>
      </w:pPr>
      <w:hyperlink r:id="rId14" w:history="1">
        <w:r w:rsidRPr="00D86FEC">
          <w:rPr>
            <w:rFonts w:ascii="Courier New" w:eastAsia="Times New Roman" w:hAnsi="Courier New" w:cs="Courier New"/>
            <w:color w:val="0000FF"/>
            <w:sz w:val="16"/>
            <w:szCs w:val="16"/>
            <w:u w:val="single"/>
            <w:lang w:val="en-GB" w:eastAsia="pt-BR"/>
          </w:rPr>
          <w:t>My raw data contain evidence of both overdispersion and “excess zeros”. Is a zero-inflated negative binomial model the only count data model that can account for both the overdispersion and “excess zeros”?</w:t>
        </w:r>
      </w:hyperlink>
    </w:p>
    <w:p w:rsidR="00D86FEC" w:rsidRPr="00D86FEC" w:rsidRDefault="00D86FEC" w:rsidP="00D86FEC">
      <w:pPr>
        <w:numPr>
          <w:ilvl w:val="1"/>
          <w:numId w:val="5"/>
        </w:numPr>
        <w:spacing w:before="100" w:beforeAutospacing="1" w:after="100" w:afterAutospacing="1" w:line="240" w:lineRule="auto"/>
        <w:rPr>
          <w:rFonts w:ascii="Courier New" w:eastAsia="Times New Roman" w:hAnsi="Courier New" w:cs="Courier New"/>
          <w:sz w:val="16"/>
          <w:szCs w:val="16"/>
          <w:lang w:val="en-GB" w:eastAsia="pt-BR"/>
        </w:rPr>
      </w:pPr>
      <w:hyperlink r:id="rId15" w:history="1">
        <w:r w:rsidRPr="00D86FEC">
          <w:rPr>
            <w:rFonts w:ascii="Courier New" w:eastAsia="Times New Roman" w:hAnsi="Courier New" w:cs="Courier New"/>
            <w:color w:val="0000FF"/>
            <w:sz w:val="16"/>
            <w:szCs w:val="16"/>
            <w:u w:val="single"/>
            <w:lang w:val="en-GB" w:eastAsia="pt-BR"/>
          </w:rPr>
          <w:t>How are the standard errors and confidence intervals computed for incidence-rate ratios (IRRs) by poisson and nbreg?</w:t>
        </w:r>
      </w:hyperlink>
    </w:p>
    <w:p w:rsidR="00D86FEC" w:rsidRPr="00D86FEC" w:rsidRDefault="00D86FEC" w:rsidP="00D86FEC">
      <w:pPr>
        <w:spacing w:before="100" w:beforeAutospacing="1" w:after="100" w:afterAutospacing="1" w:line="240" w:lineRule="auto"/>
        <w:outlineLvl w:val="3"/>
        <w:rPr>
          <w:rFonts w:ascii="Courier New" w:eastAsia="Times New Roman" w:hAnsi="Courier New" w:cs="Courier New"/>
          <w:b/>
          <w:bCs/>
          <w:sz w:val="16"/>
          <w:szCs w:val="16"/>
          <w:lang w:eastAsia="pt-BR"/>
        </w:rPr>
      </w:pPr>
      <w:r w:rsidRPr="00D86FEC">
        <w:rPr>
          <w:rFonts w:ascii="Courier New" w:eastAsia="Times New Roman" w:hAnsi="Courier New" w:cs="Courier New"/>
          <w:b/>
          <w:bCs/>
          <w:sz w:val="16"/>
          <w:szCs w:val="16"/>
          <w:lang w:eastAsia="pt-BR"/>
        </w:rPr>
        <w:t>References</w:t>
      </w:r>
    </w:p>
    <w:p w:rsidR="00D86FEC" w:rsidRPr="00D86FEC" w:rsidRDefault="00D86FEC" w:rsidP="00D86FEC">
      <w:pPr>
        <w:numPr>
          <w:ilvl w:val="0"/>
          <w:numId w:val="6"/>
        </w:num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val="en-GB" w:eastAsia="pt-BR"/>
        </w:rPr>
        <w:t xml:space="preserve">Long, J. S. (1997). </w:t>
      </w:r>
      <w:r w:rsidRPr="00D86FEC">
        <w:rPr>
          <w:rFonts w:ascii="Courier New" w:eastAsia="Times New Roman" w:hAnsi="Courier New" w:cs="Courier New"/>
          <w:i/>
          <w:iCs/>
          <w:sz w:val="16"/>
          <w:szCs w:val="16"/>
          <w:lang w:val="en-GB" w:eastAsia="pt-BR"/>
        </w:rPr>
        <w:t>Regression Models for Categorical and Limited Dependent Variables.</w:t>
      </w:r>
      <w:r w:rsidRPr="00D86FEC">
        <w:rPr>
          <w:rFonts w:ascii="Courier New" w:eastAsia="Times New Roman" w:hAnsi="Courier New" w:cs="Courier New"/>
          <w:sz w:val="16"/>
          <w:szCs w:val="16"/>
          <w:lang w:val="en-GB" w:eastAsia="pt-BR"/>
        </w:rPr>
        <w:t xml:space="preserve"> </w:t>
      </w:r>
      <w:r w:rsidRPr="00D86FEC">
        <w:rPr>
          <w:rFonts w:ascii="Courier New" w:eastAsia="Times New Roman" w:hAnsi="Courier New" w:cs="Courier New"/>
          <w:sz w:val="16"/>
          <w:szCs w:val="16"/>
          <w:lang w:eastAsia="pt-BR"/>
        </w:rPr>
        <w:t>Thousand Oaks, CA: Sage Publications.</w:t>
      </w:r>
    </w:p>
    <w:p w:rsidR="00D86FEC" w:rsidRPr="00D86FEC" w:rsidRDefault="00D86FEC" w:rsidP="00D86FEC">
      <w:pPr>
        <w:numPr>
          <w:ilvl w:val="0"/>
          <w:numId w:val="6"/>
        </w:num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val="en-GB" w:eastAsia="pt-BR"/>
        </w:rPr>
        <w:t xml:space="preserve">Long, J. S. and Freese, J.  (2006).  </w:t>
      </w:r>
      <w:r w:rsidRPr="00D86FEC">
        <w:rPr>
          <w:rFonts w:ascii="Courier New" w:eastAsia="Times New Roman" w:hAnsi="Courier New" w:cs="Courier New"/>
          <w:i/>
          <w:iCs/>
          <w:sz w:val="16"/>
          <w:szCs w:val="16"/>
          <w:lang w:val="en-GB" w:eastAsia="pt-BR"/>
        </w:rPr>
        <w:t>Regression Models for Categorical Dependent Variables Using Stata, Second Edition</w:t>
      </w:r>
      <w:r w:rsidRPr="00D86FEC">
        <w:rPr>
          <w:rFonts w:ascii="Courier New" w:eastAsia="Times New Roman" w:hAnsi="Courier New" w:cs="Courier New"/>
          <w:sz w:val="16"/>
          <w:szCs w:val="16"/>
          <w:lang w:val="en-GB" w:eastAsia="pt-BR"/>
        </w:rPr>
        <w:t xml:space="preserve">.  </w:t>
      </w:r>
      <w:r w:rsidRPr="00D86FEC">
        <w:rPr>
          <w:rFonts w:ascii="Courier New" w:eastAsia="Times New Roman" w:hAnsi="Courier New" w:cs="Courier New"/>
          <w:sz w:val="16"/>
          <w:szCs w:val="16"/>
          <w:lang w:eastAsia="pt-BR"/>
        </w:rPr>
        <w:t>College Station, TX:  Stata Press.</w:t>
      </w:r>
    </w:p>
    <w:p w:rsidR="00D86FEC" w:rsidRPr="00D86FEC" w:rsidRDefault="00D86FEC" w:rsidP="00D86FEC">
      <w:pPr>
        <w:numPr>
          <w:ilvl w:val="0"/>
          <w:numId w:val="6"/>
        </w:num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 xml:space="preserve">Cameron, A. C. and  Trivedi, P. K.  (2009).  </w:t>
      </w:r>
      <w:r w:rsidRPr="00D86FEC">
        <w:rPr>
          <w:rFonts w:ascii="Courier New" w:eastAsia="Times New Roman" w:hAnsi="Courier New" w:cs="Courier New"/>
          <w:i/>
          <w:iCs/>
          <w:sz w:val="16"/>
          <w:szCs w:val="16"/>
          <w:lang w:val="en-GB" w:eastAsia="pt-BR"/>
        </w:rPr>
        <w:t>Microeconometrics Using Stata</w:t>
      </w:r>
      <w:r w:rsidRPr="00D86FEC">
        <w:rPr>
          <w:rFonts w:ascii="Courier New" w:eastAsia="Times New Roman" w:hAnsi="Courier New" w:cs="Courier New"/>
          <w:sz w:val="16"/>
          <w:szCs w:val="16"/>
          <w:lang w:val="en-GB" w:eastAsia="pt-BR"/>
        </w:rPr>
        <w:t>.  College Station, TX:  Stata Press.</w:t>
      </w:r>
    </w:p>
    <w:p w:rsidR="00D86FEC" w:rsidRPr="00D86FEC" w:rsidRDefault="00D86FEC" w:rsidP="00D86FEC">
      <w:pPr>
        <w:numPr>
          <w:ilvl w:val="0"/>
          <w:numId w:val="6"/>
        </w:num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val="en-GB" w:eastAsia="pt-BR"/>
        </w:rPr>
        <w:t xml:space="preserve">Cameron, A. C. and  Trivedi, P. K.  (1998).  </w:t>
      </w:r>
      <w:r w:rsidRPr="00D86FEC">
        <w:rPr>
          <w:rFonts w:ascii="Courier New" w:eastAsia="Times New Roman" w:hAnsi="Courier New" w:cs="Courier New"/>
          <w:i/>
          <w:iCs/>
          <w:sz w:val="16"/>
          <w:szCs w:val="16"/>
          <w:lang w:val="en-GB" w:eastAsia="pt-BR"/>
        </w:rPr>
        <w:t>Regression Analysis of Count Data</w:t>
      </w:r>
      <w:r w:rsidRPr="00D86FEC">
        <w:rPr>
          <w:rFonts w:ascii="Courier New" w:eastAsia="Times New Roman" w:hAnsi="Courier New" w:cs="Courier New"/>
          <w:sz w:val="16"/>
          <w:szCs w:val="16"/>
          <w:lang w:val="en-GB" w:eastAsia="pt-BR"/>
        </w:rPr>
        <w:t xml:space="preserve">.  </w:t>
      </w:r>
      <w:r w:rsidRPr="00D86FEC">
        <w:rPr>
          <w:rFonts w:ascii="Courier New" w:eastAsia="Times New Roman" w:hAnsi="Courier New" w:cs="Courier New"/>
          <w:sz w:val="16"/>
          <w:szCs w:val="16"/>
          <w:lang w:eastAsia="pt-BR"/>
        </w:rPr>
        <w:t>New York:  Cambridge Press.</w:t>
      </w:r>
    </w:p>
    <w:p w:rsidR="00D86FEC" w:rsidRPr="00D86FEC" w:rsidRDefault="00D86FEC" w:rsidP="00D86FEC">
      <w:pPr>
        <w:numPr>
          <w:ilvl w:val="0"/>
          <w:numId w:val="6"/>
        </w:num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val="en-GB" w:eastAsia="pt-BR"/>
        </w:rPr>
        <w:t xml:space="preserve">Cameron, A. C.  Advances in Count Data Regression Talk for the Applied Statistics Workshop, March 28, 2009. </w:t>
      </w:r>
      <w:hyperlink r:id="rId16" w:history="1">
        <w:r w:rsidRPr="00D86FEC">
          <w:rPr>
            <w:rFonts w:ascii="Courier New" w:eastAsia="Times New Roman" w:hAnsi="Courier New" w:cs="Courier New"/>
            <w:color w:val="0000FF"/>
            <w:sz w:val="16"/>
            <w:szCs w:val="16"/>
            <w:u w:val="single"/>
            <w:lang w:eastAsia="pt-BR"/>
          </w:rPr>
          <w:t>http://cameron.econ.ucdavis.edu/racd/count.html</w:t>
        </w:r>
      </w:hyperlink>
      <w:r w:rsidRPr="00D86FEC">
        <w:rPr>
          <w:rFonts w:ascii="Courier New" w:eastAsia="Times New Roman" w:hAnsi="Courier New" w:cs="Courier New"/>
          <w:sz w:val="16"/>
          <w:szCs w:val="16"/>
          <w:lang w:eastAsia="pt-BR"/>
        </w:rPr>
        <w:t xml:space="preserve"> .</w:t>
      </w:r>
    </w:p>
    <w:p w:rsidR="00D86FEC" w:rsidRPr="00D86FEC" w:rsidRDefault="00D86FEC" w:rsidP="00D86FEC">
      <w:pPr>
        <w:numPr>
          <w:ilvl w:val="0"/>
          <w:numId w:val="6"/>
        </w:num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val="en-GB" w:eastAsia="pt-BR"/>
        </w:rPr>
        <w:t xml:space="preserve">Dupont, W. D.  (2002).  </w:t>
      </w:r>
      <w:r w:rsidRPr="00D86FEC">
        <w:rPr>
          <w:rFonts w:ascii="Courier New" w:eastAsia="Times New Roman" w:hAnsi="Courier New" w:cs="Courier New"/>
          <w:i/>
          <w:iCs/>
          <w:sz w:val="16"/>
          <w:szCs w:val="16"/>
          <w:lang w:val="en-GB" w:eastAsia="pt-BR"/>
        </w:rPr>
        <w:t>Statistical Modeling for Biomedical Researchers:  A Simple Introduction to the Analysis of Complex Data.</w:t>
      </w:r>
      <w:r w:rsidRPr="00D86FEC">
        <w:rPr>
          <w:rFonts w:ascii="Courier New" w:eastAsia="Times New Roman" w:hAnsi="Courier New" w:cs="Courier New"/>
          <w:sz w:val="16"/>
          <w:szCs w:val="16"/>
          <w:lang w:val="en-GB" w:eastAsia="pt-BR"/>
        </w:rPr>
        <w:t xml:space="preserve">  </w:t>
      </w:r>
      <w:r w:rsidRPr="00D86FEC">
        <w:rPr>
          <w:rFonts w:ascii="Courier New" w:eastAsia="Times New Roman" w:hAnsi="Courier New" w:cs="Courier New"/>
          <w:sz w:val="16"/>
          <w:szCs w:val="16"/>
          <w:lang w:eastAsia="pt-BR"/>
        </w:rPr>
        <w:t>New York:  Cambridge Press.</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eastAsia="pt-BR"/>
        </w:rPr>
      </w:pPr>
      <w:hyperlink r:id="rId17" w:history="1">
        <w:r w:rsidRPr="00D86FEC">
          <w:rPr>
            <w:rFonts w:ascii="Courier New" w:eastAsia="Times New Roman" w:hAnsi="Courier New" w:cs="Courier New"/>
            <w:color w:val="0000FF"/>
            <w:sz w:val="16"/>
            <w:szCs w:val="16"/>
            <w:u w:val="single"/>
            <w:lang w:eastAsia="pt-BR"/>
          </w:rPr>
          <w:t>How to cite this page</w:t>
        </w:r>
      </w:hyperlink>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hyperlink r:id="rId18" w:history="1">
        <w:r w:rsidRPr="00D86FEC">
          <w:rPr>
            <w:rFonts w:ascii="Courier New" w:eastAsia="Times New Roman" w:hAnsi="Courier New" w:cs="Courier New"/>
            <w:color w:val="0000FF"/>
            <w:sz w:val="16"/>
            <w:szCs w:val="16"/>
            <w:u w:val="single"/>
            <w:lang w:val="en-GB" w:eastAsia="pt-BR"/>
          </w:rPr>
          <w:t>Report an error on this page or leave a comment</w:t>
        </w:r>
      </w:hyperlink>
      <w:r w:rsidRPr="00D86FEC">
        <w:rPr>
          <w:rFonts w:ascii="Courier New" w:eastAsia="Times New Roman" w:hAnsi="Courier New" w:cs="Courier New"/>
          <w:sz w:val="16"/>
          <w:szCs w:val="16"/>
          <w:lang w:val="en-GB" w:eastAsia="pt-BR"/>
        </w:rPr>
        <w:t xml:space="preserve"> </w:t>
      </w:r>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val="en-GB" w:eastAsia="pt-BR"/>
        </w:rPr>
      </w:pPr>
      <w:r w:rsidRPr="00D86FEC">
        <w:rPr>
          <w:rFonts w:ascii="Courier New" w:eastAsia="Times New Roman" w:hAnsi="Courier New" w:cs="Courier New"/>
          <w:sz w:val="16"/>
          <w:szCs w:val="16"/>
          <w:lang w:val="en-GB" w:eastAsia="pt-BR"/>
        </w:rPr>
        <w:t>The content of this web site should not be construed as an endorsement of any particular web site, book, or software product by the University of California.</w:t>
      </w:r>
    </w:p>
    <w:p w:rsidR="00D86FEC" w:rsidRPr="00D86FEC" w:rsidRDefault="00D86FEC" w:rsidP="00D86FEC">
      <w:pPr>
        <w:spacing w:before="100" w:beforeAutospacing="1" w:after="100" w:afterAutospacing="1" w:line="240" w:lineRule="auto"/>
        <w:outlineLvl w:val="1"/>
        <w:rPr>
          <w:rFonts w:ascii="Courier New" w:eastAsia="Times New Roman" w:hAnsi="Courier New" w:cs="Courier New"/>
          <w:b/>
          <w:bCs/>
          <w:sz w:val="16"/>
          <w:szCs w:val="16"/>
          <w:lang w:eastAsia="pt-BR"/>
        </w:rPr>
      </w:pPr>
      <w:r w:rsidRPr="00D86FEC">
        <w:rPr>
          <w:rFonts w:ascii="Courier New" w:eastAsia="Times New Roman" w:hAnsi="Courier New" w:cs="Courier New"/>
          <w:b/>
          <w:bCs/>
          <w:sz w:val="16"/>
          <w:szCs w:val="16"/>
          <w:lang w:eastAsia="pt-BR"/>
        </w:rPr>
        <w:t>IDRE Research Technology Group</w:t>
      </w:r>
    </w:p>
    <w:p w:rsidR="00D86FEC" w:rsidRPr="00D86FEC" w:rsidRDefault="00D86FEC" w:rsidP="00D86FEC">
      <w:pPr>
        <w:spacing w:before="100" w:beforeAutospacing="1" w:after="100" w:afterAutospacing="1" w:line="240" w:lineRule="auto"/>
        <w:outlineLvl w:val="1"/>
        <w:rPr>
          <w:rFonts w:ascii="Courier New" w:eastAsia="Times New Roman" w:hAnsi="Courier New" w:cs="Courier New"/>
          <w:b/>
          <w:bCs/>
          <w:sz w:val="16"/>
          <w:szCs w:val="16"/>
          <w:lang w:eastAsia="pt-BR"/>
        </w:rPr>
      </w:pPr>
      <w:hyperlink r:id="rId19" w:history="1">
        <w:r w:rsidRPr="00D86FEC">
          <w:rPr>
            <w:rFonts w:ascii="Courier New" w:eastAsia="Times New Roman" w:hAnsi="Courier New" w:cs="Courier New"/>
            <w:b/>
            <w:bCs/>
            <w:color w:val="0000FF"/>
            <w:sz w:val="16"/>
            <w:szCs w:val="16"/>
            <w:u w:val="single"/>
            <w:lang w:eastAsia="pt-BR"/>
          </w:rPr>
          <w:t>High Performance Computing</w:t>
        </w:r>
      </w:hyperlink>
    </w:p>
    <w:p w:rsidR="00D86FEC" w:rsidRPr="00D86FEC" w:rsidRDefault="00D86FEC" w:rsidP="00D86FEC">
      <w:pPr>
        <w:spacing w:before="100" w:beforeAutospacing="1" w:after="100" w:afterAutospacing="1" w:line="240" w:lineRule="auto"/>
        <w:outlineLvl w:val="1"/>
        <w:rPr>
          <w:rFonts w:ascii="Courier New" w:eastAsia="Times New Roman" w:hAnsi="Courier New" w:cs="Courier New"/>
          <w:b/>
          <w:bCs/>
          <w:sz w:val="16"/>
          <w:szCs w:val="16"/>
          <w:lang w:eastAsia="pt-BR"/>
        </w:rPr>
      </w:pPr>
      <w:hyperlink r:id="rId20" w:history="1">
        <w:r w:rsidRPr="00D86FEC">
          <w:rPr>
            <w:rFonts w:ascii="Courier New" w:eastAsia="Times New Roman" w:hAnsi="Courier New" w:cs="Courier New"/>
            <w:b/>
            <w:bCs/>
            <w:color w:val="0000FF"/>
            <w:sz w:val="16"/>
            <w:szCs w:val="16"/>
            <w:u w:val="single"/>
            <w:lang w:eastAsia="pt-BR"/>
          </w:rPr>
          <w:t>Statistical Computing</w:t>
        </w:r>
      </w:hyperlink>
    </w:p>
    <w:p w:rsidR="00D86FEC" w:rsidRPr="00D86FEC" w:rsidRDefault="00D86FEC" w:rsidP="00D86FEC">
      <w:pPr>
        <w:spacing w:before="100" w:beforeAutospacing="1" w:after="100" w:afterAutospacing="1" w:line="240" w:lineRule="auto"/>
        <w:outlineLvl w:val="1"/>
        <w:rPr>
          <w:rFonts w:ascii="Courier New" w:eastAsia="Times New Roman" w:hAnsi="Courier New" w:cs="Courier New"/>
          <w:b/>
          <w:bCs/>
          <w:sz w:val="16"/>
          <w:szCs w:val="16"/>
          <w:lang w:eastAsia="pt-BR"/>
        </w:rPr>
      </w:pPr>
      <w:hyperlink r:id="rId21" w:history="1">
        <w:r w:rsidRPr="00D86FEC">
          <w:rPr>
            <w:rFonts w:ascii="Courier New" w:eastAsia="Times New Roman" w:hAnsi="Courier New" w:cs="Courier New"/>
            <w:b/>
            <w:bCs/>
            <w:color w:val="0000FF"/>
            <w:sz w:val="16"/>
            <w:szCs w:val="16"/>
            <w:u w:val="single"/>
            <w:lang w:eastAsia="pt-BR"/>
          </w:rPr>
          <w:t>GIS and Visualization</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22" w:tooltip="High Performance Computing" w:history="1">
        <w:r w:rsidRPr="00D86FEC">
          <w:rPr>
            <w:rFonts w:ascii="Courier New" w:eastAsia="Times New Roman" w:hAnsi="Courier New" w:cs="Courier New"/>
            <w:color w:val="0000FF"/>
            <w:sz w:val="16"/>
            <w:szCs w:val="16"/>
            <w:u w:val="single"/>
            <w:lang w:eastAsia="pt-BR"/>
          </w:rPr>
          <w:t>High Performance Computing</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23" w:tooltip="" w:history="1">
        <w:r w:rsidRPr="00D86FEC">
          <w:rPr>
            <w:rFonts w:ascii="Courier New" w:eastAsia="Times New Roman" w:hAnsi="Courier New" w:cs="Courier New"/>
            <w:color w:val="0000FF"/>
            <w:sz w:val="16"/>
            <w:szCs w:val="16"/>
            <w:u w:val="single"/>
            <w:lang w:eastAsia="pt-BR"/>
          </w:rPr>
          <w:t>GIS</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24" w:tooltip="Statistical Computing" w:history="1">
        <w:r w:rsidRPr="00D86FEC">
          <w:rPr>
            <w:rFonts w:ascii="Courier New" w:eastAsia="Times New Roman" w:hAnsi="Courier New" w:cs="Courier New"/>
            <w:color w:val="0000FF"/>
            <w:sz w:val="16"/>
            <w:szCs w:val="16"/>
            <w:u w:val="single"/>
            <w:lang w:eastAsia="pt-BR"/>
          </w:rPr>
          <w:t>Statistical Computing</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25" w:tooltip="Hoffman2 Cluster" w:history="1">
        <w:r w:rsidRPr="00D86FEC">
          <w:rPr>
            <w:rFonts w:ascii="Courier New" w:eastAsia="Times New Roman" w:hAnsi="Courier New" w:cs="Courier New"/>
            <w:color w:val="0000FF"/>
            <w:sz w:val="16"/>
            <w:szCs w:val="16"/>
            <w:u w:val="single"/>
            <w:lang w:eastAsia="pt-BR"/>
          </w:rPr>
          <w:t>Hoffman2 Cluster</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26" w:tooltip="" w:history="1">
        <w:r w:rsidRPr="00D86FEC">
          <w:rPr>
            <w:rFonts w:ascii="Courier New" w:eastAsia="Times New Roman" w:hAnsi="Courier New" w:cs="Courier New"/>
            <w:color w:val="0000FF"/>
            <w:sz w:val="16"/>
            <w:szCs w:val="16"/>
            <w:u w:val="single"/>
            <w:lang w:eastAsia="pt-BR"/>
          </w:rPr>
          <w:t>Mapshare</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27" w:tooltip="" w:history="1">
        <w:r w:rsidRPr="00D86FEC">
          <w:rPr>
            <w:rFonts w:ascii="Courier New" w:eastAsia="Times New Roman" w:hAnsi="Courier New" w:cs="Courier New"/>
            <w:color w:val="0000FF"/>
            <w:sz w:val="16"/>
            <w:szCs w:val="16"/>
            <w:u w:val="single"/>
            <w:lang w:eastAsia="pt-BR"/>
          </w:rPr>
          <w:t>Classes</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28" w:tooltip="" w:history="1">
        <w:r w:rsidRPr="00D86FEC">
          <w:rPr>
            <w:rFonts w:ascii="Courier New" w:eastAsia="Times New Roman" w:hAnsi="Courier New" w:cs="Courier New"/>
            <w:color w:val="0000FF"/>
            <w:sz w:val="16"/>
            <w:szCs w:val="16"/>
            <w:u w:val="single"/>
            <w:lang w:eastAsia="pt-BR"/>
          </w:rPr>
          <w:t>Hoffman2 Account Application</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29" w:tooltip="" w:history="1">
        <w:r w:rsidRPr="00D86FEC">
          <w:rPr>
            <w:rFonts w:ascii="Courier New" w:eastAsia="Times New Roman" w:hAnsi="Courier New" w:cs="Courier New"/>
            <w:color w:val="0000FF"/>
            <w:sz w:val="16"/>
            <w:szCs w:val="16"/>
            <w:u w:val="single"/>
            <w:lang w:eastAsia="pt-BR"/>
          </w:rPr>
          <w:t>Visualization</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30" w:tooltip="" w:history="1">
        <w:r w:rsidRPr="00D86FEC">
          <w:rPr>
            <w:rFonts w:ascii="Courier New" w:eastAsia="Times New Roman" w:hAnsi="Courier New" w:cs="Courier New"/>
            <w:color w:val="0000FF"/>
            <w:sz w:val="16"/>
            <w:szCs w:val="16"/>
            <w:u w:val="single"/>
            <w:lang w:eastAsia="pt-BR"/>
          </w:rPr>
          <w:t>Conferences</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31" w:tooltip="" w:history="1">
        <w:r w:rsidRPr="00D86FEC">
          <w:rPr>
            <w:rFonts w:ascii="Courier New" w:eastAsia="Times New Roman" w:hAnsi="Courier New" w:cs="Courier New"/>
            <w:color w:val="0000FF"/>
            <w:sz w:val="16"/>
            <w:szCs w:val="16"/>
            <w:u w:val="single"/>
            <w:lang w:eastAsia="pt-BR"/>
          </w:rPr>
          <w:t>Hoffman2 Usage Statistics</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32" w:tooltip="" w:history="1">
        <w:r w:rsidRPr="00D86FEC">
          <w:rPr>
            <w:rFonts w:ascii="Courier New" w:eastAsia="Times New Roman" w:hAnsi="Courier New" w:cs="Courier New"/>
            <w:color w:val="0000FF"/>
            <w:sz w:val="16"/>
            <w:szCs w:val="16"/>
            <w:u w:val="single"/>
            <w:lang w:eastAsia="pt-BR"/>
          </w:rPr>
          <w:t>3D Modeling</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33" w:tooltip="" w:history="1">
        <w:r w:rsidRPr="00D86FEC">
          <w:rPr>
            <w:rFonts w:ascii="Courier New" w:eastAsia="Times New Roman" w:hAnsi="Courier New" w:cs="Courier New"/>
            <w:color w:val="0000FF"/>
            <w:sz w:val="16"/>
            <w:szCs w:val="16"/>
            <w:u w:val="single"/>
            <w:lang w:eastAsia="pt-BR"/>
          </w:rPr>
          <w:t>Reading Materials</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34" w:tooltip="" w:history="1">
        <w:r w:rsidRPr="00D86FEC">
          <w:rPr>
            <w:rFonts w:ascii="Courier New" w:eastAsia="Times New Roman" w:hAnsi="Courier New" w:cs="Courier New"/>
            <w:color w:val="0000FF"/>
            <w:sz w:val="16"/>
            <w:szCs w:val="16"/>
            <w:u w:val="single"/>
            <w:lang w:eastAsia="pt-BR"/>
          </w:rPr>
          <w:t>UC Grid Portal</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35" w:tooltip="" w:history="1">
        <w:r w:rsidRPr="00D86FEC">
          <w:rPr>
            <w:rFonts w:ascii="Courier New" w:eastAsia="Times New Roman" w:hAnsi="Courier New" w:cs="Courier New"/>
            <w:color w:val="0000FF"/>
            <w:sz w:val="16"/>
            <w:szCs w:val="16"/>
            <w:u w:val="single"/>
            <w:lang w:eastAsia="pt-BR"/>
          </w:rPr>
          <w:t>Technology Sandbox</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36" w:tooltip="" w:history="1">
        <w:r w:rsidRPr="00D86FEC">
          <w:rPr>
            <w:rFonts w:ascii="Courier New" w:eastAsia="Times New Roman" w:hAnsi="Courier New" w:cs="Courier New"/>
            <w:color w:val="0000FF"/>
            <w:sz w:val="16"/>
            <w:szCs w:val="16"/>
            <w:u w:val="single"/>
            <w:lang w:eastAsia="pt-BR"/>
          </w:rPr>
          <w:t>IDRE Listserv</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37" w:tooltip="" w:history="1">
        <w:r w:rsidRPr="00D86FEC">
          <w:rPr>
            <w:rFonts w:ascii="Courier New" w:eastAsia="Times New Roman" w:hAnsi="Courier New" w:cs="Courier New"/>
            <w:color w:val="0000FF"/>
            <w:sz w:val="16"/>
            <w:szCs w:val="16"/>
            <w:u w:val="single"/>
            <w:lang w:eastAsia="pt-BR"/>
          </w:rPr>
          <w:t>UCLA Grid Portal</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38" w:tooltip="" w:history="1">
        <w:r w:rsidRPr="00D86FEC">
          <w:rPr>
            <w:rFonts w:ascii="Courier New" w:eastAsia="Times New Roman" w:hAnsi="Courier New" w:cs="Courier New"/>
            <w:color w:val="0000FF"/>
            <w:sz w:val="16"/>
            <w:szCs w:val="16"/>
            <w:u w:val="single"/>
            <w:lang w:eastAsia="pt-BR"/>
          </w:rPr>
          <w:t>Tech Sandbox Access</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39" w:tooltip="" w:history="1">
        <w:r w:rsidRPr="00D86FEC">
          <w:rPr>
            <w:rFonts w:ascii="Courier New" w:eastAsia="Times New Roman" w:hAnsi="Courier New" w:cs="Courier New"/>
            <w:color w:val="0000FF"/>
            <w:sz w:val="16"/>
            <w:szCs w:val="16"/>
            <w:u w:val="single"/>
            <w:lang w:eastAsia="pt-BR"/>
          </w:rPr>
          <w:t>IDRE Resources</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40" w:tooltip="" w:history="1">
        <w:r w:rsidRPr="00D86FEC">
          <w:rPr>
            <w:rFonts w:ascii="Courier New" w:eastAsia="Times New Roman" w:hAnsi="Courier New" w:cs="Courier New"/>
            <w:color w:val="0000FF"/>
            <w:sz w:val="16"/>
            <w:szCs w:val="16"/>
            <w:u w:val="single"/>
            <w:lang w:eastAsia="pt-BR"/>
          </w:rPr>
          <w:t>Shared Cluster &amp; Storage</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41" w:tooltip="Data Centers" w:history="1">
        <w:r w:rsidRPr="00D86FEC">
          <w:rPr>
            <w:rFonts w:ascii="Courier New" w:eastAsia="Times New Roman" w:hAnsi="Courier New" w:cs="Courier New"/>
            <w:color w:val="0000FF"/>
            <w:sz w:val="16"/>
            <w:szCs w:val="16"/>
            <w:u w:val="single"/>
            <w:lang w:eastAsia="pt-BR"/>
          </w:rPr>
          <w:t>Data Centers</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42" w:tooltip="Social Sciences Data Archive" w:history="1">
        <w:r w:rsidRPr="00D86FEC">
          <w:rPr>
            <w:rFonts w:ascii="Courier New" w:eastAsia="Times New Roman" w:hAnsi="Courier New" w:cs="Courier New"/>
            <w:color w:val="0000FF"/>
            <w:sz w:val="16"/>
            <w:szCs w:val="16"/>
            <w:u w:val="single"/>
            <w:lang w:eastAsia="pt-BR"/>
          </w:rPr>
          <w:t>Social Sciences Data Archive</w:t>
        </w:r>
      </w:hyperlink>
    </w:p>
    <w:p w:rsidR="00D86FEC" w:rsidRPr="00D86FEC" w:rsidRDefault="00D86FEC" w:rsidP="00D86FEC">
      <w:pPr>
        <w:numPr>
          <w:ilvl w:val="0"/>
          <w:numId w:val="7"/>
        </w:numPr>
        <w:spacing w:before="100" w:beforeAutospacing="1" w:after="100" w:afterAutospacing="1" w:line="240" w:lineRule="auto"/>
        <w:rPr>
          <w:rFonts w:ascii="Courier New" w:eastAsia="Times New Roman" w:hAnsi="Courier New" w:cs="Courier New"/>
          <w:sz w:val="16"/>
          <w:szCs w:val="16"/>
          <w:lang w:eastAsia="pt-BR"/>
        </w:rPr>
      </w:pPr>
      <w:hyperlink r:id="rId43" w:tooltip="" w:history="1">
        <w:r w:rsidRPr="00D86FEC">
          <w:rPr>
            <w:rFonts w:ascii="Courier New" w:eastAsia="Times New Roman" w:hAnsi="Courier New" w:cs="Courier New"/>
            <w:color w:val="0000FF"/>
            <w:sz w:val="16"/>
            <w:szCs w:val="16"/>
            <w:u w:val="single"/>
            <w:lang w:eastAsia="pt-BR"/>
          </w:rPr>
          <w:t>About IDRE</w:t>
        </w:r>
      </w:hyperlink>
    </w:p>
    <w:p w:rsidR="00D86FEC" w:rsidRPr="00D86FEC" w:rsidRDefault="00D86FEC" w:rsidP="00D86FEC">
      <w:pPr>
        <w:numPr>
          <w:ilvl w:val="0"/>
          <w:numId w:val="8"/>
        </w:numPr>
        <w:spacing w:before="100" w:beforeAutospacing="1" w:after="100" w:afterAutospacing="1" w:line="240" w:lineRule="auto"/>
        <w:rPr>
          <w:rFonts w:ascii="Courier New" w:eastAsia="Times New Roman" w:hAnsi="Courier New" w:cs="Courier New"/>
          <w:sz w:val="16"/>
          <w:szCs w:val="16"/>
          <w:lang w:eastAsia="pt-BR"/>
        </w:rPr>
      </w:pPr>
      <w:hyperlink r:id="rId44" w:history="1">
        <w:r w:rsidRPr="00D86FEC">
          <w:rPr>
            <w:rFonts w:ascii="Courier New" w:eastAsia="Times New Roman" w:hAnsi="Courier New" w:cs="Courier New"/>
            <w:color w:val="0000FF"/>
            <w:sz w:val="16"/>
            <w:szCs w:val="16"/>
            <w:u w:val="single"/>
            <w:lang w:eastAsia="pt-BR"/>
          </w:rPr>
          <w:t>About</w:t>
        </w:r>
      </w:hyperlink>
      <w:r w:rsidRPr="00D86FEC">
        <w:rPr>
          <w:rFonts w:ascii="Courier New" w:eastAsia="Times New Roman" w:hAnsi="Courier New" w:cs="Courier New"/>
          <w:sz w:val="16"/>
          <w:szCs w:val="16"/>
          <w:lang w:eastAsia="pt-BR"/>
        </w:rPr>
        <w:t xml:space="preserve"> </w:t>
      </w:r>
    </w:p>
    <w:p w:rsidR="00D86FEC" w:rsidRPr="00D86FEC" w:rsidRDefault="00D86FEC" w:rsidP="00D86FEC">
      <w:pPr>
        <w:numPr>
          <w:ilvl w:val="0"/>
          <w:numId w:val="8"/>
        </w:numPr>
        <w:spacing w:before="100" w:beforeAutospacing="1" w:after="100" w:afterAutospacing="1" w:line="240" w:lineRule="auto"/>
        <w:rPr>
          <w:rFonts w:ascii="Courier New" w:eastAsia="Times New Roman" w:hAnsi="Courier New" w:cs="Courier New"/>
          <w:sz w:val="16"/>
          <w:szCs w:val="16"/>
          <w:lang w:eastAsia="pt-BR"/>
        </w:rPr>
      </w:pPr>
      <w:hyperlink r:id="rId45" w:history="1">
        <w:r w:rsidRPr="00D86FEC">
          <w:rPr>
            <w:rFonts w:ascii="Courier New" w:eastAsia="Times New Roman" w:hAnsi="Courier New" w:cs="Courier New"/>
            <w:color w:val="0000FF"/>
            <w:sz w:val="16"/>
            <w:szCs w:val="16"/>
            <w:u w:val="single"/>
            <w:lang w:eastAsia="pt-BR"/>
          </w:rPr>
          <w:t>Contact</w:t>
        </w:r>
      </w:hyperlink>
      <w:r w:rsidRPr="00D86FEC">
        <w:rPr>
          <w:rFonts w:ascii="Courier New" w:eastAsia="Times New Roman" w:hAnsi="Courier New" w:cs="Courier New"/>
          <w:sz w:val="16"/>
          <w:szCs w:val="16"/>
          <w:lang w:eastAsia="pt-BR"/>
        </w:rPr>
        <w:t xml:space="preserve"> </w:t>
      </w:r>
    </w:p>
    <w:p w:rsidR="00D86FEC" w:rsidRPr="00D86FEC" w:rsidRDefault="00D86FEC" w:rsidP="00D86FEC">
      <w:pPr>
        <w:numPr>
          <w:ilvl w:val="0"/>
          <w:numId w:val="8"/>
        </w:numPr>
        <w:spacing w:before="100" w:beforeAutospacing="1" w:after="100" w:afterAutospacing="1" w:line="240" w:lineRule="auto"/>
        <w:rPr>
          <w:rFonts w:ascii="Courier New" w:eastAsia="Times New Roman" w:hAnsi="Courier New" w:cs="Courier New"/>
          <w:sz w:val="16"/>
          <w:szCs w:val="16"/>
          <w:lang w:eastAsia="pt-BR"/>
        </w:rPr>
      </w:pPr>
      <w:hyperlink r:id="rId46" w:history="1">
        <w:r w:rsidRPr="00D86FEC">
          <w:rPr>
            <w:rFonts w:ascii="Courier New" w:eastAsia="Times New Roman" w:hAnsi="Courier New" w:cs="Courier New"/>
            <w:color w:val="0000FF"/>
            <w:sz w:val="16"/>
            <w:szCs w:val="16"/>
            <w:u w:val="single"/>
            <w:lang w:eastAsia="pt-BR"/>
          </w:rPr>
          <w:t>News</w:t>
        </w:r>
      </w:hyperlink>
      <w:r w:rsidRPr="00D86FEC">
        <w:rPr>
          <w:rFonts w:ascii="Courier New" w:eastAsia="Times New Roman" w:hAnsi="Courier New" w:cs="Courier New"/>
          <w:sz w:val="16"/>
          <w:szCs w:val="16"/>
          <w:lang w:eastAsia="pt-BR"/>
        </w:rPr>
        <w:t xml:space="preserve"> </w:t>
      </w:r>
    </w:p>
    <w:p w:rsidR="00D86FEC" w:rsidRPr="00D86FEC" w:rsidRDefault="00D86FEC" w:rsidP="00D86FEC">
      <w:pPr>
        <w:numPr>
          <w:ilvl w:val="0"/>
          <w:numId w:val="8"/>
        </w:numPr>
        <w:spacing w:before="100" w:beforeAutospacing="1" w:after="100" w:afterAutospacing="1" w:line="240" w:lineRule="auto"/>
        <w:rPr>
          <w:rFonts w:ascii="Courier New" w:eastAsia="Times New Roman" w:hAnsi="Courier New" w:cs="Courier New"/>
          <w:sz w:val="16"/>
          <w:szCs w:val="16"/>
          <w:lang w:eastAsia="pt-BR"/>
        </w:rPr>
      </w:pPr>
      <w:hyperlink r:id="rId47" w:history="1">
        <w:r w:rsidRPr="00D86FEC">
          <w:rPr>
            <w:rFonts w:ascii="Courier New" w:eastAsia="Times New Roman" w:hAnsi="Courier New" w:cs="Courier New"/>
            <w:color w:val="0000FF"/>
            <w:sz w:val="16"/>
            <w:szCs w:val="16"/>
            <w:u w:val="single"/>
            <w:lang w:eastAsia="pt-BR"/>
          </w:rPr>
          <w:t>Events</w:t>
        </w:r>
      </w:hyperlink>
      <w:r w:rsidRPr="00D86FEC">
        <w:rPr>
          <w:rFonts w:ascii="Courier New" w:eastAsia="Times New Roman" w:hAnsi="Courier New" w:cs="Courier New"/>
          <w:sz w:val="16"/>
          <w:szCs w:val="16"/>
          <w:lang w:eastAsia="pt-BR"/>
        </w:rPr>
        <w:t xml:space="preserve"> </w:t>
      </w:r>
    </w:p>
    <w:p w:rsidR="00D86FEC" w:rsidRPr="00D86FEC" w:rsidRDefault="00D86FEC" w:rsidP="00D86FEC">
      <w:pPr>
        <w:numPr>
          <w:ilvl w:val="0"/>
          <w:numId w:val="8"/>
        </w:numPr>
        <w:spacing w:before="100" w:beforeAutospacing="1" w:after="100" w:afterAutospacing="1" w:line="240" w:lineRule="auto"/>
        <w:rPr>
          <w:rFonts w:ascii="Courier New" w:eastAsia="Times New Roman" w:hAnsi="Courier New" w:cs="Courier New"/>
          <w:sz w:val="16"/>
          <w:szCs w:val="16"/>
          <w:lang w:eastAsia="pt-BR"/>
        </w:rPr>
      </w:pPr>
      <w:hyperlink r:id="rId48" w:history="1">
        <w:r w:rsidRPr="00D86FEC">
          <w:rPr>
            <w:rFonts w:ascii="Courier New" w:eastAsia="Times New Roman" w:hAnsi="Courier New" w:cs="Courier New"/>
            <w:color w:val="0000FF"/>
            <w:sz w:val="16"/>
            <w:szCs w:val="16"/>
            <w:u w:val="single"/>
            <w:lang w:eastAsia="pt-BR"/>
          </w:rPr>
          <w:t>Our Experts</w:t>
        </w:r>
      </w:hyperlink>
      <w:r w:rsidRPr="00D86FEC">
        <w:rPr>
          <w:rFonts w:ascii="Courier New" w:eastAsia="Times New Roman" w:hAnsi="Courier New" w:cs="Courier New"/>
          <w:sz w:val="16"/>
          <w:szCs w:val="16"/>
          <w:lang w:eastAsia="pt-BR"/>
        </w:rPr>
        <w:t xml:space="preserve"> </w:t>
      </w:r>
    </w:p>
    <w:p w:rsidR="00D86FEC" w:rsidRPr="00D86FEC" w:rsidRDefault="00D86FEC" w:rsidP="00D86FEC">
      <w:pPr>
        <w:numPr>
          <w:ilvl w:val="0"/>
          <w:numId w:val="9"/>
        </w:num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eastAsia="pt-BR"/>
        </w:rPr>
        <w:t>© 2015 UC Regents</w:t>
      </w:r>
    </w:p>
    <w:p w:rsidR="00D86FEC" w:rsidRPr="00D86FEC" w:rsidRDefault="00D86FEC" w:rsidP="00D86FEC">
      <w:pPr>
        <w:numPr>
          <w:ilvl w:val="0"/>
          <w:numId w:val="9"/>
        </w:numPr>
        <w:spacing w:before="100" w:beforeAutospacing="1" w:after="100" w:afterAutospacing="1" w:line="240" w:lineRule="auto"/>
        <w:rPr>
          <w:rFonts w:ascii="Courier New" w:eastAsia="Times New Roman" w:hAnsi="Courier New" w:cs="Courier New"/>
          <w:sz w:val="16"/>
          <w:szCs w:val="16"/>
          <w:lang w:eastAsia="pt-BR"/>
        </w:rPr>
      </w:pPr>
      <w:hyperlink r:id="rId49" w:tgtFrame="_blank" w:tooltip="UCLA Terms of Use" w:history="1">
        <w:r w:rsidRPr="00D86FEC">
          <w:rPr>
            <w:rFonts w:ascii="Courier New" w:eastAsia="Times New Roman" w:hAnsi="Courier New" w:cs="Courier New"/>
            <w:color w:val="0000FF"/>
            <w:sz w:val="16"/>
            <w:szCs w:val="16"/>
            <w:u w:val="single"/>
            <w:lang w:eastAsia="pt-BR"/>
          </w:rPr>
          <w:t>Terms of Use &amp; Privacy Policy</w:t>
        </w:r>
      </w:hyperlink>
    </w:p>
    <w:p w:rsidR="00D86FEC" w:rsidRPr="00D86FEC" w:rsidRDefault="00D86FEC" w:rsidP="00D86FEC">
      <w:pPr>
        <w:spacing w:before="100" w:beforeAutospacing="1" w:after="100" w:afterAutospacing="1" w:line="240" w:lineRule="auto"/>
        <w:rPr>
          <w:rFonts w:ascii="Courier New" w:eastAsia="Times New Roman" w:hAnsi="Courier New" w:cs="Courier New"/>
          <w:sz w:val="16"/>
          <w:szCs w:val="16"/>
          <w:lang w:eastAsia="pt-BR"/>
        </w:rPr>
      </w:pPr>
      <w:r w:rsidRPr="00D86FEC">
        <w:rPr>
          <w:rFonts w:ascii="Courier New" w:eastAsia="Times New Roman" w:hAnsi="Courier New" w:cs="Courier New"/>
          <w:sz w:val="16"/>
          <w:szCs w:val="16"/>
          <w:lang w:eastAsia="pt-BR"/>
        </w:rPr>
        <w:t xml:space="preserve">  </w:t>
      </w:r>
    </w:p>
    <w:p w:rsidR="002737EE" w:rsidRPr="00D86FEC" w:rsidRDefault="002737EE">
      <w:pPr>
        <w:rPr>
          <w:rFonts w:ascii="Courier New" w:hAnsi="Courier New" w:cs="Courier New"/>
          <w:sz w:val="16"/>
          <w:szCs w:val="16"/>
        </w:rPr>
      </w:pPr>
    </w:p>
    <w:sectPr w:rsidR="002737EE" w:rsidRPr="00D86FEC">
      <w:headerReference w:type="even" r:id="rId50"/>
      <w:headerReference w:type="default" r:id="rId51"/>
      <w:footerReference w:type="even" r:id="rId52"/>
      <w:footerReference w:type="default" r:id="rId53"/>
      <w:headerReference w:type="first" r:id="rId54"/>
      <w:footerReference w:type="first" r:id="rId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6D4" w:rsidRDefault="009546D4" w:rsidP="00E9640A">
      <w:pPr>
        <w:spacing w:after="0" w:line="240" w:lineRule="auto"/>
      </w:pPr>
      <w:r>
        <w:separator/>
      </w:r>
    </w:p>
  </w:endnote>
  <w:endnote w:type="continuationSeparator" w:id="0">
    <w:p w:rsidR="009546D4" w:rsidRDefault="009546D4" w:rsidP="00E9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40A" w:rsidRDefault="00E9640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40A" w:rsidRDefault="00E9640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40A" w:rsidRDefault="00E9640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6D4" w:rsidRDefault="009546D4" w:rsidP="00E9640A">
      <w:pPr>
        <w:spacing w:after="0" w:line="240" w:lineRule="auto"/>
      </w:pPr>
      <w:r>
        <w:separator/>
      </w:r>
    </w:p>
  </w:footnote>
  <w:footnote w:type="continuationSeparator" w:id="0">
    <w:p w:rsidR="009546D4" w:rsidRDefault="009546D4" w:rsidP="00E96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40A" w:rsidRDefault="00E9640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58367"/>
      <w:docPartObj>
        <w:docPartGallery w:val="Page Numbers (Top of Page)"/>
        <w:docPartUnique/>
      </w:docPartObj>
    </w:sdtPr>
    <w:sdtContent>
      <w:bookmarkStart w:id="0" w:name="_GoBack" w:displacedByCustomXml="prev"/>
      <w:bookmarkEnd w:id="0" w:displacedByCustomXml="prev"/>
      <w:p w:rsidR="00E9640A" w:rsidRDefault="00E9640A">
        <w:pPr>
          <w:pStyle w:val="Cabealho"/>
        </w:pPr>
        <w:r>
          <w:fldChar w:fldCharType="begin"/>
        </w:r>
        <w:r>
          <w:instrText>PAGE   \* MERGEFORMAT</w:instrText>
        </w:r>
        <w:r>
          <w:fldChar w:fldCharType="separate"/>
        </w:r>
        <w:r>
          <w:rPr>
            <w:noProof/>
          </w:rPr>
          <w:t>8</w:t>
        </w:r>
        <w:r>
          <w:fldChar w:fldCharType="end"/>
        </w:r>
      </w:p>
    </w:sdtContent>
  </w:sdt>
  <w:p w:rsidR="00E9640A" w:rsidRDefault="00E9640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40A" w:rsidRDefault="00E96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03A25"/>
    <w:multiLevelType w:val="multilevel"/>
    <w:tmpl w:val="C086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00CBD"/>
    <w:multiLevelType w:val="multilevel"/>
    <w:tmpl w:val="AB6C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84833"/>
    <w:multiLevelType w:val="multilevel"/>
    <w:tmpl w:val="088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869D6"/>
    <w:multiLevelType w:val="multilevel"/>
    <w:tmpl w:val="F95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C7C31"/>
    <w:multiLevelType w:val="multilevel"/>
    <w:tmpl w:val="709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17A0"/>
    <w:multiLevelType w:val="multilevel"/>
    <w:tmpl w:val="F32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D7163"/>
    <w:multiLevelType w:val="multilevel"/>
    <w:tmpl w:val="42BE0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628C7"/>
    <w:multiLevelType w:val="multilevel"/>
    <w:tmpl w:val="286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34F40"/>
    <w:multiLevelType w:val="multilevel"/>
    <w:tmpl w:val="2B6A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6"/>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EC"/>
    <w:rsid w:val="002737EE"/>
    <w:rsid w:val="009546D4"/>
    <w:rsid w:val="00D86FEC"/>
    <w:rsid w:val="00E964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0C962-53EA-4DCA-96FD-F289422D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D86FE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86FE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D86FE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86FE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86FE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D86FEC"/>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D86F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86FEC"/>
    <w:rPr>
      <w:b/>
      <w:bCs/>
    </w:rPr>
  </w:style>
  <w:style w:type="paragraph" w:styleId="Pr-formataoHTML">
    <w:name w:val="HTML Preformatted"/>
    <w:basedOn w:val="Normal"/>
    <w:link w:val="Pr-formataoHTMLChar"/>
    <w:uiPriority w:val="99"/>
    <w:semiHidden/>
    <w:unhideWhenUsed/>
    <w:rsid w:val="00D8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FEC"/>
    <w:rPr>
      <w:rFonts w:ascii="Courier New" w:eastAsia="Times New Roman" w:hAnsi="Courier New" w:cs="Courier New"/>
      <w:sz w:val="20"/>
      <w:szCs w:val="20"/>
      <w:lang w:eastAsia="pt-BR"/>
    </w:rPr>
  </w:style>
  <w:style w:type="paragraph" w:styleId="TextosemFormatao">
    <w:name w:val="Plain Text"/>
    <w:basedOn w:val="Normal"/>
    <w:link w:val="TextosemFormataoChar"/>
    <w:uiPriority w:val="99"/>
    <w:semiHidden/>
    <w:unhideWhenUsed/>
    <w:rsid w:val="00D86F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osemFormataoChar">
    <w:name w:val="Texto sem Formatação Char"/>
    <w:basedOn w:val="Fontepargpadro"/>
    <w:link w:val="TextosemFormatao"/>
    <w:uiPriority w:val="99"/>
    <w:semiHidden/>
    <w:rsid w:val="00D86FEC"/>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86FEC"/>
    <w:rPr>
      <w:color w:val="0000FF"/>
      <w:u w:val="single"/>
    </w:rPr>
  </w:style>
  <w:style w:type="paragraph" w:styleId="Cabealho">
    <w:name w:val="header"/>
    <w:basedOn w:val="Normal"/>
    <w:link w:val="CabealhoChar"/>
    <w:uiPriority w:val="99"/>
    <w:unhideWhenUsed/>
    <w:rsid w:val="00E964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9640A"/>
  </w:style>
  <w:style w:type="paragraph" w:styleId="Rodap">
    <w:name w:val="footer"/>
    <w:basedOn w:val="Normal"/>
    <w:link w:val="RodapChar"/>
    <w:uiPriority w:val="99"/>
    <w:unhideWhenUsed/>
    <w:rsid w:val="00E9640A"/>
    <w:pPr>
      <w:tabs>
        <w:tab w:val="center" w:pos="4252"/>
        <w:tab w:val="right" w:pos="8504"/>
      </w:tabs>
      <w:spacing w:after="0" w:line="240" w:lineRule="auto"/>
    </w:pPr>
  </w:style>
  <w:style w:type="character" w:customStyle="1" w:styleId="RodapChar">
    <w:name w:val="Rodapé Char"/>
    <w:basedOn w:val="Fontepargpadro"/>
    <w:link w:val="Rodap"/>
    <w:uiPriority w:val="99"/>
    <w:rsid w:val="00E96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932662">
      <w:bodyDiv w:val="1"/>
      <w:marLeft w:val="0"/>
      <w:marRight w:val="0"/>
      <w:marTop w:val="0"/>
      <w:marBottom w:val="0"/>
      <w:divBdr>
        <w:top w:val="none" w:sz="0" w:space="0" w:color="auto"/>
        <w:left w:val="none" w:sz="0" w:space="0" w:color="auto"/>
        <w:bottom w:val="none" w:sz="0" w:space="0" w:color="auto"/>
        <w:right w:val="none" w:sz="0" w:space="0" w:color="auto"/>
      </w:divBdr>
      <w:divsChild>
        <w:div w:id="382485558">
          <w:marLeft w:val="0"/>
          <w:marRight w:val="0"/>
          <w:marTop w:val="0"/>
          <w:marBottom w:val="0"/>
          <w:divBdr>
            <w:top w:val="none" w:sz="0" w:space="0" w:color="auto"/>
            <w:left w:val="none" w:sz="0" w:space="0" w:color="auto"/>
            <w:bottom w:val="none" w:sz="0" w:space="0" w:color="auto"/>
            <w:right w:val="none" w:sz="0" w:space="0" w:color="auto"/>
          </w:divBdr>
          <w:divsChild>
            <w:div w:id="1410930066">
              <w:marLeft w:val="0"/>
              <w:marRight w:val="0"/>
              <w:marTop w:val="0"/>
              <w:marBottom w:val="0"/>
              <w:divBdr>
                <w:top w:val="none" w:sz="0" w:space="0" w:color="auto"/>
                <w:left w:val="none" w:sz="0" w:space="0" w:color="auto"/>
                <w:bottom w:val="none" w:sz="0" w:space="0" w:color="auto"/>
                <w:right w:val="none" w:sz="0" w:space="0" w:color="auto"/>
              </w:divBdr>
              <w:divsChild>
                <w:div w:id="74726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571349351">
                  <w:blockQuote w:val="1"/>
                  <w:marLeft w:val="720"/>
                  <w:marRight w:val="720"/>
                  <w:marTop w:val="100"/>
                  <w:marBottom w:val="100"/>
                  <w:divBdr>
                    <w:top w:val="none" w:sz="0" w:space="0" w:color="auto"/>
                    <w:left w:val="none" w:sz="0" w:space="0" w:color="auto"/>
                    <w:bottom w:val="none" w:sz="0" w:space="0" w:color="auto"/>
                    <w:right w:val="none" w:sz="0" w:space="0" w:color="auto"/>
                  </w:divBdr>
                </w:div>
                <w:div w:id="617755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42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8195920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8595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3025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17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99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59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77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53245">
                  <w:marLeft w:val="0"/>
                  <w:marRight w:val="0"/>
                  <w:marTop w:val="0"/>
                  <w:marBottom w:val="0"/>
                  <w:divBdr>
                    <w:top w:val="none" w:sz="0" w:space="0" w:color="auto"/>
                    <w:left w:val="none" w:sz="0" w:space="0" w:color="auto"/>
                    <w:bottom w:val="none" w:sz="0" w:space="0" w:color="auto"/>
                    <w:right w:val="none" w:sz="0" w:space="0" w:color="auto"/>
                  </w:divBdr>
                </w:div>
                <w:div w:id="4014110">
                  <w:marLeft w:val="0"/>
                  <w:marRight w:val="0"/>
                  <w:marTop w:val="0"/>
                  <w:marBottom w:val="0"/>
                  <w:divBdr>
                    <w:top w:val="none" w:sz="0" w:space="0" w:color="auto"/>
                    <w:left w:val="none" w:sz="0" w:space="0" w:color="auto"/>
                    <w:bottom w:val="none" w:sz="0" w:space="0" w:color="auto"/>
                    <w:right w:val="none" w:sz="0" w:space="0" w:color="auto"/>
                  </w:divBdr>
                </w:div>
              </w:divsChild>
            </w:div>
            <w:div w:id="1797602773">
              <w:marLeft w:val="0"/>
              <w:marRight w:val="0"/>
              <w:marTop w:val="0"/>
              <w:marBottom w:val="0"/>
              <w:divBdr>
                <w:top w:val="none" w:sz="0" w:space="0" w:color="auto"/>
                <w:left w:val="none" w:sz="0" w:space="0" w:color="auto"/>
                <w:bottom w:val="none" w:sz="0" w:space="0" w:color="auto"/>
                <w:right w:val="none" w:sz="0" w:space="0" w:color="auto"/>
              </w:divBdr>
              <w:divsChild>
                <w:div w:id="1941639185">
                  <w:marLeft w:val="0"/>
                  <w:marRight w:val="0"/>
                  <w:marTop w:val="0"/>
                  <w:marBottom w:val="0"/>
                  <w:divBdr>
                    <w:top w:val="none" w:sz="0" w:space="0" w:color="auto"/>
                    <w:left w:val="none" w:sz="0" w:space="0" w:color="auto"/>
                    <w:bottom w:val="none" w:sz="0" w:space="0" w:color="auto"/>
                    <w:right w:val="none" w:sz="0" w:space="0" w:color="auto"/>
                  </w:divBdr>
                  <w:divsChild>
                    <w:div w:id="1597637978">
                      <w:marLeft w:val="0"/>
                      <w:marRight w:val="0"/>
                      <w:marTop w:val="0"/>
                      <w:marBottom w:val="0"/>
                      <w:divBdr>
                        <w:top w:val="none" w:sz="0" w:space="0" w:color="auto"/>
                        <w:left w:val="none" w:sz="0" w:space="0" w:color="auto"/>
                        <w:bottom w:val="none" w:sz="0" w:space="0" w:color="auto"/>
                        <w:right w:val="none" w:sz="0" w:space="0" w:color="auto"/>
                      </w:divBdr>
                      <w:divsChild>
                        <w:div w:id="1631865719">
                          <w:marLeft w:val="0"/>
                          <w:marRight w:val="0"/>
                          <w:marTop w:val="0"/>
                          <w:marBottom w:val="0"/>
                          <w:divBdr>
                            <w:top w:val="none" w:sz="0" w:space="0" w:color="auto"/>
                            <w:left w:val="none" w:sz="0" w:space="0" w:color="auto"/>
                            <w:bottom w:val="none" w:sz="0" w:space="0" w:color="auto"/>
                            <w:right w:val="none" w:sz="0" w:space="0" w:color="auto"/>
                          </w:divBdr>
                          <w:divsChild>
                            <w:div w:id="63913460">
                              <w:marLeft w:val="0"/>
                              <w:marRight w:val="0"/>
                              <w:marTop w:val="0"/>
                              <w:marBottom w:val="0"/>
                              <w:divBdr>
                                <w:top w:val="none" w:sz="0" w:space="0" w:color="auto"/>
                                <w:left w:val="none" w:sz="0" w:space="0" w:color="auto"/>
                                <w:bottom w:val="none" w:sz="0" w:space="0" w:color="auto"/>
                                <w:right w:val="none" w:sz="0" w:space="0" w:color="auto"/>
                              </w:divBdr>
                            </w:div>
                          </w:divsChild>
                        </w:div>
                        <w:div w:id="349339414">
                          <w:marLeft w:val="0"/>
                          <w:marRight w:val="0"/>
                          <w:marTop w:val="0"/>
                          <w:marBottom w:val="0"/>
                          <w:divBdr>
                            <w:top w:val="none" w:sz="0" w:space="0" w:color="auto"/>
                            <w:left w:val="none" w:sz="0" w:space="0" w:color="auto"/>
                            <w:bottom w:val="none" w:sz="0" w:space="0" w:color="auto"/>
                            <w:right w:val="none" w:sz="0" w:space="0" w:color="auto"/>
                          </w:divBdr>
                          <w:divsChild>
                            <w:div w:id="637224285">
                              <w:marLeft w:val="0"/>
                              <w:marRight w:val="0"/>
                              <w:marTop w:val="0"/>
                              <w:marBottom w:val="0"/>
                              <w:divBdr>
                                <w:top w:val="none" w:sz="0" w:space="0" w:color="auto"/>
                                <w:left w:val="none" w:sz="0" w:space="0" w:color="auto"/>
                                <w:bottom w:val="none" w:sz="0" w:space="0" w:color="auto"/>
                                <w:right w:val="none" w:sz="0" w:space="0" w:color="auto"/>
                              </w:divBdr>
                            </w:div>
                          </w:divsChild>
                        </w:div>
                        <w:div w:id="1104962703">
                          <w:marLeft w:val="0"/>
                          <w:marRight w:val="0"/>
                          <w:marTop w:val="0"/>
                          <w:marBottom w:val="0"/>
                          <w:divBdr>
                            <w:top w:val="none" w:sz="0" w:space="0" w:color="auto"/>
                            <w:left w:val="none" w:sz="0" w:space="0" w:color="auto"/>
                            <w:bottom w:val="none" w:sz="0" w:space="0" w:color="auto"/>
                            <w:right w:val="none" w:sz="0" w:space="0" w:color="auto"/>
                          </w:divBdr>
                          <w:divsChild>
                            <w:div w:id="3854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9265">
                      <w:marLeft w:val="0"/>
                      <w:marRight w:val="0"/>
                      <w:marTop w:val="0"/>
                      <w:marBottom w:val="0"/>
                      <w:divBdr>
                        <w:top w:val="none" w:sz="0" w:space="0" w:color="auto"/>
                        <w:left w:val="none" w:sz="0" w:space="0" w:color="auto"/>
                        <w:bottom w:val="none" w:sz="0" w:space="0" w:color="auto"/>
                        <w:right w:val="none" w:sz="0" w:space="0" w:color="auto"/>
                      </w:divBdr>
                      <w:divsChild>
                        <w:div w:id="1304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3159">
              <w:marLeft w:val="0"/>
              <w:marRight w:val="0"/>
              <w:marTop w:val="0"/>
              <w:marBottom w:val="0"/>
              <w:divBdr>
                <w:top w:val="none" w:sz="0" w:space="0" w:color="auto"/>
                <w:left w:val="none" w:sz="0" w:space="0" w:color="auto"/>
                <w:bottom w:val="none" w:sz="0" w:space="0" w:color="auto"/>
                <w:right w:val="none" w:sz="0" w:space="0" w:color="auto"/>
              </w:divBdr>
              <w:divsChild>
                <w:div w:id="1373849540">
                  <w:marLeft w:val="0"/>
                  <w:marRight w:val="0"/>
                  <w:marTop w:val="0"/>
                  <w:marBottom w:val="0"/>
                  <w:divBdr>
                    <w:top w:val="none" w:sz="0" w:space="0" w:color="auto"/>
                    <w:left w:val="none" w:sz="0" w:space="0" w:color="auto"/>
                    <w:bottom w:val="none" w:sz="0" w:space="0" w:color="auto"/>
                    <w:right w:val="none" w:sz="0" w:space="0" w:color="auto"/>
                  </w:divBdr>
                  <w:divsChild>
                    <w:div w:id="1824157125">
                      <w:marLeft w:val="0"/>
                      <w:marRight w:val="0"/>
                      <w:marTop w:val="0"/>
                      <w:marBottom w:val="0"/>
                      <w:divBdr>
                        <w:top w:val="none" w:sz="0" w:space="0" w:color="auto"/>
                        <w:left w:val="none" w:sz="0" w:space="0" w:color="auto"/>
                        <w:bottom w:val="none" w:sz="0" w:space="0" w:color="auto"/>
                        <w:right w:val="none" w:sz="0" w:space="0" w:color="auto"/>
                      </w:divBdr>
                      <w:divsChild>
                        <w:div w:id="403453742">
                          <w:marLeft w:val="0"/>
                          <w:marRight w:val="0"/>
                          <w:marTop w:val="0"/>
                          <w:marBottom w:val="0"/>
                          <w:divBdr>
                            <w:top w:val="none" w:sz="0" w:space="0" w:color="auto"/>
                            <w:left w:val="none" w:sz="0" w:space="0" w:color="auto"/>
                            <w:bottom w:val="none" w:sz="0" w:space="0" w:color="auto"/>
                            <w:right w:val="none" w:sz="0" w:space="0" w:color="auto"/>
                          </w:divBdr>
                          <w:divsChild>
                            <w:div w:id="3345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ts.ucla.edu/stat/stata/dae/poissonreg.htm" TargetMode="External"/><Relationship Id="rId18" Type="http://schemas.openxmlformats.org/officeDocument/2006/relationships/hyperlink" Target="http://www.ats.ucla.edu/stat/apps/codetrack/errdirect.php" TargetMode="External"/><Relationship Id="rId26" Type="http://schemas.openxmlformats.org/officeDocument/2006/relationships/hyperlink" Target="https://idre.ucla.edu/mapshare" TargetMode="External"/><Relationship Id="rId39" Type="http://schemas.openxmlformats.org/officeDocument/2006/relationships/hyperlink" Target="https://idre.ucla.edu/resources" TargetMode="External"/><Relationship Id="rId21" Type="http://schemas.openxmlformats.org/officeDocument/2006/relationships/hyperlink" Target="https://idre.ucla.edu/gis-visualization" TargetMode="External"/><Relationship Id="rId34" Type="http://schemas.openxmlformats.org/officeDocument/2006/relationships/hyperlink" Target="http://portal.ucgrid.org/" TargetMode="External"/><Relationship Id="rId42" Type="http://schemas.openxmlformats.org/officeDocument/2006/relationships/hyperlink" Target="http://dataarchives.ss.ucla.edu/" TargetMode="External"/><Relationship Id="rId47" Type="http://schemas.openxmlformats.org/officeDocument/2006/relationships/hyperlink" Target="https://idre.ucla.edu/events"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cameron.econ.ucdavis.edu/racd/count.html" TargetMode="External"/><Relationship Id="rId29" Type="http://schemas.openxmlformats.org/officeDocument/2006/relationships/hyperlink" Target="https://idre.ucla.edu/visualization" TargetMode="External"/><Relationship Id="rId11" Type="http://schemas.openxmlformats.org/officeDocument/2006/relationships/hyperlink" Target="http://www.ats.ucla.edu/stat/stata/output/stata_nbreg_output.htm" TargetMode="External"/><Relationship Id="rId24" Type="http://schemas.openxmlformats.org/officeDocument/2006/relationships/hyperlink" Target="https://idre.ucla.edu/stats" TargetMode="External"/><Relationship Id="rId32" Type="http://schemas.openxmlformats.org/officeDocument/2006/relationships/hyperlink" Target="https://idre.ucla.edu/3d-modeling" TargetMode="External"/><Relationship Id="rId37" Type="http://schemas.openxmlformats.org/officeDocument/2006/relationships/hyperlink" Target="http://grid.ucla.edu/" TargetMode="External"/><Relationship Id="rId40" Type="http://schemas.openxmlformats.org/officeDocument/2006/relationships/hyperlink" Target="https://idre.ucla.edu/hpc/shared-cluster-program" TargetMode="External"/><Relationship Id="rId45" Type="http://schemas.openxmlformats.org/officeDocument/2006/relationships/hyperlink" Target="https://idre.ucla.edu/contact" TargetMode="External"/><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s://idre.ucla.edu/hp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tata.com/support/faqs/stat/nbreg.html" TargetMode="External"/><Relationship Id="rId22" Type="http://schemas.openxmlformats.org/officeDocument/2006/relationships/hyperlink" Target="https://idre.ucla.edu/hpc" TargetMode="External"/><Relationship Id="rId27" Type="http://schemas.openxmlformats.org/officeDocument/2006/relationships/hyperlink" Target="https://idre.ucla.edu/events/classes" TargetMode="External"/><Relationship Id="rId30" Type="http://schemas.openxmlformats.org/officeDocument/2006/relationships/hyperlink" Target="https://idre.ucla.edu/events/conferences" TargetMode="External"/><Relationship Id="rId35" Type="http://schemas.openxmlformats.org/officeDocument/2006/relationships/hyperlink" Target="https://idre.ucla.edu/technology-sandbox" TargetMode="External"/><Relationship Id="rId43" Type="http://schemas.openxmlformats.org/officeDocument/2006/relationships/hyperlink" Target="https://idre.ucla.edu/about" TargetMode="External"/><Relationship Id="rId48" Type="http://schemas.openxmlformats.org/officeDocument/2006/relationships/hyperlink" Target="https://idre.ucla.edu/experts" TargetMode="External"/><Relationship Id="rId56" Type="http://schemas.openxmlformats.org/officeDocument/2006/relationships/fontTable" Target="fontTable.xml"/><Relationship Id="rId8" Type="http://schemas.openxmlformats.org/officeDocument/2006/relationships/hyperlink" Target="http://www.ats.ucla.edu/stat/stata/faq/findit.htm"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stata.com/help.cgi?nbreg" TargetMode="External"/><Relationship Id="rId17" Type="http://schemas.openxmlformats.org/officeDocument/2006/relationships/hyperlink" Target="http://www.ats.ucla.edu/stat/mult_pkg/faq/general/citingats.htm" TargetMode="External"/><Relationship Id="rId25" Type="http://schemas.openxmlformats.org/officeDocument/2006/relationships/hyperlink" Target="https://idre.ucla.edu/hoffman2" TargetMode="External"/><Relationship Id="rId33" Type="http://schemas.openxmlformats.org/officeDocument/2006/relationships/hyperlink" Target="https://idre.ucla.edu/reading-materials" TargetMode="External"/><Relationship Id="rId38" Type="http://schemas.openxmlformats.org/officeDocument/2006/relationships/hyperlink" Target="https://idre.ucla.edu/gis-visualization/sandbox-access" TargetMode="External"/><Relationship Id="rId46" Type="http://schemas.openxmlformats.org/officeDocument/2006/relationships/hyperlink" Target="https://idre.ucla.edu/news" TargetMode="External"/><Relationship Id="rId20" Type="http://schemas.openxmlformats.org/officeDocument/2006/relationships/hyperlink" Target="https://idre.ucla.edu/stats" TargetMode="External"/><Relationship Id="rId41" Type="http://schemas.openxmlformats.org/officeDocument/2006/relationships/hyperlink" Target="https://idre.ucla.edu/data-centers"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tata.com/support/faqs/stat/2deltameth.html" TargetMode="External"/><Relationship Id="rId23" Type="http://schemas.openxmlformats.org/officeDocument/2006/relationships/hyperlink" Target="https://idre.ucla.edu/gis" TargetMode="External"/><Relationship Id="rId28" Type="http://schemas.openxmlformats.org/officeDocument/2006/relationships/hyperlink" Target="https://idre.ucla.edu/hoffman2/getting-started" TargetMode="External"/><Relationship Id="rId36" Type="http://schemas.openxmlformats.org/officeDocument/2006/relationships/hyperlink" Target="http://lists.ucla.edu/cgi-bin/mailman/listinfo/idremailinglist" TargetMode="External"/><Relationship Id="rId49" Type="http://schemas.openxmlformats.org/officeDocument/2006/relationships/hyperlink" Target="http://www.ucla.edu/terms-of-use/" TargetMode="External"/><Relationship Id="rId57" Type="http://schemas.openxmlformats.org/officeDocument/2006/relationships/theme" Target="theme/theme1.xml"/><Relationship Id="rId10" Type="http://schemas.openxmlformats.org/officeDocument/2006/relationships/hyperlink" Target="http://www.ats.ucla.edu/stat/mult_pkg/faq/general/Psuedo_RSquareds.htm" TargetMode="External"/><Relationship Id="rId31" Type="http://schemas.openxmlformats.org/officeDocument/2006/relationships/hyperlink" Target="https://idre.ucla.edu/hoffman2/cluster-statistics" TargetMode="External"/><Relationship Id="rId44" Type="http://schemas.openxmlformats.org/officeDocument/2006/relationships/hyperlink" Target="https://idre.ucla.edu/about" TargetMode="External"/><Relationship Id="rId5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3780</Words>
  <Characters>20414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2015-08-21T19:55:00Z</dcterms:created>
  <dcterms:modified xsi:type="dcterms:W3CDTF">2015-08-21T19:57:00Z</dcterms:modified>
</cp:coreProperties>
</file>