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4A5568"/>
          <w:sz w:val="24"/>
          <w:szCs w:val="24"/>
        </w:rPr>
        <w:t xml:space="preserve">PRODUCT REQUIREMENTS DOCUMENT</w:t>
      </w:r>
    </w:p>
    <w:p>
      <w:pPr>
        <w:spacing w:after="0" w:before="240"/>
      </w:pPr>
      <w:r>
        <w:t xml:space="preserve"/>
      </w:r>
    </w:p>
    <w:p>
      <w:pPr>
        <w:spacing w:after="120" w:before="0"/>
        <w:jc w:val="center"/>
      </w:pPr>
      <w:r>
        <w:rPr>
          <w:rFonts w:ascii="Arial" w:cs="Arial" w:eastAsia="Arial" w:hAnsi="Arial"/>
          <w:b/>
          <w:bCs/>
          <w:color w:val="1A3A5C"/>
          <w:sz w:val="72"/>
          <w:szCs w:val="72"/>
        </w:rPr>
        <w:t xml:space="preserve">TrustNet AI</w:t>
      </w:r>
    </w:p>
    <w:p>
      <w:pPr>
        <w:spacing w:after="240" w:before="0"/>
        <w:jc w:val="center"/>
      </w:pPr>
      <w:r>
        <w:rPr>
          <w:rFonts w:ascii="Arial" w:cs="Arial" w:eastAsia="Arial" w:hAnsi="Arial"/>
          <w:b w:val="false"/>
          <w:bCs w:val="false"/>
          <w:i/>
          <w:iCs/>
          <w:color w:val="0066CC"/>
          <w:sz w:val="36"/>
          <w:szCs w:val="36"/>
        </w:rPr>
        <w:t xml:space="preserve">Global Human Vulnerability Intelligence Network</w:t>
      </w:r>
    </w:p>
    <w:p>
      <w:pPr>
        <w:spacing w:after="0" w:before="360"/>
      </w:pPr>
      <w:r>
        <w:t xml:space="preserve"/>
      </w:r>
    </w:p>
    <w:p>
      <w:pPr>
        <w:pBdr>
          <w:top w:val="single" w:color="CCDDEE" w:sz="2"/>
          <w:bottom w:val="single" w:color="CCDDEE" w:sz="2"/>
        </w:pBdr>
        <w:spacing w:after="120" w:before="120"/>
        <w:jc w:val="center"/>
      </w:pPr>
      <w:r>
        <w:rPr>
          <w:rFonts w:ascii="Arial" w:cs="Arial" w:eastAsia="Arial" w:hAnsi="Arial"/>
          <w:color w:val="4A5568"/>
          <w:sz w:val="22"/>
          <w:szCs w:val="22"/>
        </w:rPr>
        <w:t xml:space="preserve">Version 1.0  •  April 2026  •  Google Solution Challenge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360"/>
              <w:bottom w:type="dxa" w:w="200"/>
              <w:right w:type="dxa" w:w="360"/>
            </w:tcMar>
          </w:tcPr>
          <w:p>
            <w:pPr>
              <w:jc w:val="center"/>
            </w:pPr>
            <w:r>
              <w:rPr>
                <w:rFonts w:ascii="Arial" w:cs="Arial" w:eastAsia="Arial" w:hAnsi="Arial"/>
                <w:b/>
                <w:bCs/>
                <w:i/>
                <w:iCs/>
                <w:color w:val="FFFFFF"/>
                <w:sz w:val="32"/>
                <w:szCs w:val="32"/>
              </w:rPr>
              <w:t xml:space="preserve">"Predict the human. Prevent the breach."</w:t>
            </w:r>
          </w:p>
          <w:p>
            <w:pPr>
              <w:spacing w:after="0" w:before="80"/>
            </w:pPr>
            <w:r>
              <w:t xml:space="preserve"/>
            </w:r>
          </w:p>
          <w:p>
            <w:pPr>
              <w:jc w:val="center"/>
            </w:pPr>
            <w:r>
              <w:rPr>
                <w:rFonts w:ascii="Arial" w:cs="Arial" w:eastAsia="Arial" w:hAnsi="Arial"/>
                <w:color w:val="AACCEE"/>
                <w:sz w:val="22"/>
                <w:szCs w:val="22"/>
              </w:rPr>
              <w:t xml:space="preserve">The world's first privacy-preserving behavioral cybersecurity intelligence network</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1. Executive Summary</w:t>
      </w:r>
    </w:p>
    <w:p>
      <w:pPr>
        <w:spacing w:after="60" w:before="60"/>
        <w:jc w:val="left"/>
      </w:pPr>
      <w:r>
        <w:rPr>
          <w:rFonts w:ascii="Arial" w:cs="Arial" w:eastAsia="Arial" w:hAnsi="Arial"/>
          <w:b w:val="false"/>
          <w:bCs w:val="false"/>
          <w:i w:val="false"/>
          <w:iCs w:val="false"/>
          <w:color w:val="1A1A2E"/>
          <w:sz w:val="22"/>
          <w:szCs w:val="22"/>
        </w:rPr>
        <w:t xml:space="preserve">TrustNet AI is a globally distributed, privacy-preserving intelligence network that models human behavioral vulnerability to social engineering attacks. Unlike conventional cybersecurity tools that detect malicious payloads or network anomalies, TrustNet AI targets the most exploited and least-defended attack surface in the digital world: human psychology.</w:t>
      </w:r>
    </w:p>
    <w:p>
      <w:pPr>
        <w:spacing w:after="0" w:before="80"/>
      </w:pPr>
      <w:r>
        <w:t xml:space="preserve"/>
      </w:r>
    </w:p>
    <w:p>
      <w:pPr>
        <w:spacing w:after="60" w:before="60"/>
        <w:jc w:val="left"/>
      </w:pPr>
      <w:r>
        <w:rPr>
          <w:rFonts w:ascii="Arial" w:cs="Arial" w:eastAsia="Arial" w:hAnsi="Arial"/>
          <w:b w:val="false"/>
          <w:bCs w:val="false"/>
          <w:i w:val="false"/>
          <w:iCs w:val="false"/>
          <w:color w:val="1A1A2E"/>
          <w:sz w:val="22"/>
          <w:szCs w:val="22"/>
        </w:rPr>
        <w:t xml:space="preserve">Social engineering accounts for over 85% of all successful data breaches globally (Verizon DBIR 2024). Attackers exploit cognitive biases — urgency, authority, fear, trust, and reciprocity — to manipulate users into performing unsafe actions such as clicking phishing links, disclosing OTPs, authorizing fraudulent transactions, or downloading malware. No existing security product systematically measures, predicts, or adapts to individual human susceptibility at scale.</w:t>
      </w:r>
    </w:p>
    <w:p>
      <w:pPr>
        <w:spacing w:after="0" w:before="80"/>
      </w:pPr>
      <w:r>
        <w:t xml:space="preserve"/>
      </w:r>
    </w:p>
    <w:p>
      <w:pPr>
        <w:spacing w:after="60" w:before="60"/>
        <w:jc w:val="left"/>
      </w:pPr>
      <w:r>
        <w:rPr>
          <w:rFonts w:ascii="Arial" w:cs="Arial" w:eastAsia="Arial" w:hAnsi="Arial"/>
          <w:b w:val="false"/>
          <w:bCs w:val="false"/>
          <w:i w:val="false"/>
          <w:iCs w:val="false"/>
          <w:color w:val="1A1A2E"/>
          <w:sz w:val="22"/>
          <w:szCs w:val="22"/>
        </w:rPr>
        <w:t xml:space="preserve">TrustNet AI closes this gap through four integrated layers:</w:t>
      </w:r>
    </w:p>
    <w:p>
      <w:pPr>
        <w:spacing w:after="0" w:before="40"/>
      </w:pPr>
      <w:r>
        <w:t xml:space="preserve"/>
      </w:r>
    </w:p>
    <w:p>
      <w:pPr>
        <w:pStyle w:val="ListParagraph"/>
        <w:numPr>
          <w:ilvl w:val="0"/>
          <w:numId w:val="2"/>
        </w:numPr>
        <w:spacing w:after="40" w:before="40"/>
      </w:pPr>
      <w:r>
        <w:rPr>
          <w:rFonts w:ascii="Arial" w:cs="Arial" w:eastAsia="Arial" w:hAnsi="Arial"/>
          <w:color w:val="1A1A2E"/>
          <w:sz w:val="22"/>
          <w:szCs w:val="22"/>
        </w:rPr>
        <w:t xml:space="preserve">Local User Defense Layer: A browser extension and mobile app that captures behavioral signals and NLP features in real-time, computes a vulnerability score, and intervenes before users make unsafe decisions.</w:t>
      </w:r>
    </w:p>
    <w:p>
      <w:pPr>
        <w:pStyle w:val="ListParagraph"/>
        <w:numPr>
          <w:ilvl w:val="0"/>
          <w:numId w:val="2"/>
        </w:numPr>
        <w:spacing w:after="40" w:before="40"/>
      </w:pPr>
      <w:r>
        <w:rPr>
          <w:rFonts w:ascii="Arial" w:cs="Arial" w:eastAsia="Arial" w:hAnsi="Arial"/>
          <w:color w:val="1A1A2E"/>
          <w:sz w:val="22"/>
          <w:szCs w:val="22"/>
        </w:rPr>
        <w:t xml:space="preserve">Privacy-Preserving Federated Learning Layer: Devices train local models on-device. Only encrypted gradient updates are shared — never raw user data. Differential privacy noise injection ensures mathematical privacy guarantees.</w:t>
      </w:r>
    </w:p>
    <w:p>
      <w:pPr>
        <w:pStyle w:val="ListParagraph"/>
        <w:numPr>
          <w:ilvl w:val="0"/>
          <w:numId w:val="2"/>
        </w:numPr>
        <w:spacing w:after="40" w:before="40"/>
      </w:pPr>
      <w:r>
        <w:rPr>
          <w:rFonts w:ascii="Arial" w:cs="Arial" w:eastAsia="Arial" w:hAnsi="Arial"/>
          <w:color w:val="1A1A2E"/>
          <w:sz w:val="22"/>
          <w:szCs w:val="22"/>
        </w:rPr>
        <w:t xml:space="preserve">Global Threat Intelligence Engine: Aggregated behavioral patterns from millions of devices identify region-specific attack vectors, demographic vulnerability clusters, and emerging scam trends — without any personally identifiable data ever leaving the device.</w:t>
      </w:r>
    </w:p>
    <w:p>
      <w:pPr>
        <w:pStyle w:val="ListParagraph"/>
        <w:numPr>
          <w:ilvl w:val="0"/>
          <w:numId w:val="2"/>
        </w:numPr>
        <w:spacing w:after="40" w:before="40"/>
      </w:pPr>
      <w:r>
        <w:rPr>
          <w:rFonts w:ascii="Arial" w:cs="Arial" w:eastAsia="Arial" w:hAnsi="Arial"/>
          <w:color w:val="1A1A2E"/>
          <w:sz w:val="22"/>
          <w:szCs w:val="22"/>
        </w:rPr>
        <w:t xml:space="preserve">Adaptive Personal Defense Layer: A Reinforcement Learning agent continuously optimizes warning strategies, risk thresholds, and intervention mechanisms for each individual user, becoming more effective the more the system is used.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Impact at a Glance</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Target: 500M+ internet users across 50 countries by Year 3</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Protection Scope: Phishing, vishing, smishing, CEO fraud, OTP scams, romance scams, deepfake impersonation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Privacy Standard: GDPR, CCPA, PDPB (India) compliant — zero raw data transmission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AI Core: Federated Learning + Differential Privacy + Reinforcement Learning</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Deployment: Chrome Extension + Android/iOS App + SaaS Dashboard + Global Risk Map</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2. Problem Analysis</w:t>
      </w:r>
    </w:p>
    <w:p>
      <w:pPr>
        <w:pStyle w:val="Heading2"/>
        <w:spacing w:after="80" w:before="240"/>
      </w:pPr>
      <w:r>
        <w:rPr>
          <w:rFonts w:ascii="Arial" w:cs="Arial" w:eastAsia="Arial" w:hAnsi="Arial"/>
          <w:b/>
          <w:bCs/>
          <w:color w:val="0066CC"/>
          <w:sz w:val="28"/>
          <w:szCs w:val="28"/>
        </w:rPr>
        <w:t xml:space="preserve">2.1 The Cybersecurity Blind Spot</w:t>
      </w:r>
    </w:p>
    <w:p>
      <w:pPr>
        <w:spacing w:after="60" w:before="60"/>
        <w:jc w:val="left"/>
      </w:pPr>
      <w:r>
        <w:rPr>
          <w:rFonts w:ascii="Arial" w:cs="Arial" w:eastAsia="Arial" w:hAnsi="Arial"/>
          <w:b w:val="false"/>
          <w:bCs w:val="false"/>
          <w:i w:val="false"/>
          <w:iCs w:val="false"/>
          <w:color w:val="1A1A2E"/>
          <w:sz w:val="22"/>
          <w:szCs w:val="22"/>
        </w:rPr>
        <w:t xml:space="preserve">Modern cybersecurity has matured significantly in the domains of network security (firewalls, IDS/IPS), endpoint security (EDR/XDR), and application security (SAST/DAST). However, a fundamental blind spot persists: human behavioral vulnerability.</w:t>
      </w:r>
    </w:p>
    <w:p>
      <w:pPr>
        <w:spacing w:after="0" w:before="60"/>
      </w:pPr>
      <w:r>
        <w:t xml:space="preserve"/>
      </w:r>
    </w:p>
    <w:p>
      <w:pPr>
        <w:spacing w:after="60" w:before="60"/>
        <w:jc w:val="left"/>
      </w:pPr>
      <w:r>
        <w:rPr>
          <w:rFonts w:ascii="Arial" w:cs="Arial" w:eastAsia="Arial" w:hAnsi="Arial"/>
          <w:b w:val="false"/>
          <w:bCs w:val="false"/>
          <w:i w:val="false"/>
          <w:iCs w:val="false"/>
          <w:color w:val="1A1A2E"/>
          <w:sz w:val="22"/>
          <w:szCs w:val="22"/>
        </w:rPr>
        <w:t xml:space="preserve">The 2024 Verizon Data Breach Investigations Report found that 74% of breaches involve a human element — employees being manipulated through social engineering, phishing, credential theft, or simple error. The World Economic Forum's Global Cybersecurity Outlook 2024 notes that phishing and social engineering remain the #1 attack vector globally, ahead of ransomware and zero-day exploits.</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2.2 Failure Modes of Current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2"/>
                <w:szCs w:val="22"/>
              </w:rPr>
              <w:t xml:space="preserve">Current System Type</w:t>
            </w:r>
          </w:p>
        </w:tc>
        <w:tc>
          <w:tcPr>
            <w:tcW w:type="dxa" w:w="4680"/>
            <w:tcBorders>
              <w:top w:val="single" w:color="CCDDEE" w:sz="1"/>
              <w:left w:val="single" w:color="CCDDEE" w:sz="1"/>
              <w:bottom w:val="single" w:color="CCDDEE" w:sz="1"/>
              <w:right w:val="single" w:color="CCDDEE" w:sz="1"/>
            </w:tcBorders>
            <w:shd w:fill="0066CC" w:val="clear"/>
            <w:tcMar>
              <w:top w:type="dxa" w:w="100"/>
              <w:left w:type="dxa" w:w="150"/>
              <w:bottom w:type="dxa" w:w="100"/>
              <w:right w:type="dxa" w:w="150"/>
            </w:tcMar>
          </w:tcPr>
          <w:p>
            <w:r>
              <w:rPr>
                <w:rFonts w:ascii="Arial" w:cs="Arial" w:eastAsia="Arial" w:hAnsi="Arial"/>
                <w:b/>
                <w:bCs/>
                <w:color w:val="FFFFFF"/>
                <w:sz w:val="22"/>
                <w:szCs w:val="22"/>
              </w:rPr>
              <w:t xml:space="preserve">What TrustNet AI Addresses</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C</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M</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r</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e</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i</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c</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t</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h</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i</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a</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c</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n</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a</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i</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l</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s</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 </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m</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L</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i</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m</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i</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t</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a</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t</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i</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o</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n</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Current System</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Primary Defense</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Critical Limitation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Email Security Gateways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Detects malicious payloads, links, domains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Fails against zero-day phishing, legitimate-domain spoofing</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Antivirus / EDR</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Detects malware execution post-click</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Cannot prevent the initial human error of clicking</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SIEM / SOAR</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Aggregates threat events for analysts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Reactive — operates after compromise, no human prediction</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Security Awareness Training</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Educates users once or quarterly</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Static, not personalized, no real-time adaptation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Spam Filters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URL reputation, sender scoring</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Bypassed by compromised legitimate accounts, AI-generated text</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MFA Systems</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Second-factor authentication</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Defeated by MFA fatigue attacks, real-time phishing proxies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Zero Trust Architecture</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Least privilege, continuous verification</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Doesn't model the human making access decisions</w:t>
            </w:r>
          </w:p>
        </w:tc>
      </w:tr>
    </w:tbl>
    <w:p>
      <w:pPr>
        <w:spacing w:after="0" w:before="120"/>
      </w:pPr>
      <w:r>
        <w:t xml:space="preserve"/>
      </w:r>
    </w:p>
    <w:p>
      <w:pPr>
        <w:pStyle w:val="Heading2"/>
        <w:spacing w:after="80" w:before="240"/>
      </w:pPr>
      <w:r>
        <w:rPr>
          <w:rFonts w:ascii="Arial" w:cs="Arial" w:eastAsia="Arial" w:hAnsi="Arial"/>
          <w:b/>
          <w:bCs/>
          <w:color w:val="0066CC"/>
          <w:sz w:val="28"/>
          <w:szCs w:val="28"/>
        </w:rPr>
        <w:t xml:space="preserve">2.3 Why Human Behavior Is the Weakest Link</w:t>
      </w:r>
    </w:p>
    <w:p>
      <w:pPr>
        <w:spacing w:after="60" w:before="60"/>
        <w:jc w:val="left"/>
      </w:pPr>
      <w:r>
        <w:rPr>
          <w:rFonts w:ascii="Arial" w:cs="Arial" w:eastAsia="Arial" w:hAnsi="Arial"/>
          <w:b w:val="false"/>
          <w:bCs w:val="false"/>
          <w:i w:val="false"/>
          <w:iCs w:val="false"/>
          <w:color w:val="1A1A2E"/>
          <w:sz w:val="22"/>
          <w:szCs w:val="22"/>
        </w:rPr>
        <w:t xml:space="preserve">Human decision-making under stress, time pressure, or emotional arousal is fundamentally different from baseline rational cognition. Attackers exploit six primary cognitive biases:</w:t>
      </w:r>
    </w:p>
    <w:p>
      <w:pPr>
        <w:spacing w:after="0" w:before="40"/>
      </w:pPr>
      <w:r>
        <w:t xml:space="preserve"/>
      </w:r>
    </w:p>
    <w:p>
      <w:pPr>
        <w:pStyle w:val="ListParagraph"/>
        <w:numPr>
          <w:ilvl w:val="0"/>
          <w:numId w:val="2"/>
        </w:numPr>
        <w:spacing w:after="40" w:before="40"/>
      </w:pPr>
      <w:r>
        <w:rPr>
          <w:rFonts w:ascii="Arial" w:cs="Arial" w:eastAsia="Arial" w:hAnsi="Arial"/>
          <w:color w:val="1A1A2E"/>
          <w:sz w:val="22"/>
          <w:szCs w:val="22"/>
        </w:rPr>
        <w:t xml:space="preserve">Authority Bias: Users comply with requests from perceived authority figures ("IT Department," "CEO," "Bank Manager") even when channels are unverified.</w:t>
      </w:r>
    </w:p>
    <w:p>
      <w:pPr>
        <w:pStyle w:val="ListParagraph"/>
        <w:numPr>
          <w:ilvl w:val="0"/>
          <w:numId w:val="2"/>
        </w:numPr>
        <w:spacing w:after="40" w:before="40"/>
      </w:pPr>
      <w:r>
        <w:rPr>
          <w:rFonts w:ascii="Arial" w:cs="Arial" w:eastAsia="Arial" w:hAnsi="Arial"/>
          <w:color w:val="1A1A2E"/>
          <w:sz w:val="22"/>
          <w:szCs w:val="22"/>
        </w:rPr>
        <w:t xml:space="preserve">Urgency / Scarcity: Time pressure disables deliberate thinking. Phrases like "Your account will be suspended in 24 hours" trigger System 1 thinking and bypass security instincts.</w:t>
      </w:r>
    </w:p>
    <w:p>
      <w:pPr>
        <w:pStyle w:val="ListParagraph"/>
        <w:numPr>
          <w:ilvl w:val="0"/>
          <w:numId w:val="2"/>
        </w:numPr>
        <w:spacing w:after="40" w:before="40"/>
      </w:pPr>
      <w:r>
        <w:rPr>
          <w:rFonts w:ascii="Arial" w:cs="Arial" w:eastAsia="Arial" w:hAnsi="Arial"/>
          <w:color w:val="1A1A2E"/>
          <w:sz w:val="22"/>
          <w:szCs w:val="22"/>
        </w:rPr>
        <w:t xml:space="preserve">Social Proof: "Your colleague John has already verified" lowers psychological resistance to performing unusual actions.</w:t>
      </w:r>
    </w:p>
    <w:p>
      <w:pPr>
        <w:pStyle w:val="ListParagraph"/>
        <w:numPr>
          <w:ilvl w:val="0"/>
          <w:numId w:val="2"/>
        </w:numPr>
        <w:spacing w:after="40" w:before="40"/>
      </w:pPr>
      <w:r>
        <w:rPr>
          <w:rFonts w:ascii="Arial" w:cs="Arial" w:eastAsia="Arial" w:hAnsi="Arial"/>
          <w:color w:val="1A1A2E"/>
          <w:sz w:val="22"/>
          <w:szCs w:val="22"/>
        </w:rPr>
        <w:t xml:space="preserve">Fear and Loss Aversion: Threats of financial loss, legal action, or account termination activate the amygdala response, overriding prefrontal cortex risk assessment.</w:t>
      </w:r>
    </w:p>
    <w:p>
      <w:pPr>
        <w:pStyle w:val="ListParagraph"/>
        <w:numPr>
          <w:ilvl w:val="0"/>
          <w:numId w:val="2"/>
        </w:numPr>
        <w:spacing w:after="40" w:before="40"/>
      </w:pPr>
      <w:r>
        <w:rPr>
          <w:rFonts w:ascii="Arial" w:cs="Arial" w:eastAsia="Arial" w:hAnsi="Arial"/>
          <w:color w:val="1A1A2E"/>
          <w:sz w:val="22"/>
          <w:szCs w:val="22"/>
        </w:rPr>
        <w:t xml:space="preserve">Reciprocity: Small favors offered before a malicious request (e.g., free gift) increase compliance rates by up to 60% in studied populations.</w:t>
      </w:r>
    </w:p>
    <w:p>
      <w:pPr>
        <w:pStyle w:val="ListParagraph"/>
        <w:numPr>
          <w:ilvl w:val="0"/>
          <w:numId w:val="2"/>
        </w:numPr>
        <w:spacing w:after="40" w:before="40"/>
      </w:pPr>
      <w:r>
        <w:rPr>
          <w:rFonts w:ascii="Arial" w:cs="Arial" w:eastAsia="Arial" w:hAnsi="Arial"/>
          <w:color w:val="1A1A2E"/>
          <w:sz w:val="22"/>
          <w:szCs w:val="22"/>
        </w:rPr>
        <w:t xml:space="preserve">Familiarity and Trust: Attackers using compromised accounts, deepfake audio, or cloned UI elements exploit pre-existing trust relationships.</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2.4 Vulnerability Variability Across Populations</w:t>
      </w:r>
    </w:p>
    <w:p>
      <w:pPr>
        <w:spacing w:after="60" w:before="60"/>
        <w:jc w:val="left"/>
      </w:pPr>
      <w:r>
        <w:rPr>
          <w:rFonts w:ascii="Arial" w:cs="Arial" w:eastAsia="Arial" w:hAnsi="Arial"/>
          <w:b w:val="false"/>
          <w:bCs w:val="false"/>
          <w:i w:val="false"/>
          <w:iCs w:val="false"/>
          <w:color w:val="1A1A2E"/>
          <w:sz w:val="22"/>
          <w:szCs w:val="22"/>
        </w:rPr>
        <w:t xml:space="preserve">Susceptibility to social engineering is not uniform. Research demonstrates statistically significant variation across: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Dimension</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Higher Risk Group</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Key Factor</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Age</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Elderly (65+), Young adults (18–24)</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Digital literacy gap, overconfidence</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Geography</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Tier-2/3 cities, emerging markets</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Lower cybersecurity awareness infrastructure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Profession</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Accounting, HR, C-suite executives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High-value targets, access privileges</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Stress State</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Users under time pressure or emotional distress</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Cognitive load reduction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Digital Literacy</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First-generation smartphone users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Unfamiliarity with attack patterns</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Cultural Context</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High-trust, high-power-distance cultures</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Authority compliance norms</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3. Target Users &amp; Personas</w:t>
      </w:r>
    </w:p>
    <w:p>
      <w:pPr>
        <w:pStyle w:val="Heading2"/>
        <w:spacing w:after="80" w:before="240"/>
      </w:pPr>
      <w:r>
        <w:rPr>
          <w:rFonts w:ascii="Arial" w:cs="Arial" w:eastAsia="Arial" w:hAnsi="Arial"/>
          <w:b/>
          <w:bCs/>
          <w:color w:val="0066CC"/>
          <w:sz w:val="28"/>
          <w:szCs w:val="28"/>
        </w:rPr>
        <w:t xml:space="preserve">3.1 Individual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Arjun, 22 — Engineering Student</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Profile: </w:t>
            </w:r>
            <w:r>
              <w:rPr>
                <w:rFonts w:ascii="Arial" w:cs="Arial" w:eastAsia="Arial" w:hAnsi="Arial"/>
                <w:color w:val="1A1A2E"/>
                <w:sz w:val="21"/>
                <w:szCs w:val="21"/>
              </w:rPr>
              <w:t xml:space="preserve">First-year B.Tech student, heavy social media and gaming user</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Devices: </w:t>
            </w:r>
            <w:r>
              <w:rPr>
                <w:rFonts w:ascii="Arial" w:cs="Arial" w:eastAsia="Arial" w:hAnsi="Arial"/>
                <w:color w:val="1A1A2E"/>
                <w:sz w:val="21"/>
                <w:szCs w:val="21"/>
              </w:rPr>
              <w:t xml:space="preserve">Android phone, college laptop</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Risk Profile: </w:t>
            </w:r>
            <w:r>
              <w:rPr>
                <w:rFonts w:ascii="Arial" w:cs="Arial" w:eastAsia="Arial" w:hAnsi="Arial"/>
                <w:color w:val="1A1A2E"/>
                <w:sz w:val="21"/>
                <w:szCs w:val="21"/>
              </w:rPr>
              <w:t xml:space="preserve">Overconfident in digital skills, susceptible to gaming account scams, fake job offers, academic credential phishing</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Needs: </w:t>
            </w:r>
            <w:r>
              <w:rPr>
                <w:rFonts w:ascii="Arial" w:cs="Arial" w:eastAsia="Arial" w:hAnsi="Arial"/>
                <w:color w:val="1A1A2E"/>
                <w:sz w:val="21"/>
                <w:szCs w:val="21"/>
              </w:rPr>
              <w:t xml:space="preserve">Real-time mobile protection, educational micro-interventions, no complex UX</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Pain Point: </w:t>
            </w:r>
            <w:r>
              <w:rPr>
                <w:rFonts w:ascii="Arial" w:cs="Arial" w:eastAsia="Arial" w:hAnsi="Arial"/>
                <w:color w:val="1A1A2E"/>
                <w:sz w:val="21"/>
                <w:szCs w:val="21"/>
              </w:rPr>
              <w:t xml:space="preserve">Fell for a Steam wallet scam that cost him ₹5,000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Meena, 58 — Bank Employee (Non-Technical)</w:t>
            </w:r>
          </w:p>
        </w:tc>
      </w:tr>
      <w:tr>
        <w:tc>
          <w:tcPr>
            <w:tcW w:type="dxa" w:w="9360"/>
            <w:tcBorders>
              <w:top w:val="single" w:color="CCDDEE" w:sz="1"/>
              <w:left w:val="single" w:color="CCDDEE" w:sz="1"/>
              <w:bottom w:val="single" w:color="CCDDEE" w:sz="1"/>
              <w:right w:val="single" w:color="CCDDEE" w:sz="1"/>
            </w:tcBorders>
            <w:shd w:fill="E6F5EE" w:val="clear"/>
            <w:tcMar>
              <w:top w:type="dxa" w:w="70"/>
              <w:left w:type="dxa" w:w="180"/>
              <w:bottom w:type="dxa" w:w="70"/>
              <w:right w:type="dxa" w:w="180"/>
            </w:tcMar>
          </w:tcPr>
          <w:p>
            <w:r>
              <w:rPr>
                <w:rFonts w:ascii="Arial" w:cs="Arial" w:eastAsia="Arial" w:hAnsi="Arial"/>
                <w:b/>
                <w:bCs/>
                <w:color w:val="1A3A5C"/>
                <w:sz w:val="21"/>
                <w:szCs w:val="21"/>
              </w:rPr>
              <w:t xml:space="preserve">Profile: </w:t>
            </w:r>
            <w:r>
              <w:rPr>
                <w:rFonts w:ascii="Arial" w:cs="Arial" w:eastAsia="Arial" w:hAnsi="Arial"/>
                <w:color w:val="1A1A2E"/>
                <w:sz w:val="21"/>
                <w:szCs w:val="21"/>
              </w:rPr>
              <w:t xml:space="preserve">Branch operations manager, limited cybersecurity training, high institutional access</w:t>
            </w:r>
          </w:p>
        </w:tc>
      </w:tr>
      <w:tr>
        <w:tc>
          <w:tcPr>
            <w:tcW w:type="dxa" w:w="9360"/>
            <w:tcBorders>
              <w:top w:val="single" w:color="CCDDEE" w:sz="1"/>
              <w:left w:val="single" w:color="CCDDEE" w:sz="1"/>
              <w:bottom w:val="single" w:color="CCDDEE" w:sz="1"/>
              <w:right w:val="single" w:color="CCDDEE" w:sz="1"/>
            </w:tcBorders>
            <w:shd w:fill="E6F5EE" w:val="clear"/>
            <w:tcMar>
              <w:top w:type="dxa" w:w="70"/>
              <w:left w:type="dxa" w:w="180"/>
              <w:bottom w:type="dxa" w:w="70"/>
              <w:right w:type="dxa" w:w="180"/>
            </w:tcMar>
          </w:tcPr>
          <w:p>
            <w:r>
              <w:rPr>
                <w:rFonts w:ascii="Arial" w:cs="Arial" w:eastAsia="Arial" w:hAnsi="Arial"/>
                <w:b/>
                <w:bCs/>
                <w:color w:val="1A3A5C"/>
                <w:sz w:val="21"/>
                <w:szCs w:val="21"/>
              </w:rPr>
              <w:t xml:space="preserve">Devices: </w:t>
            </w:r>
            <w:r>
              <w:rPr>
                <w:rFonts w:ascii="Arial" w:cs="Arial" w:eastAsia="Arial" w:hAnsi="Arial"/>
                <w:color w:val="1A1A2E"/>
                <w:sz w:val="21"/>
                <w:szCs w:val="21"/>
              </w:rPr>
              <w:t xml:space="preserve">Windows workstation, personal Android phone</w:t>
            </w:r>
          </w:p>
        </w:tc>
      </w:tr>
      <w:tr>
        <w:tc>
          <w:tcPr>
            <w:tcW w:type="dxa" w:w="9360"/>
            <w:tcBorders>
              <w:top w:val="single" w:color="CCDDEE" w:sz="1"/>
              <w:left w:val="single" w:color="CCDDEE" w:sz="1"/>
              <w:bottom w:val="single" w:color="CCDDEE" w:sz="1"/>
              <w:right w:val="single" w:color="CCDDEE" w:sz="1"/>
            </w:tcBorders>
            <w:shd w:fill="E6F5EE" w:val="clear"/>
            <w:tcMar>
              <w:top w:type="dxa" w:w="70"/>
              <w:left w:type="dxa" w:w="180"/>
              <w:bottom w:type="dxa" w:w="70"/>
              <w:right w:type="dxa" w:w="180"/>
            </w:tcMar>
          </w:tcPr>
          <w:p>
            <w:r>
              <w:rPr>
                <w:rFonts w:ascii="Arial" w:cs="Arial" w:eastAsia="Arial" w:hAnsi="Arial"/>
                <w:b/>
                <w:bCs/>
                <w:color w:val="1A3A5C"/>
                <w:sz w:val="21"/>
                <w:szCs w:val="21"/>
              </w:rPr>
              <w:t xml:space="preserve">Risk Profile: </w:t>
            </w:r>
            <w:r>
              <w:rPr>
                <w:rFonts w:ascii="Arial" w:cs="Arial" w:eastAsia="Arial" w:hAnsi="Arial"/>
                <w:color w:val="1A1A2E"/>
                <w:sz w:val="21"/>
                <w:szCs w:val="21"/>
              </w:rPr>
              <w:t xml:space="preserve">Highly susceptible to CEO fraud, wire transfer scams, KYC phishing, authority-based manipulation</w:t>
            </w:r>
          </w:p>
        </w:tc>
      </w:tr>
      <w:tr>
        <w:tc>
          <w:tcPr>
            <w:tcW w:type="dxa" w:w="9360"/>
            <w:tcBorders>
              <w:top w:val="single" w:color="CCDDEE" w:sz="1"/>
              <w:left w:val="single" w:color="CCDDEE" w:sz="1"/>
              <w:bottom w:val="single" w:color="CCDDEE" w:sz="1"/>
              <w:right w:val="single" w:color="CCDDEE" w:sz="1"/>
            </w:tcBorders>
            <w:shd w:fill="E6F5EE" w:val="clear"/>
            <w:tcMar>
              <w:top w:type="dxa" w:w="70"/>
              <w:left w:type="dxa" w:w="180"/>
              <w:bottom w:type="dxa" w:w="70"/>
              <w:right w:type="dxa" w:w="180"/>
            </w:tcMar>
          </w:tcPr>
          <w:p>
            <w:r>
              <w:rPr>
                <w:rFonts w:ascii="Arial" w:cs="Arial" w:eastAsia="Arial" w:hAnsi="Arial"/>
                <w:b/>
                <w:bCs/>
                <w:color w:val="1A3A5C"/>
                <w:sz w:val="21"/>
                <w:szCs w:val="21"/>
              </w:rPr>
              <w:t xml:space="preserve">Needs: </w:t>
            </w:r>
            <w:r>
              <w:rPr>
                <w:rFonts w:ascii="Arial" w:cs="Arial" w:eastAsia="Arial" w:hAnsi="Arial"/>
                <w:color w:val="1A1A2E"/>
                <w:sz w:val="21"/>
                <w:szCs w:val="21"/>
              </w:rPr>
              <w:t xml:space="preserve">Workplace protection, low-friction warnings, clear action guidance</w:t>
            </w:r>
          </w:p>
        </w:tc>
      </w:tr>
      <w:tr>
        <w:tc>
          <w:tcPr>
            <w:tcW w:type="dxa" w:w="9360"/>
            <w:tcBorders>
              <w:top w:val="single" w:color="CCDDEE" w:sz="1"/>
              <w:left w:val="single" w:color="CCDDEE" w:sz="1"/>
              <w:bottom w:val="single" w:color="CCDDEE" w:sz="1"/>
              <w:right w:val="single" w:color="CCDDEE" w:sz="1"/>
            </w:tcBorders>
            <w:shd w:fill="E6F5EE" w:val="clear"/>
            <w:tcMar>
              <w:top w:type="dxa" w:w="70"/>
              <w:left w:type="dxa" w:w="180"/>
              <w:bottom w:type="dxa" w:w="70"/>
              <w:right w:type="dxa" w:w="180"/>
            </w:tcMar>
          </w:tcPr>
          <w:p>
            <w:r>
              <w:rPr>
                <w:rFonts w:ascii="Arial" w:cs="Arial" w:eastAsia="Arial" w:hAnsi="Arial"/>
                <w:b/>
                <w:bCs/>
                <w:color w:val="1A3A5C"/>
                <w:sz w:val="21"/>
                <w:szCs w:val="21"/>
              </w:rPr>
              <w:t xml:space="preserve">Pain Point: </w:t>
            </w:r>
            <w:r>
              <w:rPr>
                <w:rFonts w:ascii="Arial" w:cs="Arial" w:eastAsia="Arial" w:hAnsi="Arial"/>
                <w:color w:val="1A1A2E"/>
                <w:sz w:val="21"/>
                <w:szCs w:val="21"/>
              </w:rPr>
              <w:t xml:space="preserve">Almost approved a fraudulent vendor payment after a spoofed CFO email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Ramesh, 71 — Retired Government Officer</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Profile: </w:t>
            </w:r>
            <w:r>
              <w:rPr>
                <w:rFonts w:ascii="Arial" w:cs="Arial" w:eastAsia="Arial" w:hAnsi="Arial"/>
                <w:color w:val="1A1A2E"/>
                <w:sz w:val="21"/>
                <w:szCs w:val="21"/>
              </w:rPr>
              <w:t xml:space="preserve">Tech-naive smartphone user, limited data literacy, high financial savings</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Devices: </w:t>
            </w:r>
            <w:r>
              <w:rPr>
                <w:rFonts w:ascii="Arial" w:cs="Arial" w:eastAsia="Arial" w:hAnsi="Arial"/>
                <w:color w:val="1A1A2E"/>
                <w:sz w:val="21"/>
                <w:szCs w:val="21"/>
              </w:rPr>
              <w:t xml:space="preserve">Basic Android phone (gifted by family)</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Risk Profile: </w:t>
            </w:r>
            <w:r>
              <w:rPr>
                <w:rFonts w:ascii="Arial" w:cs="Arial" w:eastAsia="Arial" w:hAnsi="Arial"/>
                <w:color w:val="1A1A2E"/>
                <w:sz w:val="21"/>
                <w:szCs w:val="21"/>
              </w:rPr>
              <w:t xml:space="preserve">Extremely vulnerable to vishing, OTP sharing, 'KYC update' scams, fake bank portals</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Needs: </w:t>
            </w:r>
            <w:r>
              <w:rPr>
                <w:rFonts w:ascii="Arial" w:cs="Arial" w:eastAsia="Arial" w:hAnsi="Arial"/>
                <w:color w:val="1A1A2E"/>
                <w:sz w:val="21"/>
                <w:szCs w:val="21"/>
              </w:rPr>
              <w:t xml:space="preserve">Simplified alerts, family dashboard access, Hindi/regional language support</w:t>
            </w:r>
          </w:p>
        </w:tc>
      </w:tr>
      <w:tr>
        <w:tc>
          <w:tcPr>
            <w:tcW w:type="dxa" w:w="9360"/>
            <w:tcBorders>
              <w:top w:val="single" w:color="CCDDEE" w:sz="1"/>
              <w:left w:val="single" w:color="CCDDEE" w:sz="1"/>
              <w:bottom w:val="single" w:color="CCDDEE" w:sz="1"/>
              <w:right w:val="single" w:color="CCDDEE" w:sz="1"/>
            </w:tcBorders>
            <w:shd w:fill="E8F0FA" w:val="clear"/>
            <w:tcMar>
              <w:top w:type="dxa" w:w="70"/>
              <w:left w:type="dxa" w:w="180"/>
              <w:bottom w:type="dxa" w:w="70"/>
              <w:right w:type="dxa" w:w="180"/>
            </w:tcMar>
          </w:tcPr>
          <w:p>
            <w:r>
              <w:rPr>
                <w:rFonts w:ascii="Arial" w:cs="Arial" w:eastAsia="Arial" w:hAnsi="Arial"/>
                <w:b/>
                <w:bCs/>
                <w:color w:val="1A3A5C"/>
                <w:sz w:val="21"/>
                <w:szCs w:val="21"/>
              </w:rPr>
              <w:t xml:space="preserve">Pain Point: </w:t>
            </w:r>
            <w:r>
              <w:rPr>
                <w:rFonts w:ascii="Arial" w:cs="Arial" w:eastAsia="Arial" w:hAnsi="Arial"/>
                <w:color w:val="1A1A2E"/>
                <w:sz w:val="21"/>
                <w:szCs w:val="21"/>
              </w:rPr>
              <w:t xml:space="preserve">Lost ₹45,000 to a fake TRAI call threatening number deactivation</w:t>
            </w:r>
          </w:p>
        </w:tc>
      </w:tr>
    </w:tbl>
    <w:p>
      <w:pPr>
        <w:spacing w:after="0" w:before="120"/>
      </w:pPr>
      <w:r>
        <w:t xml:space="preserve"/>
      </w:r>
    </w:p>
    <w:p>
      <w:pPr>
        <w:pStyle w:val="Heading2"/>
        <w:spacing w:after="80" w:before="240"/>
      </w:pPr>
      <w:r>
        <w:rPr>
          <w:rFonts w:ascii="Arial" w:cs="Arial" w:eastAsia="Arial" w:hAnsi="Arial"/>
          <w:b/>
          <w:bCs/>
          <w:color w:val="0066CC"/>
          <w:sz w:val="28"/>
          <w:szCs w:val="28"/>
        </w:rPr>
        <w:t xml:space="preserve">3.2 Organizational Users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Persona</w:t>
            </w:r>
          </w:p>
        </w:tc>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Organization Type</w:t>
            </w:r>
          </w:p>
        </w:tc>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Primary Risk</w:t>
            </w:r>
          </w:p>
        </w:tc>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Value Sought</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CISOs / Security Teams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Enterprise (500+ employees)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Insider phishing, BEC attacks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Employee vulnerability analytics, policy automation</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IT Administrators</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SMBs (50–500 employees)</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Credential harvesting, ransomware delivery</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Centralized risk dashboard, threat alerts</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Compliance Officers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Banks, NBFCs, Insurance firms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Regulatory violations from social engineering</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Audit trails, DPDPA/GDPR compliance reporting</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HR &amp; L&amp;D Teams</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Any large organization</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New employee onboarding vulnerability</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Training targeting, behavioral improvement tracking</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Fraud Prevention Teams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Banks, Fintech, E-commerce</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Account takeover, transaction fraud</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Real-time behavioral risk signals, API integration</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4. User Stories</w:t>
      </w:r>
    </w:p>
    <w:p>
      <w:pPr>
        <w:spacing w:after="60" w:before="60"/>
        <w:jc w:val="left"/>
      </w:pPr>
      <w:r>
        <w:rPr>
          <w:rFonts w:ascii="Arial" w:cs="Arial" w:eastAsia="Arial" w:hAnsi="Arial"/>
          <w:b w:val="false"/>
          <w:bCs w:val="false"/>
          <w:i/>
          <w:iCs/>
          <w:color w:val="1A1A2E"/>
          <w:sz w:val="22"/>
          <w:szCs w:val="22"/>
        </w:rPr>
        <w:t xml:space="preserve">The following 12 real-world scenarios illustrate the full behavioral spectrum TrustNet AI is designed to address.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US-01: </w:t>
            </w:r>
            <w:r>
              <w:rPr>
                <w:rFonts w:ascii="Arial" w:cs="Arial" w:eastAsia="Arial" w:hAnsi="Arial"/>
                <w:b/>
                <w:bCs/>
                <w:color w:val="FFFFFF"/>
                <w:sz w:val="22"/>
                <w:szCs w:val="22"/>
              </w:rPr>
              <w:t xml:space="preserve">Real-Time Phishing Email Detection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Meena (bank employee), I receive an email claiming to be from the RBI asking me to verify my digital signature on a portal link within 2 hours.</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TrustNet AI detects linguistic urgency markers, authority impersonation, and suspicious domain mismatch, and presents a risk-layered warning before I click.</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avoid clicking the link and report the email, preventing credential compromise of a bank system account.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US-02: </w:t>
            </w:r>
            <w:r>
              <w:rPr>
                <w:rFonts w:ascii="Arial" w:cs="Arial" w:eastAsia="Arial" w:hAnsi="Arial"/>
                <w:b/>
                <w:bCs/>
                <w:color w:val="FFFFFF"/>
                <w:sz w:val="22"/>
                <w:szCs w:val="22"/>
              </w:rPr>
              <w:t xml:space="preserve">OTP Sharing Prevention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Ramesh (retired user), I receive a call from someone claiming to be a 'Jio helpdesk agent' threatening to disconnect my SIM unless I share the OTP sent to my phone.</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The TrustNet mobile app recognizes the incoming call pattern, detects the OTP SMS received in parallel, triggers a contextual warning overlay on the OTP message.</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am alerted that legitimate carriers never ask for OTPs, preventing ₹50,000 bank account drain.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US-03: </w:t>
            </w:r>
            <w:r>
              <w:rPr>
                <w:rFonts w:ascii="Arial" w:cs="Arial" w:eastAsia="Arial" w:hAnsi="Arial"/>
                <w:b/>
                <w:bCs/>
                <w:color w:val="FFFFFF"/>
                <w:sz w:val="22"/>
                <w:szCs w:val="22"/>
              </w:rPr>
              <w:t xml:space="preserve">CEO Fraud / BEC Protection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an accounts payable executive, I receive a WhatsApp message from a number spoofing my CEO's name, asking for an urgent wire transfer to a new vendor.</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TrustNet detects spoofed contact patterns, cross-references organizational approval workflow templates, and flags the out-of-band channel + urgency combination as high-risk.</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pause, verify through official channels, and discover the fraud before initiating any transfer.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US-04: </w:t>
            </w:r>
            <w:r>
              <w:rPr>
                <w:rFonts w:ascii="Arial" w:cs="Arial" w:eastAsia="Arial" w:hAnsi="Arial"/>
                <w:b/>
                <w:bCs/>
                <w:color w:val="FFFFFF"/>
                <w:sz w:val="22"/>
                <w:szCs w:val="22"/>
              </w:rPr>
              <w:t xml:space="preserve">Adaptive Warning Calibration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Arjun (student), I frequently dismiss low-priority TrustNet warnings because they appear overly cautious for my usage patterns.</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The RL engine observes my dismissal behavior, adjusts warning thresholds for low-risk scenarios, and reserves high-friction interventions for genuinely dangerous situations.</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experience fewer false positives while still being strongly alerted for real threats — improving both user satisfaction and protection.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US-05: </w:t>
            </w:r>
            <w:r>
              <w:rPr>
                <w:rFonts w:ascii="Arial" w:cs="Arial" w:eastAsia="Arial" w:hAnsi="Arial"/>
                <w:b/>
                <w:bCs/>
                <w:color w:val="FFFFFF"/>
                <w:sz w:val="22"/>
                <w:szCs w:val="22"/>
              </w:rPr>
              <w:t xml:space="preserve">Deepfake Audio Warning</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 CFO, I receive a voice call from what sounds like my company's board chairman asking me to authorize an emergency fund transfer.</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TrustNet's mobile app applies acoustic anomaly detection on the live audio stream, flags voice deepfake probability above 78%, and presents a verification prompt.</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terminate the call and initiate a callback through the official number, exposing the deepfake fraud attempt.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US-06: </w:t>
            </w:r>
            <w:r>
              <w:rPr>
                <w:rFonts w:ascii="Arial" w:cs="Arial" w:eastAsia="Arial" w:hAnsi="Arial"/>
                <w:b/>
                <w:bCs/>
                <w:color w:val="FFFFFF"/>
                <w:sz w:val="22"/>
                <w:szCs w:val="22"/>
              </w:rPr>
              <w:t xml:space="preserve">Organizational Vulnerability Dashboard</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 CISO at a 2,000-employee company, I need to understand which departments are most vulnerable to phishing at any given time.</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The admin dashboard shows department-level behavioral risk heatmaps, individual vulnerability score distributions, attack type affinity clusters, and improvement trend lines.</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can direct targeted security training resources to Finance and HR departments in Q3, reducing company-wide click-through rate on simulated phishing by 40%.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US-07: </w:t>
            </w:r>
            <w:r>
              <w:rPr>
                <w:rFonts w:ascii="Arial" w:cs="Arial" w:eastAsia="Arial" w:hAnsi="Arial"/>
                <w:b/>
                <w:bCs/>
                <w:color w:val="FFFFFF"/>
                <w:sz w:val="22"/>
                <w:szCs w:val="22"/>
              </w:rPr>
              <w:t xml:space="preserve">Romance Scam Detection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 45-year-old widowed professional, I have been exchanging messages with someone I met on a dating app who has gradually asked me to invest in a crypto platform.</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TrustNet detects conversation escalation patterns consistent with romance scam playbooks: rapid intimacy building, offshore investment requests, deliberate identity obfuscation.</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am alerted to the scam pattern before transferring money, with explanations and a link to report the account.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US-08: </w:t>
            </w:r>
            <w:r>
              <w:rPr>
                <w:rFonts w:ascii="Arial" w:cs="Arial" w:eastAsia="Arial" w:hAnsi="Arial"/>
                <w:b/>
                <w:bCs/>
                <w:color w:val="FFFFFF"/>
                <w:sz w:val="22"/>
                <w:szCs w:val="22"/>
              </w:rPr>
              <w:t xml:space="preserve">Global Risk Map Awareness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 cybersecurity analyst at a national CERT, I want to understand the current geographic distribution of active social engineering campaigns.</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The Global Risk Map shows real-time heat distribution of attack type frequencies, per-region vulnerability scores, and emerging attack pattern alerts — all derived from anonymized federated data.</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can issue targeted public advisories and coordinate with ISPs in high-risk regions proactively.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US-09: </w:t>
            </w:r>
            <w:r>
              <w:rPr>
                <w:rFonts w:ascii="Arial" w:cs="Arial" w:eastAsia="Arial" w:hAnsi="Arial"/>
                <w:b/>
                <w:bCs/>
                <w:color w:val="FFFFFF"/>
                <w:sz w:val="22"/>
                <w:szCs w:val="22"/>
              </w:rPr>
              <w:t xml:space="preserve">Multilingual Scam Detection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 Tamil-speaking user in Chennai, I receive an SMS in Tamil claiming I have won an IRCTC lottery and must share my bank details to claim.</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TrustNet's multilingual NLP pipeline detects scam intent in Tamil, maps it to the lottery-scam taxonomy, and triggers a warning in Tamil on my device.</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am protected regardless of the language of the attack, closing a critical gap in current English-centric security tools.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US-10: </w:t>
            </w:r>
            <w:r>
              <w:rPr>
                <w:rFonts w:ascii="Arial" w:cs="Arial" w:eastAsia="Arial" w:hAnsi="Arial"/>
                <w:b/>
                <w:bCs/>
                <w:color w:val="FFFFFF"/>
                <w:sz w:val="22"/>
                <w:szCs w:val="22"/>
              </w:rPr>
              <w:t xml:space="preserve">Vulnerability Score Self-Awareness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 new employee at a fintech company, I want to understand my own susceptibility to cyber attacks so I can improve.</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My personal TrustNet dashboard shows my vulnerability score, the attack types I am most susceptible to, a personalized micro-training curriculum, and week-over-week improvement tracking.</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feel engaged rather than surveilled, and my vulnerability score drops from 72 to 41 over three months of guided behavioral improvement.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US-11: </w:t>
            </w:r>
            <w:r>
              <w:rPr>
                <w:rFonts w:ascii="Arial" w:cs="Arial" w:eastAsia="Arial" w:hAnsi="Arial"/>
                <w:b/>
                <w:bCs/>
                <w:color w:val="FFFFFF"/>
                <w:sz w:val="22"/>
                <w:szCs w:val="22"/>
              </w:rPr>
              <w:t xml:space="preserve">Privacy-Preserving Group Learning</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 TrustNet user, I am concerned that my browsing behavior and message content are being sent to a central server.</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TrustNet's architecture ensures all NLP feature extraction and behavioral modeling happens entirely on my device. Only anonymized, differentially-private gradient updates are contributed to global model improvement.</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I benefit from collective intelligence without any personal data ever leaving my device.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AACCEE"/>
                <w:sz w:val="22"/>
                <w:szCs w:val="22"/>
              </w:rPr>
              <w:t xml:space="preserve">US-12: </w:t>
            </w:r>
            <w:r>
              <w:rPr>
                <w:rFonts w:ascii="Arial" w:cs="Arial" w:eastAsia="Arial" w:hAnsi="Arial"/>
                <w:b/>
                <w:bCs/>
                <w:color w:val="FFFFFF"/>
                <w:sz w:val="22"/>
                <w:szCs w:val="22"/>
              </w:rPr>
              <w:t xml:space="preserve">Bank Integration API Alert</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b/>
                <w:bCs/>
                <w:color w:val="0066CC"/>
                <w:sz w:val="20"/>
                <w:szCs w:val="20"/>
              </w:rPr>
              <w:t xml:space="preserve">AS A USER: </w:t>
            </w:r>
            <w:r>
              <w:rPr>
                <w:rFonts w:ascii="Arial" w:cs="Arial" w:eastAsia="Arial" w:hAnsi="Arial"/>
                <w:color w:val="1A1A2E"/>
                <w:sz w:val="20"/>
                <w:szCs w:val="20"/>
              </w:rPr>
              <w:t xml:space="preserve">As a fraud analyst at an NBFC, I want TrustNet's behavioral risk scores to feed into our transaction approval workflows.</w:t>
            </w:r>
          </w:p>
          <w:p>
            <w:pPr>
              <w:spacing w:before="60"/>
            </w:pPr>
            <w:r>
              <w:rPr>
                <w:rFonts w:ascii="Arial" w:cs="Arial" w:eastAsia="Arial" w:hAnsi="Arial"/>
                <w:b/>
                <w:bCs/>
                <w:color w:val="00A86B"/>
                <w:sz w:val="20"/>
                <w:szCs w:val="20"/>
              </w:rPr>
              <w:t xml:space="preserve">I WANT: </w:t>
            </w:r>
            <w:r>
              <w:rPr>
                <w:rFonts w:ascii="Arial" w:cs="Arial" w:eastAsia="Arial" w:hAnsi="Arial"/>
                <w:color w:val="1A1A2E"/>
                <w:sz w:val="20"/>
                <w:szCs w:val="20"/>
              </w:rPr>
              <w:t xml:space="preserve">TrustNet exposes a Privacy-Safe Risk Signal API that delivers aggregated behavioral risk indicators for opted-in users, without transmitting individual-level data.</w:t>
            </w:r>
          </w:p>
          <w:p>
            <w:pPr>
              <w:spacing w:before="60"/>
            </w:pPr>
            <w:r>
              <w:rPr>
                <w:rFonts w:ascii="Arial" w:cs="Arial" w:eastAsia="Arial" w:hAnsi="Arial"/>
                <w:b/>
                <w:bCs/>
                <w:color w:val="1A3A5C"/>
                <w:sz w:val="20"/>
                <w:szCs w:val="20"/>
              </w:rPr>
              <w:t xml:space="preserve">SO THAT: </w:t>
            </w:r>
            <w:r>
              <w:rPr>
                <w:rFonts w:ascii="Arial" w:cs="Arial" w:eastAsia="Arial" w:hAnsi="Arial"/>
                <w:color w:val="1A1A2E"/>
                <w:sz w:val="20"/>
                <w:szCs w:val="20"/>
              </w:rPr>
              <w:t xml:space="preserve">My fraud detection system can apply dynamic friction (OTP re-verification, manual review) for high-risk behavioral states, reducing transaction fraud by 25%.</w:t>
            </w:r>
          </w:p>
        </w:tc>
      </w:tr>
    </w:tbl>
    <w:p>
      <w:pPr>
        <w:spacing w:after="0" w:before="80"/>
      </w:pPr>
      <w:r>
        <w:t xml:space="preserve"/>
      </w:r>
    </w:p>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5. Functional Requirements</w:t>
      </w:r>
    </w:p>
    <w:p>
      <w:pPr>
        <w:pStyle w:val="Heading2"/>
        <w:spacing w:after="80" w:before="240"/>
      </w:pPr>
      <w:r>
        <w:rPr>
          <w:rFonts w:ascii="Arial" w:cs="Arial" w:eastAsia="Arial" w:hAnsi="Arial"/>
          <w:b/>
          <w:bCs/>
          <w:color w:val="0066CC"/>
          <w:sz w:val="28"/>
          <w:szCs w:val="28"/>
        </w:rPr>
        <w:t xml:space="preserve">5.1 Chrome Browser Extension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800"/>
      </w:tblGrid>
      <w:tr>
        <w:tc>
          <w:tcPr>
            <w:tcW w:type="dxa" w:w="12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 ID</w:t>
            </w:r>
          </w:p>
        </w:tc>
        <w:tc>
          <w:tcPr>
            <w:tcW w:type="dxa" w:w="22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w:t>
            </w:r>
          </w:p>
        </w:tc>
        <w:tc>
          <w:tcPr>
            <w:tcW w:type="dxa" w:w="41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8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Priority</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EXT-01</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Real-Time URL Analysis</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NLP + domain analysis on every hyperlink before user clicks; shows risk badge</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EXT-02</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Email Content Scanning</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Extracts urgency, authority, and manipulation features from Gmail/Outlook DOM</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EXT-03</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Vulnerability Score Display</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Persistent score widget showing current user risk state (1–100)</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EXT-04</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Contextual Warning Overlays</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Modal/banner warnings at point-of-action (button click, form submit)</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EXT-05</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Form Field Protection</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Detects OTP/password entry on unverified domains; blocks or warns</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EXT-06</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Federated Learning Client</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Computes local model gradients; contributes encrypted updates to global model</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EXT-07</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Attack Taxonomy Tagging</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Classifies detected threats: phishing, BEC, impersonation, etc.</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EXT-08</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Incident Reporting</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One-click report to TrustNet threat feed + optional CERT forwarding</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EXT-09</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Explanation Engine</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"Why am I seeing this warning?" — human-readable AI reasoning</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EXT-10</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Local Differential Privacy</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Adds calibrated Gaussian noise to gradient updates before transmission</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EXT-11</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Offline Mode</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Core vulnerability scoring works without internet (local model inference)</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P2</w:t>
            </w:r>
          </w:p>
        </w:tc>
      </w:tr>
    </w:tbl>
    <w:p>
      <w:pPr>
        <w:spacing w:after="0" w:before="120"/>
      </w:pPr>
      <w:r>
        <w:t xml:space="preserve"/>
      </w:r>
    </w:p>
    <w:p>
      <w:pPr>
        <w:pStyle w:val="Heading2"/>
        <w:spacing w:after="80" w:before="240"/>
      </w:pPr>
      <w:r>
        <w:rPr>
          <w:rFonts w:ascii="Arial" w:cs="Arial" w:eastAsia="Arial" w:hAnsi="Arial"/>
          <w:b/>
          <w:bCs/>
          <w:color w:val="0066CC"/>
          <w:sz w:val="28"/>
          <w:szCs w:val="28"/>
        </w:rPr>
        <w:t xml:space="preserve">5.2 Mobile Application (Android &amp; iOS)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800"/>
      </w:tblGrid>
      <w:tr>
        <w:tc>
          <w:tcPr>
            <w:tcW w:type="dxa" w:w="12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 ID</w:t>
            </w:r>
          </w:p>
        </w:tc>
        <w:tc>
          <w:tcPr>
            <w:tcW w:type="dxa" w:w="22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w:t>
            </w:r>
          </w:p>
        </w:tc>
        <w:tc>
          <w:tcPr>
            <w:tcW w:type="dxa" w:w="41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8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Priority</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MOB-01</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SMS Threat Detection</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Real-time scan of incoming SMS for scam patterns; works without internet</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MOB-02</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Call Screening</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Identifies known scam numbers, spoofed caller IDs, vishing patterns</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MOB-03</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OTP Interlock</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Detects concurrent OTP arrival + active call; triggers multi-step confirmation</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MOB-04</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App Impersonation Detection</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Detects UI cloning and fake banking apps installed on device</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MOB-05</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Deepfake Voice Detection</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On-device acoustic model flags synthetic voice characteristics</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MOB-06</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Behavioral Biometrics</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Touch pressure, typing speed, scroll velocity as anomaly signals</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MOB-07</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Regional Language NLP</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Scam detection in 22 Indian languages + 40 global languages</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MOB-08</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Family Guard Mode</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Caregiver can monitor elderly family member's vulnerability alerts</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MOB-09</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Vulnerability Score App Widget</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Home screen widget showing current personal risk score</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P2</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MOB-10</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Offline Scam Pattern DB</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Curated offline database of 50,000+ scam patterns (updated weekly)</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bl>
    <w:p>
      <w:pPr>
        <w:spacing w:after="0" w:before="120"/>
      </w:pPr>
      <w:r>
        <w:t xml:space="preserve"/>
      </w:r>
    </w:p>
    <w:p>
      <w:pPr>
        <w:pStyle w:val="Heading2"/>
        <w:spacing w:after="80" w:before="240"/>
      </w:pPr>
      <w:r>
        <w:rPr>
          <w:rFonts w:ascii="Arial" w:cs="Arial" w:eastAsia="Arial" w:hAnsi="Arial"/>
          <w:b/>
          <w:bCs/>
          <w:color w:val="0066CC"/>
          <w:sz w:val="28"/>
          <w:szCs w:val="28"/>
        </w:rPr>
        <w:t xml:space="preserve">5.3 Admin Dashboard (B2B SaaS)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800"/>
      </w:tblGrid>
      <w:tr>
        <w:tc>
          <w:tcPr>
            <w:tcW w:type="dxa" w:w="12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 ID</w:t>
            </w:r>
          </w:p>
        </w:tc>
        <w:tc>
          <w:tcPr>
            <w:tcW w:type="dxa" w:w="22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w:t>
            </w:r>
          </w:p>
        </w:tc>
        <w:tc>
          <w:tcPr>
            <w:tcW w:type="dxa" w:w="41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8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Priority</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DASH-01</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Org Vulnerability Heatmap</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Department-level risk distribution with drill-down to role type</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DASH-02</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Attack Type Affinity Analysis</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Which attack types affect which employee segments most</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DASH-03</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Behavioral Trend Lines</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Rolling 30/90/180-day vulnerability improvement tracking</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DASH-04</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Policy Automation</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Auto-escalate warnings for high-risk users, enforce MFA, restrict access</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DASH-05</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Simulated Phishing Campaigns</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Internal phishing simulation seeded from real TrustNet threat data</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DASH-06</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Training Targeting</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Auto-assign security training modules based on individual vulnerability profile</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DASH-07</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Risk Signal API</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REST API exposing anonymized behavioral risk scores for SIEM/SOAR integration</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DASH-08</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Incident Timeline</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Chronological view of detected threats, user actions, outcomes per employee</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P2</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DASH-09</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Compliance Reports</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GDPR Article 32, DPDPA, ISO 27001 Annex A compliance-ready reports</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P2</w:t>
            </w:r>
          </w:p>
        </w:tc>
      </w:tr>
    </w:tbl>
    <w:p>
      <w:pPr>
        <w:spacing w:after="0" w:before="120"/>
      </w:pPr>
      <w:r>
        <w:t xml:space="preserve"/>
      </w:r>
    </w:p>
    <w:p>
      <w:pPr>
        <w:pStyle w:val="Heading2"/>
        <w:spacing w:after="80" w:before="240"/>
      </w:pPr>
      <w:r>
        <w:rPr>
          <w:rFonts w:ascii="Arial" w:cs="Arial" w:eastAsia="Arial" w:hAnsi="Arial"/>
          <w:b/>
          <w:bCs/>
          <w:color w:val="0066CC"/>
          <w:sz w:val="28"/>
          <w:szCs w:val="28"/>
        </w:rPr>
        <w:t xml:space="preserve">5.4 Global Risk 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800"/>
      </w:tblGrid>
      <w:tr>
        <w:tc>
          <w:tcPr>
            <w:tcW w:type="dxa" w:w="12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 ID</w:t>
            </w:r>
          </w:p>
        </w:tc>
        <w:tc>
          <w:tcPr>
            <w:tcW w:type="dxa" w:w="22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w:t>
            </w:r>
          </w:p>
        </w:tc>
        <w:tc>
          <w:tcPr>
            <w:tcW w:type="dxa" w:w="41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8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Priority</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MAP-01</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Real-Time Threat Heatmap</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Country/city-level attack density map updated every 15 minutes</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MAP-02</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Attack Type Overlay</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Toggle view by attack type: phishing, vishing, BEC, romance scam, etc.</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P0</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MAP-03</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Demographic Vulnerability Clusters</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Anonymized cluster visualization of high-risk behavioral cohorts by region</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MAP-04</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Emerging Trend Alerts</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ML-detected novel attack pattern emergence with geospatial anchoring</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MAP-05</w:t>
            </w:r>
          </w:p>
        </w:tc>
        <w:tc>
          <w:tcPr>
            <w:tcW w:type="dxa" w:w="22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CERT/Government API</w:t>
            </w:r>
          </w:p>
        </w:tc>
        <w:tc>
          <w:tcPr>
            <w:tcW w:type="dxa" w:w="4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Authorized feed for national CERTs with structured threat intelligence</w:t>
            </w:r>
          </w:p>
        </w:tc>
        <w:tc>
          <w:tcPr>
            <w:tcW w:type="dxa" w:w="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P1</w:t>
            </w:r>
          </w:p>
        </w:tc>
      </w:tr>
      <w:tr>
        <w:tc>
          <w:tcPr>
            <w:tcW w:type="dxa" w:w="1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MAP-06</w:t>
            </w:r>
          </w:p>
        </w:tc>
        <w:tc>
          <w:tcPr>
            <w:tcW w:type="dxa" w:w="22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Historical Trend Timeline</w:t>
            </w:r>
          </w:p>
        </w:tc>
        <w:tc>
          <w:tcPr>
            <w:tcW w:type="dxa" w:w="4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30/90/365-day attack pattern evolution with anomaly annotations</w:t>
            </w:r>
          </w:p>
        </w:tc>
        <w:tc>
          <w:tcPr>
            <w:tcW w:type="dxa" w:w="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P2</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6. Non-Functional Requirements</w:t>
      </w:r>
    </w:p>
    <w:p>
      <w:pPr>
        <w:pStyle w:val="Heading2"/>
        <w:spacing w:after="80" w:before="240"/>
      </w:pPr>
      <w:r>
        <w:rPr>
          <w:rFonts w:ascii="Arial" w:cs="Arial" w:eastAsia="Arial" w:hAnsi="Arial"/>
          <w:b/>
          <w:bCs/>
          <w:color w:val="0066CC"/>
          <w:sz w:val="28"/>
          <w:szCs w:val="28"/>
        </w:rPr>
        <w:t xml:space="preserve">6.1 Performance &amp;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c>
          <w:tcPr>
            <w:tcW w:type="dxa" w:w="25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Component</w:t>
            </w:r>
          </w:p>
        </w:tc>
        <w:tc>
          <w:tcPr>
            <w:tcW w:type="dxa" w:w="25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Requirement</w:t>
            </w:r>
          </w:p>
        </w:tc>
        <w:tc>
          <w:tcPr>
            <w:tcW w:type="dxa" w:w="21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Target</w:t>
            </w:r>
          </w:p>
        </w:tc>
        <w:tc>
          <w:tcPr>
            <w:tcW w:type="dxa" w:w="21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Measurement Method</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Extension URL Analysis</w:t>
            </w:r>
          </w:p>
        </w:tc>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P95 response time</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&lt; 150ms</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Client-side timing API</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Mobile SMS Scan</w:t>
            </w:r>
          </w:p>
        </w:tc>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End-to-end processing time</w:t>
            </w:r>
          </w:p>
        </w:tc>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&lt; 200ms (offline model)</w:t>
            </w:r>
          </w:p>
        </w:tc>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On-device profiling</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Warning Overlay Display</w:t>
            </w:r>
          </w:p>
        </w:tc>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Time from threat detection to UI render</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&lt; 100ms</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session telemetry</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Federated Update Cycle</w:t>
            </w:r>
          </w:p>
        </w:tc>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Model aggregation frequency</w:t>
            </w:r>
          </w:p>
        </w:tc>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Every 6 hours</w:t>
            </w:r>
          </w:p>
        </w:tc>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Server-side scheduler</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Dashboard Load Time</w:t>
            </w:r>
          </w:p>
        </w:tc>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 heatmap render</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&lt; 3s (P95)</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APM tooling</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Global Map Refresh</w:t>
            </w:r>
          </w:p>
        </w:tc>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Threat data refresh cycle</w:t>
            </w:r>
          </w:p>
        </w:tc>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15-minute intervals</w:t>
            </w:r>
          </w:p>
        </w:tc>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Data pipeline monitoring</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Risk Signal API</w:t>
            </w:r>
          </w:p>
        </w:tc>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Response latency (SLA)</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&lt; 500ms P99</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API gateway metrics</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6.2 Scalability</w:t>
      </w:r>
    </w:p>
    <w:p>
      <w:pPr>
        <w:pStyle w:val="ListParagraph"/>
        <w:numPr>
          <w:ilvl w:val="0"/>
          <w:numId w:val="2"/>
        </w:numPr>
        <w:spacing w:after="40" w:before="40"/>
      </w:pPr>
      <w:r>
        <w:rPr>
          <w:rFonts w:ascii="Arial" w:cs="Arial" w:eastAsia="Arial" w:hAnsi="Arial"/>
          <w:color w:val="1A1A2E"/>
          <w:sz w:val="22"/>
          <w:szCs w:val="22"/>
        </w:rPr>
        <w:t xml:space="preserve">Federated learning infrastructure must support 10M+ participating devices with horizontal autoscaling</w:t>
      </w:r>
    </w:p>
    <w:p>
      <w:pPr>
        <w:pStyle w:val="ListParagraph"/>
        <w:numPr>
          <w:ilvl w:val="0"/>
          <w:numId w:val="2"/>
        </w:numPr>
        <w:spacing w:after="40" w:before="40"/>
      </w:pPr>
      <w:r>
        <w:rPr>
          <w:rFonts w:ascii="Arial" w:cs="Arial" w:eastAsia="Arial" w:hAnsi="Arial"/>
          <w:color w:val="1A1A2E"/>
          <w:sz w:val="22"/>
          <w:szCs w:val="22"/>
        </w:rPr>
        <w:t xml:space="preserve">Global model aggregation server must handle 100,000+ concurrent gradient submissions without staleness</w:t>
      </w:r>
    </w:p>
    <w:p>
      <w:pPr>
        <w:pStyle w:val="ListParagraph"/>
        <w:numPr>
          <w:ilvl w:val="0"/>
          <w:numId w:val="2"/>
        </w:numPr>
        <w:spacing w:after="40" w:before="40"/>
      </w:pPr>
      <w:r>
        <w:rPr>
          <w:rFonts w:ascii="Arial" w:cs="Arial" w:eastAsia="Arial" w:hAnsi="Arial"/>
          <w:color w:val="1A1A2E"/>
          <w:sz w:val="22"/>
          <w:szCs w:val="22"/>
        </w:rPr>
        <w:t xml:space="preserve">Threat intelligence database must support petabyte-scale behavioral pattern storage with sub-second query latency (columnar storage, Apache Arrow + Parquet)</w:t>
      </w:r>
    </w:p>
    <w:p>
      <w:pPr>
        <w:pStyle w:val="ListParagraph"/>
        <w:numPr>
          <w:ilvl w:val="0"/>
          <w:numId w:val="2"/>
        </w:numPr>
        <w:spacing w:after="40" w:before="40"/>
      </w:pPr>
      <w:r>
        <w:rPr>
          <w:rFonts w:ascii="Arial" w:cs="Arial" w:eastAsia="Arial" w:hAnsi="Arial"/>
          <w:color w:val="1A1A2E"/>
          <w:sz w:val="22"/>
          <w:szCs w:val="22"/>
        </w:rPr>
        <w:t xml:space="preserve">Dashboard supports 10,000+ concurrent enterprise users; auto-scales via Kubernetes HPA</w:t>
      </w:r>
    </w:p>
    <w:p>
      <w:pPr>
        <w:pStyle w:val="ListParagraph"/>
        <w:numPr>
          <w:ilvl w:val="0"/>
          <w:numId w:val="2"/>
        </w:numPr>
        <w:spacing w:after="40" w:before="40"/>
      </w:pPr>
      <w:r>
        <w:rPr>
          <w:rFonts w:ascii="Arial" w:cs="Arial" w:eastAsia="Arial" w:hAnsi="Arial"/>
          <w:color w:val="1A1A2E"/>
          <w:sz w:val="22"/>
          <w:szCs w:val="22"/>
        </w:rPr>
        <w:t xml:space="preserve">Global Risk Map handles 1M+ concurrent API reads with CDN-cached tile serving</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6.3 Privacy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Regulation</w:t>
            </w:r>
          </w:p>
        </w:tc>
        <w:tc>
          <w:tcPr>
            <w:tcW w:type="dxa" w:w="32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Requirement</w:t>
            </w:r>
          </w:p>
        </w:tc>
        <w:tc>
          <w:tcPr>
            <w:tcW w:type="dxa" w:w="36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TrustNet Compliance Mechanism</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GDPR (EU)</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Lawful basis, data minimization, right to erasure</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 raw data transmission; on-device processing; user-controlled opt-out</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CCPA (California)</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Opt-out of data sale, disclosure</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Zero-sale policy; behavioral data never leaves device</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DPDPA (India)</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Consent, purpose limitation, grievance redressal</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Explicit consent flow; multilingual consent UI; DPO contact</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HIPAA (Healthcare)</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PHI protection</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Excluded scope; healthcare orgs use enterprise-grade data isolation</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SOC 2 Type II</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Security, availability, confidentiality</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Annual third-party audit; continuous control monitoring</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6.4 Security</w:t>
      </w:r>
    </w:p>
    <w:p>
      <w:pPr>
        <w:pStyle w:val="ListParagraph"/>
        <w:numPr>
          <w:ilvl w:val="0"/>
          <w:numId w:val="2"/>
        </w:numPr>
        <w:spacing w:after="40" w:before="40"/>
      </w:pPr>
      <w:r>
        <w:rPr>
          <w:rFonts w:ascii="Arial" w:cs="Arial" w:eastAsia="Arial" w:hAnsi="Arial"/>
          <w:color w:val="1A1A2E"/>
          <w:sz w:val="22"/>
          <w:szCs w:val="22"/>
        </w:rPr>
        <w:t xml:space="preserve">All gradient updates encrypted with TLS 1.3 + AES-256-GCM in transit</w:t>
      </w:r>
    </w:p>
    <w:p>
      <w:pPr>
        <w:pStyle w:val="ListParagraph"/>
        <w:numPr>
          <w:ilvl w:val="0"/>
          <w:numId w:val="2"/>
        </w:numPr>
        <w:spacing w:after="40" w:before="40"/>
      </w:pPr>
      <w:r>
        <w:rPr>
          <w:rFonts w:ascii="Arial" w:cs="Arial" w:eastAsia="Arial" w:hAnsi="Arial"/>
          <w:color w:val="1A1A2E"/>
          <w:sz w:val="22"/>
          <w:szCs w:val="22"/>
        </w:rPr>
        <w:t xml:space="preserve">Model integrity protected by cryptographic signing (Ed25519); clients verify signatures before applying updates</w:t>
      </w:r>
    </w:p>
    <w:p>
      <w:pPr>
        <w:pStyle w:val="ListParagraph"/>
        <w:numPr>
          <w:ilvl w:val="0"/>
          <w:numId w:val="2"/>
        </w:numPr>
        <w:spacing w:after="40" w:before="40"/>
      </w:pPr>
      <w:r>
        <w:rPr>
          <w:rFonts w:ascii="Arial" w:cs="Arial" w:eastAsia="Arial" w:hAnsi="Arial"/>
          <w:color w:val="1A1A2E"/>
          <w:sz w:val="22"/>
          <w:szCs w:val="22"/>
        </w:rPr>
        <w:t xml:space="preserve">Differential privacy: epsilon ≤ 1.0 per training round; delta = 10^-7</w:t>
      </w:r>
    </w:p>
    <w:p>
      <w:pPr>
        <w:pStyle w:val="ListParagraph"/>
        <w:numPr>
          <w:ilvl w:val="0"/>
          <w:numId w:val="2"/>
        </w:numPr>
        <w:spacing w:after="40" w:before="40"/>
      </w:pPr>
      <w:r>
        <w:rPr>
          <w:rFonts w:ascii="Arial" w:cs="Arial" w:eastAsia="Arial" w:hAnsi="Arial"/>
          <w:color w:val="1A1A2E"/>
          <w:sz w:val="22"/>
          <w:szCs w:val="22"/>
        </w:rPr>
        <w:t xml:space="preserve">Secure aggregation: Bonawitz et al. protocol prevents server from learning individual gradients</w:t>
      </w:r>
    </w:p>
    <w:p>
      <w:pPr>
        <w:pStyle w:val="ListParagraph"/>
        <w:numPr>
          <w:ilvl w:val="0"/>
          <w:numId w:val="2"/>
        </w:numPr>
        <w:spacing w:after="40" w:before="40"/>
      </w:pPr>
      <w:r>
        <w:rPr>
          <w:rFonts w:ascii="Arial" w:cs="Arial" w:eastAsia="Arial" w:hAnsi="Arial"/>
          <w:color w:val="1A1A2E"/>
          <w:sz w:val="22"/>
          <w:szCs w:val="22"/>
        </w:rPr>
        <w:t xml:space="preserve">Extension permissions follow Chrome Manifest V3 minimal-permission model</w:t>
      </w:r>
    </w:p>
    <w:p>
      <w:pPr>
        <w:pStyle w:val="ListParagraph"/>
        <w:numPr>
          <w:ilvl w:val="0"/>
          <w:numId w:val="2"/>
        </w:numPr>
        <w:spacing w:after="40" w:before="40"/>
      </w:pPr>
      <w:r>
        <w:rPr>
          <w:rFonts w:ascii="Arial" w:cs="Arial" w:eastAsia="Arial" w:hAnsi="Arial"/>
          <w:color w:val="1A1A2E"/>
          <w:sz w:val="22"/>
          <w:szCs w:val="22"/>
        </w:rPr>
        <w:t xml:space="preserve">API endpoints protected by mTLS + OAuth 2.1 with PKCE; rate-limited at 1,000 req/min per client</w:t>
      </w:r>
    </w:p>
    <w:p>
      <w:pPr>
        <w:pStyle w:val="ListParagraph"/>
        <w:numPr>
          <w:ilvl w:val="0"/>
          <w:numId w:val="2"/>
        </w:numPr>
        <w:spacing w:after="40" w:before="40"/>
      </w:pPr>
      <w:r>
        <w:rPr>
          <w:rFonts w:ascii="Arial" w:cs="Arial" w:eastAsia="Arial" w:hAnsi="Arial"/>
          <w:color w:val="1A1A2E"/>
          <w:sz w:val="22"/>
          <w:szCs w:val="22"/>
        </w:rPr>
        <w:t xml:space="preserve">Red team exercises quarterly; bug bounty program at launch</w:t>
      </w:r>
    </w:p>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7. System Architecture</w:t>
      </w:r>
    </w:p>
    <w:p>
      <w:pPr>
        <w:pStyle w:val="Heading2"/>
        <w:spacing w:after="80" w:before="240"/>
      </w:pPr>
      <w:r>
        <w:rPr>
          <w:rFonts w:ascii="Arial" w:cs="Arial" w:eastAsia="Arial" w:hAnsi="Arial"/>
          <w:b/>
          <w:bCs/>
          <w:color w:val="0066CC"/>
          <w:sz w:val="28"/>
          <w:szCs w:val="28"/>
        </w:rPr>
        <w:t xml:space="preserve">7.1 End-to-End Architecture Overview</w:t>
      </w:r>
    </w:p>
    <w:p>
      <w:pPr>
        <w:spacing w:after="60" w:before="60"/>
        <w:jc w:val="left"/>
      </w:pPr>
      <w:r>
        <w:rPr>
          <w:rFonts w:ascii="Arial" w:cs="Arial" w:eastAsia="Arial" w:hAnsi="Arial"/>
          <w:b w:val="false"/>
          <w:bCs w:val="false"/>
          <w:i w:val="false"/>
          <w:iCs w:val="false"/>
          <w:color w:val="1A1A2E"/>
          <w:sz w:val="22"/>
          <w:szCs w:val="22"/>
        </w:rPr>
        <w:t xml:space="preserve">TrustNet AI is architected as a three-tier distributed system: Edge (User Devices), Regional Aggregation Nodes, and Central Intelligence Infrastructure. This architecture enables privacy-preserving learning at global scale while maintaining sub-200ms local response times.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Architecture Data Flow — Textual Diagram</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TIER 1 — EDGE LAYER (User Devices)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[Browser Extension] ──→ Local NLP Engine (DOM parsing, feature extraction)</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[Mobile App] ──────→ On-Device SMS/Call Scanner + Behavioral Biometrics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Both Edge clients ──→ Local ML Model (Inference) ──→ Warning UI</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Both Edge clients ──→ Federated Learning Client ──→ [Encrypted Gradient Δ]</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TIER 2 — REGIONAL AGGREGATION NODES (10 geographic regions)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Receive [Encrypted Gradient Δ] from Edge clients via TLS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Apply Secure Aggregation (Bonawitz Protocol) → Regional Aggregate Model</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Apply Differential Privacy Noise (Gaussian Mechanism, ε=1.0)</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Forward aggregated updates ──→ Central Aggregation Server</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TIER 3 — CENTRAL INTELLIGENCE INFRASTRUCTURE</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[FL Aggregation Server] ──→ FedAvg / FedProx → Updated Global Model</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[Threat Intelligence Engine] ←── Anonymized Behavioral Signals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[RL Policy Server] ──→ Per-user defense strategy updates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[Global Risk Map Backend] ──→ Aggregated geographic threat data</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[Admin Dashboard API] ──→ Organizational analytics (zero PII)</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MODEL DISTRIBUTION (reverse flow):</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  Central Server ──→ Regional Nodes ──→ Edge Clients (signed model updates)</w:t>
            </w:r>
          </w:p>
        </w:tc>
      </w:tr>
    </w:tbl>
    <w:p>
      <w:pPr>
        <w:spacing w:after="0" w:before="120"/>
      </w:pPr>
      <w:r>
        <w:t xml:space="preserve"/>
      </w:r>
    </w:p>
    <w:p>
      <w:pPr>
        <w:pStyle w:val="Heading2"/>
        <w:spacing w:after="80" w:before="240"/>
      </w:pPr>
      <w:r>
        <w:rPr>
          <w:rFonts w:ascii="Arial" w:cs="Arial" w:eastAsia="Arial" w:hAnsi="Arial"/>
          <w:b/>
          <w:bCs/>
          <w:color w:val="0066CC"/>
          <w:sz w:val="28"/>
          <w:szCs w:val="28"/>
        </w:rPr>
        <w:t xml:space="preserve">7.2 Microservices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Service Name</w:t>
            </w:r>
          </w:p>
        </w:tc>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Responsibility</w:t>
            </w:r>
          </w:p>
        </w:tc>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Tech Stack</w:t>
            </w:r>
          </w:p>
        </w:tc>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Scaling</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fl-aggregator</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Federated Learning model aggregation</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Python, PyTorch, gRPC</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Horizontal, GPU cluster</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dp-noise-injector</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Differential privacy noise injection</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Python, TensorFlow Privacy</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Stateless, autoscale</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threat-intel-engine</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Behavioral pattern clustering, trend detection</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Python, Spark, Kafka</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Horizontal, sharded</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rl-policy-server</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Personalized defense strategy optimization</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Python, Ray RLlib</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Per-user sharded</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global-risk-map-api</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Geographic threat aggregation + API</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Go, PostgreSQL + PostGIS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CDN-cached, horizontal</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admin-dashboard-api</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Organizational analytics API</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Node.js, GraphQL</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Horizontal</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nlp-model-registry</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Serves updated NLP models to edge clients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Python, FastAPI, S3</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CDN distribution</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identity-auth-service</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OAuth 2.1, device attestation, mTLS</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Rust, PostgreSQL</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Horizontal, HA</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event-bus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Async event routing between services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Apache Kafka, Schema Registry</w:t>
            </w:r>
          </w:p>
        </w:tc>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Partitioned, replicated</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telemetry-pipeline</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Anonymous usage metrics, model performance</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OpenTelemetry, ClickHouse</w:t>
            </w:r>
          </w:p>
        </w:tc>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Columnar, partitioned</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8. AI/ML Design</w:t>
      </w:r>
    </w:p>
    <w:p>
      <w:pPr>
        <w:pStyle w:val="Heading2"/>
        <w:spacing w:after="80" w:before="240"/>
      </w:pPr>
      <w:r>
        <w:rPr>
          <w:rFonts w:ascii="Arial" w:cs="Arial" w:eastAsia="Arial" w:hAnsi="Arial"/>
          <w:b/>
          <w:bCs/>
          <w:color w:val="0066CC"/>
          <w:sz w:val="28"/>
          <w:szCs w:val="28"/>
        </w:rPr>
        <w:t xml:space="preserve">8.1 Feature Engineering</w:t>
      </w:r>
    </w:p>
    <w:p>
      <w:pPr>
        <w:pStyle w:val="Heading3"/>
        <w:spacing w:after="60" w:before="180"/>
      </w:pPr>
      <w:r>
        <w:rPr>
          <w:rFonts w:ascii="Arial" w:cs="Arial" w:eastAsia="Arial" w:hAnsi="Arial"/>
          <w:b/>
          <w:bCs/>
          <w:color w:val="1A3A5C"/>
          <w:sz w:val="24"/>
          <w:szCs w:val="24"/>
        </w:rPr>
        <w:t xml:space="preserve">8.1.1 NLP Feature Set (Text-Based Threats)</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2999"/>
      </w:tblGrid>
      <w:tr>
        <w:tc>
          <w:tcPr>
            <w:tcW w:type="dxa" w:w="23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 Category</w:t>
            </w:r>
          </w:p>
        </w:tc>
        <w:tc>
          <w:tcPr>
            <w:tcW w:type="dxa" w:w="40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Specific Features</w:t>
            </w:r>
          </w:p>
        </w:tc>
        <w:tc>
          <w:tcPr>
            <w:tcW w:type="dxa" w:w="2999"/>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Extraction Method</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Urgency Markers</w:t>
            </w:r>
          </w:p>
        </w:tc>
        <w:tc>
          <w:tcPr>
            <w:tcW w:type="dxa" w:w="40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Time-pressure phrases, countdown language, consequence threats</w:t>
            </w:r>
          </w:p>
        </w:tc>
        <w:tc>
          <w:tcPr>
            <w:tcW w:type="dxa" w:w="2999"/>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Fine-tuned BERT classifier + lexicon</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Authority Signals</w:t>
            </w:r>
          </w:p>
        </w:tc>
        <w:tc>
          <w:tcPr>
            <w:tcW w:type="dxa" w:w="40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Role impersonation, institutional name usage, credential claims</w:t>
            </w:r>
          </w:p>
        </w:tc>
        <w:tc>
          <w:tcPr>
            <w:tcW w:type="dxa" w:w="2999"/>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Named Entity Recognition (NER) + role taxonomy</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Fear Induction</w:t>
            </w:r>
          </w:p>
        </w:tc>
        <w:tc>
          <w:tcPr>
            <w:tcW w:type="dxa" w:w="40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Legal threat language, account suspension, financial loss framing</w:t>
            </w:r>
          </w:p>
        </w:tc>
        <w:tc>
          <w:tcPr>
            <w:tcW w:type="dxa" w:w="2999"/>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Sentiment analysis + threat lexicon</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Request Anomaly</w:t>
            </w:r>
          </w:p>
        </w:tc>
        <w:tc>
          <w:tcPr>
            <w:tcW w:type="dxa" w:w="40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Unusual action requests (transfer money, share OTP, click link)</w:t>
            </w:r>
          </w:p>
        </w:tc>
        <w:tc>
          <w:tcPr>
            <w:tcW w:type="dxa" w:w="2999"/>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Intent classification (12 classes)</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Domain Analysis</w:t>
            </w:r>
          </w:p>
        </w:tc>
        <w:tc>
          <w:tcPr>
            <w:tcW w:type="dxa" w:w="40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Homoglyph detection, subdomain tricks, registration age, SSL validity</w:t>
            </w:r>
          </w:p>
        </w:tc>
        <w:tc>
          <w:tcPr>
            <w:tcW w:type="dxa" w:w="2999"/>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DNS + WHOIS + visual similarity</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Sender Spoofing</w:t>
            </w:r>
          </w:p>
        </w:tc>
        <w:tc>
          <w:tcPr>
            <w:tcW w:type="dxa" w:w="40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Display name vs. actual address mismatch, DKIM/SPF status</w:t>
            </w:r>
          </w:p>
        </w:tc>
        <w:tc>
          <w:tcPr>
            <w:tcW w:type="dxa" w:w="2999"/>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Header parsing + authentication check</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Conversation Context</w:t>
            </w:r>
          </w:p>
        </w:tc>
        <w:tc>
          <w:tcPr>
            <w:tcW w:type="dxa" w:w="40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Sudden topic shift, escalating request patterns across thread</w:t>
            </w:r>
          </w:p>
        </w:tc>
        <w:tc>
          <w:tcPr>
            <w:tcW w:type="dxa" w:w="2999"/>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Contextual embedding comparison</w:t>
            </w:r>
          </w:p>
        </w:tc>
      </w:tr>
      <w:tr>
        <w:tc>
          <w:tcPr>
            <w:tcW w:type="dxa" w:w="23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Language Anomaly</w:t>
            </w:r>
          </w:p>
        </w:tc>
        <w:tc>
          <w:tcPr>
            <w:tcW w:type="dxa" w:w="40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Grammar errors, unusual formality shifts, non-native patterns</w:t>
            </w:r>
          </w:p>
        </w:tc>
        <w:tc>
          <w:tcPr>
            <w:tcW w:type="dxa" w:w="2999"/>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Language model perplexity scoring</w:t>
            </w:r>
          </w:p>
        </w:tc>
      </w:tr>
    </w:tbl>
    <w:p>
      <w:pPr>
        <w:spacing w:after="0" w:before="100"/>
      </w:pPr>
      <w:r>
        <w:t xml:space="preserve"/>
      </w:r>
    </w:p>
    <w:p>
      <w:pPr>
        <w:pStyle w:val="Heading3"/>
        <w:spacing w:after="60" w:before="180"/>
      </w:pPr>
      <w:r>
        <w:rPr>
          <w:rFonts w:ascii="Arial" w:cs="Arial" w:eastAsia="Arial" w:hAnsi="Arial"/>
          <w:b/>
          <w:bCs/>
          <w:color w:val="1A3A5C"/>
          <w:sz w:val="24"/>
          <w:szCs w:val="24"/>
        </w:rPr>
        <w:t xml:space="preserve">8.1.2 Behavioral Signal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Signal</w:t>
            </w:r>
          </w:p>
        </w:tc>
        <w:tc>
          <w:tcPr>
            <w:tcW w:type="dxa" w:w="32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Feature Derived</w:t>
            </w:r>
          </w:p>
        </w:tc>
        <w:tc>
          <w:tcPr>
            <w:tcW w:type="dxa" w:w="36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Vulnerability Implication</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Response latency</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Time from message receipt to first action</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Fast response = potential urgency-induced bypass</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Click pattern</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Click velocity, double-click rate, hover duration</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Impulsive clicks = high susceptibility to urgency attacks</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Form fill speed</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Characters per second, field jump pattern</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Fast, error-prone filling = stress state</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Warning dismissal rate</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Frequency and speed of dismissing TrustNet warnings</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High dismissal = warning fatigue, complacency</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Link preview engagement</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Whether user hovers/previews links before clicking</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 preview = low threat awareness</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Time-of-day context</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Late night/early morning interaction baseline</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Off-hours + unusual activity = heightened risk</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Device orientation changes</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Rapid device movement patterns during suspicious calls</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Stress/distraction proxy</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Typing biometrics</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Keystroke dynamics during OTP entry on suspicious forms</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Deviation from baseline = coercion or stress</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8.2 Vulnerability Classification Model</w:t>
      </w:r>
    </w:p>
    <w:p>
      <w:pPr>
        <w:spacing w:after="60" w:before="60"/>
        <w:jc w:val="left"/>
      </w:pPr>
      <w:r>
        <w:rPr>
          <w:rFonts w:ascii="Arial" w:cs="Arial" w:eastAsia="Arial" w:hAnsi="Arial"/>
          <w:b w:val="false"/>
          <w:bCs w:val="false"/>
          <w:i w:val="false"/>
          <w:iCs w:val="false"/>
          <w:color w:val="1A1A2E"/>
          <w:sz w:val="22"/>
          <w:szCs w:val="22"/>
        </w:rPr>
        <w:t xml:space="preserve">The core vulnerability scoring engine is a multi-task classification model trained via federated learning:</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Architecture: Transformer encoder (DistilBERT-base) for text features + tabular DNN for behavioral features, fused via cross-attention layer</w:t>
      </w:r>
    </w:p>
    <w:p>
      <w:pPr>
        <w:pStyle w:val="ListParagraph"/>
        <w:numPr>
          <w:ilvl w:val="0"/>
          <w:numId w:val="2"/>
        </w:numPr>
        <w:spacing w:after="40" w:before="40"/>
      </w:pPr>
      <w:r>
        <w:rPr>
          <w:rFonts w:ascii="Arial" w:cs="Arial" w:eastAsia="Arial" w:hAnsi="Arial"/>
          <w:color w:val="1A1A2E"/>
          <w:sz w:val="22"/>
          <w:szCs w:val="22"/>
        </w:rPr>
        <w:t xml:space="preserve">Output: (1) Vulnerability score 0-100, (2) Attack type probability distribution (12 classes), (3) Confidence interval</w:t>
      </w:r>
    </w:p>
    <w:p>
      <w:pPr>
        <w:pStyle w:val="ListParagraph"/>
        <w:numPr>
          <w:ilvl w:val="0"/>
          <w:numId w:val="2"/>
        </w:numPr>
        <w:spacing w:after="40" w:before="40"/>
      </w:pPr>
      <w:r>
        <w:rPr>
          <w:rFonts w:ascii="Arial" w:cs="Arial" w:eastAsia="Arial" w:hAnsi="Arial"/>
          <w:color w:val="1A1A2E"/>
          <w:sz w:val="22"/>
          <w:szCs w:val="22"/>
        </w:rPr>
        <w:t xml:space="preserve">Training Objective: Multi-task cross-entropy for attack classification + MSE for vulnerability regression</w:t>
      </w:r>
    </w:p>
    <w:p>
      <w:pPr>
        <w:pStyle w:val="ListParagraph"/>
        <w:numPr>
          <w:ilvl w:val="0"/>
          <w:numId w:val="2"/>
        </w:numPr>
        <w:spacing w:after="40" w:before="40"/>
      </w:pPr>
      <w:r>
        <w:rPr>
          <w:rFonts w:ascii="Arial" w:cs="Arial" w:eastAsia="Arial" w:hAnsi="Arial"/>
          <w:color w:val="1A1A2E"/>
          <w:sz w:val="22"/>
          <w:szCs w:val="22"/>
        </w:rPr>
        <w:t xml:space="preserve">Model Size Constraint: &lt; 12MB compressed (edge deployment on mobile); knowledge distillation from 340M-parameter teacher model</w:t>
      </w:r>
    </w:p>
    <w:p>
      <w:pPr>
        <w:pStyle w:val="ListParagraph"/>
        <w:numPr>
          <w:ilvl w:val="0"/>
          <w:numId w:val="2"/>
        </w:numPr>
        <w:spacing w:after="40" w:before="40"/>
      </w:pPr>
      <w:r>
        <w:rPr>
          <w:rFonts w:ascii="Arial" w:cs="Arial" w:eastAsia="Arial" w:hAnsi="Arial"/>
          <w:color w:val="1A1A2E"/>
          <w:sz w:val="22"/>
          <w:szCs w:val="22"/>
        </w:rPr>
        <w:t xml:space="preserve">Update Cycle: Global model updated every 6 hours via federated aggregation; edge clients pull updates over WiFi on idle</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8.3 Federated Learning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Federated Learning Round — Step-by-Step</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1 — Client Selection: Server selects a cohort of 500–5,000 available devices meeting eligibility criteria (charging, WiFi, idle)</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2 — Model Distribution: Server broadcasts current global model weights W_t to selected clients (signed, verified)</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3 — Local Training: Each client trains on local interaction data for 3 epochs using SGD; computes gradient ΔW_i = W_local_i - W_t</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4 — Gradient Clipping: Each client clips gradient L2 norm to threshold C=1.0 to bound sensitivity for DP</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5 — Noise Injection: Client adds Gaussian noise N(0, σ²C²I) to clipped gradient (ε=1.0, δ=10⁻⁷, σ computed via moments accountant)</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6 — Secure Transmission: Noisy, clipped gradient ΔW̃_i encrypted with client public key and transmitted to regional aggregation node</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7 — Secure Aggregation: Regional node applies Bonawitz et al. secure aggregation protocol; server receives only ΣΔW̃_i, not individual updates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8 — FedAvg Aggregation: Central server computes W_t+1 = W_t + η × (1/n) × Σ ΔW̃_i using FedAvg or FedProx (μ=0.01 for heterogeneous data)</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9 — Model Validation: Updated model validated on held-out server-side benchmark; deployed if accuracy threshold met</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Step 10 — Distribution: New model W_t+1 signed and broadcast to all clients for next inference cycle</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8.4 Reinforcement Learning — Adaptive Defense</w:t>
      </w:r>
    </w:p>
    <w:p>
      <w:pPr>
        <w:spacing w:after="60" w:before="60"/>
        <w:jc w:val="left"/>
      </w:pPr>
      <w:r>
        <w:rPr>
          <w:rFonts w:ascii="Arial" w:cs="Arial" w:eastAsia="Arial" w:hAnsi="Arial"/>
          <w:b w:val="false"/>
          <w:bCs w:val="false"/>
          <w:i w:val="false"/>
          <w:iCs w:val="false"/>
          <w:color w:val="1A1A2E"/>
          <w:sz w:val="22"/>
          <w:szCs w:val="22"/>
        </w:rPr>
        <w:t xml:space="preserve">The adaptive defense layer formulates optimal warning strategy as a Markov Decision Process (MDP):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MDP Component</w:t>
            </w:r>
          </w:p>
        </w:tc>
        <w:tc>
          <w:tcPr>
            <w:tcW w:type="dxa" w:w="27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Definition</w:t>
            </w:r>
          </w:p>
        </w:tc>
        <w:tc>
          <w:tcPr>
            <w:tcW w:type="dxa" w:w="48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Implementation Detail</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State Space S</w:t>
            </w:r>
          </w:p>
        </w:tc>
        <w:tc>
          <w:tcPr>
            <w:tcW w:type="dxa" w:w="27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behavioral context at decision point</w:t>
            </w:r>
          </w:p>
        </w:tc>
        <w:tc>
          <w:tcPr>
            <w:tcW w:type="dxa" w:w="48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Vulnerability score, attack type, time-of-day, recent warning history, device stress signals, interaction velocity (dim=32)</w:t>
            </w:r>
          </w:p>
        </w:tc>
      </w:tr>
      <w:tr>
        <w:tc>
          <w:tcPr>
            <w:tcW w:type="dxa" w:w="1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Action Space A</w:t>
            </w:r>
          </w:p>
        </w:tc>
        <w:tc>
          <w:tcPr>
            <w:tcW w:type="dxa" w:w="27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Warning intervention choices</w:t>
            </w:r>
          </w:p>
        </w:tc>
        <w:tc>
          <w:tcPr>
            <w:tcW w:type="dxa" w:w="48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 = {no_warning, soft_nudge, info_banner, modal_warning, hard_block, require_2fa, send_to_IT}; |A|=7</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Reward R</w:t>
            </w:r>
          </w:p>
        </w:tc>
        <w:tc>
          <w:tcPr>
            <w:tcW w:type="dxa" w:w="27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Outcome signal per action</w:t>
            </w:r>
          </w:p>
        </w:tc>
        <w:tc>
          <w:tcPr>
            <w:tcW w:type="dxa" w:w="48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 = +5 (threat avoided) | -2 (false positive dismissed) | -10 (user fell for attack post-warning) | -1 (user friction complaint)</w:t>
            </w:r>
          </w:p>
        </w:tc>
      </w:tr>
      <w:tr>
        <w:tc>
          <w:tcPr>
            <w:tcW w:type="dxa" w:w="1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Policy π</w:t>
            </w:r>
          </w:p>
        </w:tc>
        <w:tc>
          <w:tcPr>
            <w:tcW w:type="dxa" w:w="27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Maps state to optimal action</w:t>
            </w:r>
          </w:p>
        </w:tc>
        <w:tc>
          <w:tcPr>
            <w:tcW w:type="dxa" w:w="48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PPO (Proximal Policy Optimization) with entropy regularization; on-device inference for privacy</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Episode</w:t>
            </w:r>
          </w:p>
        </w:tc>
        <w:tc>
          <w:tcPr>
            <w:tcW w:type="dxa" w:w="27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interaction session</w:t>
            </w:r>
          </w:p>
        </w:tc>
        <w:tc>
          <w:tcPr>
            <w:tcW w:type="dxa" w:w="48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Session from app open to close; batch update every 50 episodes</w:t>
            </w:r>
          </w:p>
        </w:tc>
      </w:tr>
      <w:tr>
        <w:tc>
          <w:tcPr>
            <w:tcW w:type="dxa" w:w="18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Transfer Learning</w:t>
            </w:r>
          </w:p>
        </w:tc>
        <w:tc>
          <w:tcPr>
            <w:tcW w:type="dxa" w:w="27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Warm-start for new users</w:t>
            </w:r>
          </w:p>
        </w:tc>
        <w:tc>
          <w:tcPr>
            <w:tcW w:type="dxa" w:w="48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Population-mean policy pre-loaded; personalizes within 7–14 days</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9. Privacy &amp; Security Design</w:t>
      </w:r>
    </w:p>
    <w:p>
      <w:pPr>
        <w:pStyle w:val="Heading2"/>
        <w:spacing w:after="80" w:before="240"/>
      </w:pPr>
      <w:r>
        <w:rPr>
          <w:rFonts w:ascii="Arial" w:cs="Arial" w:eastAsia="Arial" w:hAnsi="Arial"/>
          <w:b/>
          <w:bCs/>
          <w:color w:val="0066CC"/>
          <w:sz w:val="28"/>
          <w:szCs w:val="28"/>
        </w:rPr>
        <w:t xml:space="preserve">9.1 Privacy Architecture Principles</w:t>
      </w:r>
    </w:p>
    <w:p>
      <w:pPr>
        <w:spacing w:after="60" w:before="60"/>
        <w:jc w:val="left"/>
      </w:pPr>
      <w:r>
        <w:rPr>
          <w:rFonts w:ascii="Arial" w:cs="Arial" w:eastAsia="Arial" w:hAnsi="Arial"/>
          <w:b w:val="false"/>
          <w:bCs w:val="false"/>
          <w:i w:val="false"/>
          <w:iCs w:val="false"/>
          <w:color w:val="1A1A2E"/>
          <w:sz w:val="22"/>
          <w:szCs w:val="22"/>
        </w:rPr>
        <w:t xml:space="preserve">TrustNet AI is built on a "Privacy by Architecture" foundation — not merely Privacy by Policy. The following three properties hold by mathematical construction, not by organizational promise:</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Data Minimization by Default: Raw message content, URLs, and behavioral events are processed entirely on-device using on-device NLP models. Only derived features (not raw text) are used in local model training.</w:t>
      </w:r>
    </w:p>
    <w:p>
      <w:pPr>
        <w:pStyle w:val="ListParagraph"/>
        <w:numPr>
          <w:ilvl w:val="0"/>
          <w:numId w:val="2"/>
        </w:numPr>
        <w:spacing w:after="40" w:before="40"/>
      </w:pPr>
      <w:r>
        <w:rPr>
          <w:rFonts w:ascii="Arial" w:cs="Arial" w:eastAsia="Arial" w:hAnsi="Arial"/>
          <w:color w:val="1A1A2E"/>
          <w:sz w:val="22"/>
          <w:szCs w:val="22"/>
        </w:rPr>
        <w:t xml:space="preserve">Zero Personal Data Transmission: The federated learning protocol is designed so that the aggregation server receives only the arithmetic sum of noisy gradients — never any individual gradient or raw data point.</w:t>
      </w:r>
    </w:p>
    <w:p>
      <w:pPr>
        <w:pStyle w:val="ListParagraph"/>
        <w:numPr>
          <w:ilvl w:val="0"/>
          <w:numId w:val="2"/>
        </w:numPr>
        <w:spacing w:after="40" w:before="40"/>
      </w:pPr>
      <w:r>
        <w:rPr>
          <w:rFonts w:ascii="Arial" w:cs="Arial" w:eastAsia="Arial" w:hAnsi="Arial"/>
          <w:color w:val="1A1A2E"/>
          <w:sz w:val="22"/>
          <w:szCs w:val="22"/>
        </w:rPr>
        <w:t xml:space="preserve">Differential Privacy Guarantee: By adding calibrated Gaussian noise before transmission (ε ≤ 1.0, δ = 10^-7), TrustNet provides (ε,δ)-differential privacy — a mathematical bound on the probability that any single user's data affected the global model.</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9.2 Differential Privacy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Parameter</w:t>
            </w:r>
          </w:p>
        </w:tc>
        <w:tc>
          <w:tcPr>
            <w:tcW w:type="dxa" w:w="32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Value</w:t>
            </w:r>
          </w:p>
        </w:tc>
        <w:tc>
          <w:tcPr>
            <w:tcW w:type="dxa" w:w="36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Rationale</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Privacy Budget ε</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 per round</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Industry standard for strong privacy protection (Google DP team recommendation)</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Delta δ</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10⁻⁷</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Probability of privacy failure; significantly below 1/n for n=10M users</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Noise Mechanism</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Gaussian Mechanism</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Optimal for L2 sensitivity; compatible with gradient clipping</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Gradient Clipping Norm C</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1.0</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Bounds sensitivity; prevents large gradients from revealing user data</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Noise Scale σ</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Computed via Rényi DP accountant (RDP)</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Tight privacy accounting for multiple rounds</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Composition</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Advanced composition theorem</w:t>
            </w:r>
          </w:p>
        </w:tc>
        <w:tc>
          <w:tcPr>
            <w:tcW w:type="dxa" w:w="36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Accumulates privacy cost across training rounds; stops training at ε_total budget</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Amplification</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Poisson subsampling amplification</w:t>
            </w:r>
          </w:p>
        </w:tc>
        <w:tc>
          <w:tcPr>
            <w:tcW w:type="dxa" w:w="36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Cohort selection amplifies privacy; ε_effective &lt;&lt; ε_per_round</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9.3 Data Anonymization Strategy</w:t>
      </w:r>
    </w:p>
    <w:p>
      <w:pPr>
        <w:pStyle w:val="ListParagraph"/>
        <w:numPr>
          <w:ilvl w:val="0"/>
          <w:numId w:val="2"/>
        </w:numPr>
        <w:spacing w:after="40" w:before="40"/>
      </w:pPr>
      <w:r>
        <w:rPr>
          <w:rFonts w:ascii="Arial" w:cs="Arial" w:eastAsia="Arial" w:hAnsi="Arial"/>
          <w:color w:val="1A1A2E"/>
          <w:sz w:val="22"/>
          <w:szCs w:val="22"/>
        </w:rPr>
        <w:t xml:space="preserve">User Identifiers: Replaced with rotating ephemeral device tokens (regenerated every 30 days); no persistent user ID on server</w:t>
      </w:r>
    </w:p>
    <w:p>
      <w:pPr>
        <w:pStyle w:val="ListParagraph"/>
        <w:numPr>
          <w:ilvl w:val="0"/>
          <w:numId w:val="2"/>
        </w:numPr>
        <w:spacing w:after="40" w:before="40"/>
      </w:pPr>
      <w:r>
        <w:rPr>
          <w:rFonts w:ascii="Arial" w:cs="Arial" w:eastAsia="Arial" w:hAnsi="Arial"/>
          <w:color w:val="1A1A2E"/>
          <w:sz w:val="22"/>
          <w:szCs w:val="22"/>
        </w:rPr>
        <w:t xml:space="preserve">Gradient Anonymization: Bonawitz Secure Aggregation ensures server only sees aggregated sum; individual contribution mathematically hidden</w:t>
      </w:r>
    </w:p>
    <w:p>
      <w:pPr>
        <w:pStyle w:val="ListParagraph"/>
        <w:numPr>
          <w:ilvl w:val="0"/>
          <w:numId w:val="2"/>
        </w:numPr>
        <w:spacing w:after="40" w:before="40"/>
      </w:pPr>
      <w:r>
        <w:rPr>
          <w:rFonts w:ascii="Arial" w:cs="Arial" w:eastAsia="Arial" w:hAnsi="Arial"/>
          <w:color w:val="1A1A2E"/>
          <w:sz w:val="22"/>
          <w:szCs w:val="22"/>
        </w:rPr>
        <w:t xml:space="preserve">Geographic Precision Reduction: Location data generalized to city-level for Global Risk Map; no precise coordinates stored</w:t>
      </w:r>
    </w:p>
    <w:p>
      <w:pPr>
        <w:pStyle w:val="ListParagraph"/>
        <w:numPr>
          <w:ilvl w:val="0"/>
          <w:numId w:val="2"/>
        </w:numPr>
        <w:spacing w:after="40" w:before="40"/>
      </w:pPr>
      <w:r>
        <w:rPr>
          <w:rFonts w:ascii="Arial" w:cs="Arial" w:eastAsia="Arial" w:hAnsi="Arial"/>
          <w:color w:val="1A1A2E"/>
          <w:sz w:val="22"/>
          <w:szCs w:val="22"/>
        </w:rPr>
        <w:t xml:space="preserve">K-Anonymity for Dashboard: Organizational analytics suppressed for groups &lt; 10 users; prevents inference about specific employees</w:t>
      </w:r>
    </w:p>
    <w:p>
      <w:pPr>
        <w:pStyle w:val="ListParagraph"/>
        <w:numPr>
          <w:ilvl w:val="0"/>
          <w:numId w:val="2"/>
        </w:numPr>
        <w:spacing w:after="40" w:before="40"/>
      </w:pPr>
      <w:r>
        <w:rPr>
          <w:rFonts w:ascii="Arial" w:cs="Arial" w:eastAsia="Arial" w:hAnsi="Arial"/>
          <w:color w:val="1A1A2E"/>
          <w:sz w:val="22"/>
          <w:szCs w:val="22"/>
        </w:rPr>
        <w:t xml:space="preserve">Model Inversion Defense: Published models are queried through a rate-limited prediction API; direct model access not permitted; membership inference attacks mitigated through DP guarantee</w:t>
      </w:r>
    </w:p>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10. Global Threat Intelligence Engine</w:t>
      </w:r>
    </w:p>
    <w:p>
      <w:pPr>
        <w:pStyle w:val="Heading2"/>
        <w:spacing w:after="80" w:before="240"/>
      </w:pPr>
      <w:r>
        <w:rPr>
          <w:rFonts w:ascii="Arial" w:cs="Arial" w:eastAsia="Arial" w:hAnsi="Arial"/>
          <w:b/>
          <w:bCs/>
          <w:color w:val="0066CC"/>
          <w:sz w:val="28"/>
          <w:szCs w:val="28"/>
        </w:rPr>
        <w:t xml:space="preserve">10.1 Intelligence Generation Architecture</w:t>
      </w:r>
    </w:p>
    <w:p>
      <w:pPr>
        <w:spacing w:after="60" w:before="60"/>
        <w:jc w:val="left"/>
      </w:pPr>
      <w:r>
        <w:rPr>
          <w:rFonts w:ascii="Arial" w:cs="Arial" w:eastAsia="Arial" w:hAnsi="Arial"/>
          <w:b w:val="false"/>
          <w:bCs w:val="false"/>
          <w:i w:val="false"/>
          <w:iCs w:val="false"/>
          <w:color w:val="1A1A2E"/>
          <w:sz w:val="22"/>
          <w:szCs w:val="22"/>
        </w:rPr>
        <w:t xml:space="preserve">The Global Threat Intelligence Engine aggregates anonymized, differentially-private signals from all participating devices to generate four classes of intelligence:</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Spatial Intelligence: Which geographic regions are currently experiencing elevated attack frequency, stratified by attack type</w:t>
      </w:r>
    </w:p>
    <w:p>
      <w:pPr>
        <w:pStyle w:val="ListParagraph"/>
        <w:numPr>
          <w:ilvl w:val="0"/>
          <w:numId w:val="2"/>
        </w:numPr>
        <w:spacing w:after="40" w:before="40"/>
      </w:pPr>
      <w:r>
        <w:rPr>
          <w:rFonts w:ascii="Arial" w:cs="Arial" w:eastAsia="Arial" w:hAnsi="Arial"/>
          <w:color w:val="1A1A2E"/>
          <w:sz w:val="22"/>
          <w:szCs w:val="22"/>
        </w:rPr>
        <w:t xml:space="preserve">Temporal Intelligence: Time-series attack pattern evolution, seasonality detection (e.g., tax-season scams, festival-season voucher frauds)</w:t>
      </w:r>
    </w:p>
    <w:p>
      <w:pPr>
        <w:pStyle w:val="ListParagraph"/>
        <w:numPr>
          <w:ilvl w:val="0"/>
          <w:numId w:val="2"/>
        </w:numPr>
        <w:spacing w:after="40" w:before="40"/>
      </w:pPr>
      <w:r>
        <w:rPr>
          <w:rFonts w:ascii="Arial" w:cs="Arial" w:eastAsia="Arial" w:hAnsi="Arial"/>
          <w:color w:val="1A1A2E"/>
          <w:sz w:val="22"/>
          <w:szCs w:val="22"/>
        </w:rPr>
        <w:t xml:space="preserve">Demographic Intelligence: Anonymized cohort vulnerability profiles — which behavioral archetypes are most at risk to which attack classes</w:t>
      </w:r>
    </w:p>
    <w:p>
      <w:pPr>
        <w:pStyle w:val="ListParagraph"/>
        <w:numPr>
          <w:ilvl w:val="0"/>
          <w:numId w:val="2"/>
        </w:numPr>
        <w:spacing w:after="40" w:before="40"/>
      </w:pPr>
      <w:r>
        <w:rPr>
          <w:rFonts w:ascii="Arial" w:cs="Arial" w:eastAsia="Arial" w:hAnsi="Arial"/>
          <w:color w:val="1A1A2E"/>
          <w:sz w:val="22"/>
          <w:szCs w:val="22"/>
        </w:rPr>
        <w:t xml:space="preserve">Emerging Threat Intelligence: Novel attack pattern detection via anomaly scoring against historical baseline distributions</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10.2 Behavioral Vulnerability Clustering</w:t>
      </w:r>
    </w:p>
    <w:p>
      <w:pPr>
        <w:spacing w:after="60" w:before="60"/>
        <w:jc w:val="left"/>
      </w:pPr>
      <w:r>
        <w:rPr>
          <w:rFonts w:ascii="Arial" w:cs="Arial" w:eastAsia="Arial" w:hAnsi="Arial"/>
          <w:b w:val="false"/>
          <w:bCs w:val="false"/>
          <w:i w:val="false"/>
          <w:iCs w:val="false"/>
          <w:color w:val="1A1A2E"/>
          <w:sz w:val="22"/>
          <w:szCs w:val="22"/>
        </w:rPr>
        <w:t xml:space="preserve">A continuously updated clustering model segments the global user population into behavioral vulnerability cohorts without any PII:</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Algorithm: Federated k-means++ with federated principal component analysis (PCA) for dimensionality reduction to 16 components</w:t>
      </w:r>
    </w:p>
    <w:p>
      <w:pPr>
        <w:pStyle w:val="ListParagraph"/>
        <w:numPr>
          <w:ilvl w:val="0"/>
          <w:numId w:val="2"/>
        </w:numPr>
        <w:spacing w:after="40" w:before="40"/>
      </w:pPr>
      <w:r>
        <w:rPr>
          <w:rFonts w:ascii="Arial" w:cs="Arial" w:eastAsia="Arial" w:hAnsi="Arial"/>
          <w:color w:val="1A1A2E"/>
          <w:sz w:val="22"/>
          <w:szCs w:val="22"/>
        </w:rPr>
        <w:t xml:space="preserve">Feature Space: Anonymized behavioral feature vectors (response latency distribution, warning interaction patterns, device usage context) — never message content</w:t>
      </w:r>
    </w:p>
    <w:p>
      <w:pPr>
        <w:pStyle w:val="ListParagraph"/>
        <w:numPr>
          <w:ilvl w:val="0"/>
          <w:numId w:val="2"/>
        </w:numPr>
        <w:spacing w:after="40" w:before="40"/>
      </w:pPr>
      <w:r>
        <w:rPr>
          <w:rFonts w:ascii="Arial" w:cs="Arial" w:eastAsia="Arial" w:hAnsi="Arial"/>
          <w:color w:val="1A1A2E"/>
          <w:sz w:val="22"/>
          <w:szCs w:val="22"/>
        </w:rPr>
        <w:t xml:space="preserve">Cluster Output: 12–20 dynamic cohort profiles updated monthly; each cohort characterized by attack type affinity, vulnerability magnitude, and intervention receptivity</w:t>
      </w:r>
    </w:p>
    <w:p>
      <w:pPr>
        <w:pStyle w:val="ListParagraph"/>
        <w:numPr>
          <w:ilvl w:val="0"/>
          <w:numId w:val="2"/>
        </w:numPr>
        <w:spacing w:after="40" w:before="40"/>
      </w:pPr>
      <w:r>
        <w:rPr>
          <w:rFonts w:ascii="Arial" w:cs="Arial" w:eastAsia="Arial" w:hAnsi="Arial"/>
          <w:color w:val="1A1A2E"/>
          <w:sz w:val="22"/>
          <w:szCs w:val="22"/>
        </w:rPr>
        <w:t xml:space="preserve">Cluster Application: Dashboard insights for enterprises; personalized training recommendations; RL policy warm-starts for new users matching a cohort profile</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10.3 Emerging Trend Detection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Trend Detection Data Flow</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Stage 1 — Signal Ingestion: Device FL clients contribute anonymized attack taxonomy tags per detected threat event (not message content)</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Stage 2 — Stream Processing: Apache Kafka → Apache Flink streaming processor aggregates tags at 1-minute windows per geographic cell (H3 hex grid, resolution 5)</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Stage 3 — Baseline Modeling: Exponential Moving Average (EMA) of attack frequency per {type × region} cell; updated every 6 hours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Stage 4 — Anomaly Detection: Z-score &gt; 3.5 OR Isolation Forest anomaly score &gt; 0.85 triggers emerging threat candidate</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Stage 5 — Pattern Validation: Candidate validated against semantic clustering of recent NLP feature distributions (not raw text); confirmed if cluster distance &gt; 2σ from known attack types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Stage 6 — Alert Generation: Validated emerging threat generates: (a) Global Risk Map alert, (b) Internal engineering notification, (c) Optional CERT API push</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Stage 7 — Model Update: New attack pattern fed to labeling pipeline; human-in-the-loop verification; model fine-tuning triggered if confidence &gt; 95%</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11. UX/UI Strategy</w:t>
      </w:r>
    </w:p>
    <w:p>
      <w:pPr>
        <w:pStyle w:val="Heading2"/>
        <w:spacing w:after="80" w:before="240"/>
      </w:pPr>
      <w:r>
        <w:rPr>
          <w:rFonts w:ascii="Arial" w:cs="Arial" w:eastAsia="Arial" w:hAnsi="Arial"/>
          <w:b/>
          <w:bCs/>
          <w:color w:val="0066CC"/>
          <w:sz w:val="28"/>
          <w:szCs w:val="28"/>
        </w:rPr>
        <w:t xml:space="preserve">11.1 Warning System Design Principles</w:t>
      </w:r>
    </w:p>
    <w:p>
      <w:pPr>
        <w:spacing w:after="60" w:before="60"/>
        <w:jc w:val="left"/>
      </w:pPr>
      <w:r>
        <w:rPr>
          <w:rFonts w:ascii="Arial" w:cs="Arial" w:eastAsia="Arial" w:hAnsi="Arial"/>
          <w:b w:val="false"/>
          <w:bCs w:val="false"/>
          <w:i w:val="false"/>
          <w:iCs w:val="false"/>
          <w:color w:val="1A1A2E"/>
          <w:sz w:val="22"/>
          <w:szCs w:val="22"/>
        </w:rPr>
        <w:t xml:space="preserve">The warning system is the most critical UX element — it must stop unsafe behavior without creating warning fatigue. TrustNet applies the following design principles:</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Progressive Disclosure: Warnings escalate from unobtrusive nudge to full modal block based on risk severity — never start with maximum friction</w:t>
      </w:r>
    </w:p>
    <w:p>
      <w:pPr>
        <w:pStyle w:val="ListParagraph"/>
        <w:numPr>
          <w:ilvl w:val="0"/>
          <w:numId w:val="2"/>
        </w:numPr>
        <w:spacing w:after="40" w:before="40"/>
      </w:pPr>
      <w:r>
        <w:rPr>
          <w:rFonts w:ascii="Arial" w:cs="Arial" w:eastAsia="Arial" w:hAnsi="Arial"/>
          <w:color w:val="1A1A2E"/>
          <w:sz w:val="22"/>
          <w:szCs w:val="22"/>
        </w:rPr>
        <w:t xml:space="preserve">Action-Framing: Warnings always suggest a safe action, not just flag risk ('Verify through your official bank app' vs. 'This may be dangerous')</w:t>
      </w:r>
    </w:p>
    <w:p>
      <w:pPr>
        <w:pStyle w:val="ListParagraph"/>
        <w:numPr>
          <w:ilvl w:val="0"/>
          <w:numId w:val="2"/>
        </w:numPr>
        <w:spacing w:after="40" w:before="40"/>
      </w:pPr>
      <w:r>
        <w:rPr>
          <w:rFonts w:ascii="Arial" w:cs="Arial" w:eastAsia="Arial" w:hAnsi="Arial"/>
          <w:color w:val="1A1A2E"/>
          <w:sz w:val="22"/>
          <w:szCs w:val="22"/>
        </w:rPr>
        <w:t xml:space="preserve">Explanation Transparency: Every warning includes a one-tap 'Why am I seeing this?' that gives plain-language AI reasoning</w:t>
      </w:r>
    </w:p>
    <w:p>
      <w:pPr>
        <w:pStyle w:val="ListParagraph"/>
        <w:numPr>
          <w:ilvl w:val="0"/>
          <w:numId w:val="2"/>
        </w:numPr>
        <w:spacing w:after="40" w:before="40"/>
      </w:pPr>
      <w:r>
        <w:rPr>
          <w:rFonts w:ascii="Arial" w:cs="Arial" w:eastAsia="Arial" w:hAnsi="Arial"/>
          <w:color w:val="1A1A2E"/>
          <w:sz w:val="22"/>
          <w:szCs w:val="22"/>
        </w:rPr>
        <w:t xml:space="preserve">Personalization: Warning style adapts to user profile — simplified language for elderly users, technical detail for security professionals</w:t>
      </w:r>
    </w:p>
    <w:p>
      <w:pPr>
        <w:pStyle w:val="ListParagraph"/>
        <w:numPr>
          <w:ilvl w:val="0"/>
          <w:numId w:val="2"/>
        </w:numPr>
        <w:spacing w:after="40" w:before="40"/>
      </w:pPr>
      <w:r>
        <w:rPr>
          <w:rFonts w:ascii="Arial" w:cs="Arial" w:eastAsia="Arial" w:hAnsi="Arial"/>
          <w:color w:val="1A1A2E"/>
          <w:sz w:val="22"/>
          <w:szCs w:val="22"/>
        </w:rPr>
        <w:t xml:space="preserve">False Positive Feedback: Easy 'This is safe' override with impact on RL reward signal; false positive rate tracked as P0 metric</w:t>
      </w:r>
    </w:p>
    <w:p>
      <w:pPr>
        <w:spacing w:after="0" w:before="80"/>
      </w:pPr>
      <w:r>
        <w:t xml:space="preserve"/>
      </w:r>
    </w:p>
    <w:p>
      <w:pPr>
        <w:pStyle w:val="Heading2"/>
        <w:spacing w:after="80" w:before="240"/>
      </w:pPr>
      <w:r>
        <w:rPr>
          <w:rFonts w:ascii="Arial" w:cs="Arial" w:eastAsia="Arial" w:hAnsi="Arial"/>
          <w:b/>
          <w:bCs/>
          <w:color w:val="0066CC"/>
          <w:sz w:val="28"/>
          <w:szCs w:val="28"/>
        </w:rPr>
        <w:t xml:space="preserve">11.2 Warning Tier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520"/>
        <w:gridCol w:w="3120"/>
      </w:tblGrid>
      <w:tr>
        <w:tc>
          <w:tcPr>
            <w:tcW w:type="dxa" w:w="15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Tier</w:t>
            </w:r>
          </w:p>
        </w:tc>
        <w:tc>
          <w:tcPr>
            <w:tcW w:type="dxa" w:w="21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Trigger Threshold</w:t>
            </w:r>
          </w:p>
        </w:tc>
        <w:tc>
          <w:tcPr>
            <w:tcW w:type="dxa" w:w="25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UX Presentation</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User Action Required</w:t>
            </w:r>
          </w:p>
        </w:tc>
      </w:tr>
      <w:tr>
        <w:tc>
          <w:tcPr>
            <w:tcW w:type="dxa" w:w="15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Tier 0 — Passive Monitor</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Score 0–25</w:t>
            </w:r>
          </w:p>
        </w:tc>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Green shield icon in extension toolbar; no notification</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None</w:t>
            </w:r>
          </w:p>
        </w:tc>
      </w:tr>
      <w:tr>
        <w:tc>
          <w:tcPr>
            <w:tcW w:type="dxa" w:w="15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Tier 1 — Soft Nudge</w:t>
            </w:r>
          </w:p>
        </w:tc>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Score 26–45</w:t>
            </w:r>
          </w:p>
        </w:tc>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Amber toolbar badge + non-blocking tooltip on hover</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None (dismisses automatically)</w:t>
            </w:r>
          </w:p>
        </w:tc>
      </w:tr>
      <w:tr>
        <w:tc>
          <w:tcPr>
            <w:tcW w:type="dxa" w:w="15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Tier 2 — Info Banner</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Score 46–65</w:t>
            </w:r>
          </w:p>
        </w:tc>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Top-of-page banner with risk summary and suggested action</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Acknowledge or dismiss</w:t>
            </w:r>
          </w:p>
        </w:tc>
      </w:tr>
      <w:tr>
        <w:tc>
          <w:tcPr>
            <w:tcW w:type="dxa" w:w="15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Tier 3 — Modal Warning</w:t>
            </w:r>
          </w:p>
        </w:tc>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Score 66–80</w:t>
            </w:r>
          </w:p>
        </w:tc>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Full modal overlay blocking interaction with specific risk explanation</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Choose: Proceed Anyway / Take Safe Action</w:t>
            </w:r>
          </w:p>
        </w:tc>
      </w:tr>
      <w:tr>
        <w:tc>
          <w:tcPr>
            <w:tcW w:type="dxa" w:w="15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Tier 4 — Hard Block</w:t>
            </w:r>
          </w:p>
        </w:tc>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Score 81–100 OR known threat</w:t>
            </w:r>
          </w:p>
        </w:tc>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Full-page block replacing destination with branded warning + report option</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Exit / Report / Override (audit logged)</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11.3 Dashboard UX Concept</w:t>
      </w:r>
    </w:p>
    <w:p>
      <w:pPr>
        <w:spacing w:after="60" w:before="60"/>
        <w:jc w:val="left"/>
      </w:pPr>
      <w:r>
        <w:rPr>
          <w:rFonts w:ascii="Arial" w:cs="Arial" w:eastAsia="Arial" w:hAnsi="Arial"/>
          <w:b w:val="false"/>
          <w:bCs w:val="false"/>
          <w:i w:val="false"/>
          <w:iCs w:val="false"/>
          <w:color w:val="1A1A2E"/>
          <w:sz w:val="22"/>
          <w:szCs w:val="22"/>
        </w:rPr>
        <w:t xml:space="preserve">The Admin Dashboard presents complex behavioral analytics through five primary views:</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Executive Summary View: Organization-wide vulnerability score trend (rolling 90-day), top 3 attack types affecting the org, % improvement vs. benchmark</w:t>
      </w:r>
    </w:p>
    <w:p>
      <w:pPr>
        <w:pStyle w:val="ListParagraph"/>
        <w:numPr>
          <w:ilvl w:val="0"/>
          <w:numId w:val="2"/>
        </w:numPr>
        <w:spacing w:after="40" w:before="40"/>
      </w:pPr>
      <w:r>
        <w:rPr>
          <w:rFonts w:ascii="Arial" w:cs="Arial" w:eastAsia="Arial" w:hAnsi="Arial"/>
          <w:color w:val="1A1A2E"/>
          <w:sz w:val="22"/>
          <w:szCs w:val="22"/>
        </w:rPr>
        <w:t xml:space="preserve">Heatmap View: Department/team grid colored by risk score; click-through to individual-level anonymized profiles</w:t>
      </w:r>
    </w:p>
    <w:p>
      <w:pPr>
        <w:pStyle w:val="ListParagraph"/>
        <w:numPr>
          <w:ilvl w:val="0"/>
          <w:numId w:val="2"/>
        </w:numPr>
        <w:spacing w:after="40" w:before="40"/>
      </w:pPr>
      <w:r>
        <w:rPr>
          <w:rFonts w:ascii="Arial" w:cs="Arial" w:eastAsia="Arial" w:hAnsi="Arial"/>
          <w:color w:val="1A1A2E"/>
          <w:sz w:val="22"/>
          <w:szCs w:val="22"/>
        </w:rPr>
        <w:t xml:space="preserve">Attack Surface View: Radar chart of org exposure across 12 attack type dimensions; overlay with industry benchmarks</w:t>
      </w:r>
    </w:p>
    <w:p>
      <w:pPr>
        <w:pStyle w:val="ListParagraph"/>
        <w:numPr>
          <w:ilvl w:val="0"/>
          <w:numId w:val="2"/>
        </w:numPr>
        <w:spacing w:after="40" w:before="40"/>
      </w:pPr>
      <w:r>
        <w:rPr>
          <w:rFonts w:ascii="Arial" w:cs="Arial" w:eastAsia="Arial" w:hAnsi="Arial"/>
          <w:color w:val="1A1A2E"/>
          <w:sz w:val="22"/>
          <w:szCs w:val="22"/>
        </w:rPr>
        <w:t xml:space="preserve">Incident Timeline: Chronological log of detected threats, user responses, outcomes; filterable by department/attack type/outcome</w:t>
      </w:r>
    </w:p>
    <w:p>
      <w:pPr>
        <w:pStyle w:val="ListParagraph"/>
        <w:numPr>
          <w:ilvl w:val="0"/>
          <w:numId w:val="2"/>
        </w:numPr>
        <w:spacing w:after="40" w:before="40"/>
      </w:pPr>
      <w:r>
        <w:rPr>
          <w:rFonts w:ascii="Arial" w:cs="Arial" w:eastAsia="Arial" w:hAnsi="Arial"/>
          <w:color w:val="1A1A2E"/>
          <w:sz w:val="22"/>
          <w:szCs w:val="22"/>
        </w:rPr>
        <w:t xml:space="preserve">Training Impact View: Before/after vulnerability scores for users who completed assigned training modules; ROI quantification</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11.4 Global Risk Map Concept</w:t>
      </w:r>
    </w:p>
    <w:p>
      <w:pPr>
        <w:spacing w:after="60" w:before="60"/>
        <w:jc w:val="left"/>
      </w:pPr>
      <w:r>
        <w:rPr>
          <w:rFonts w:ascii="Arial" w:cs="Arial" w:eastAsia="Arial" w:hAnsi="Arial"/>
          <w:b w:val="false"/>
          <w:bCs w:val="false"/>
          <w:i w:val="false"/>
          <w:iCs w:val="false"/>
          <w:color w:val="1A1A2E"/>
          <w:sz w:val="22"/>
          <w:szCs w:val="22"/>
        </w:rPr>
        <w:t xml:space="preserve">The Global Risk Map is a WebGL-rendered interactive globe (Three.js + deck.gl) displaying:</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H3 Hex Grid (Resolution 5): ~250km² hexagonal cells colored by attack density gradient (blue→yellow→red)</w:t>
      </w:r>
    </w:p>
    <w:p>
      <w:pPr>
        <w:pStyle w:val="ListParagraph"/>
        <w:numPr>
          <w:ilvl w:val="0"/>
          <w:numId w:val="2"/>
        </w:numPr>
        <w:spacing w:after="40" w:before="40"/>
      </w:pPr>
      <w:r>
        <w:rPr>
          <w:rFonts w:ascii="Arial" w:cs="Arial" w:eastAsia="Arial" w:hAnsi="Arial"/>
          <w:color w:val="1A1A2E"/>
          <w:sz w:val="22"/>
          <w:szCs w:val="22"/>
        </w:rPr>
        <w:t xml:space="preserve">Attack Type Filters: Toggle layer visibility per attack category; compare 'phishing vs. vishing' geographically</w:t>
      </w:r>
    </w:p>
    <w:p>
      <w:pPr>
        <w:pStyle w:val="ListParagraph"/>
        <w:numPr>
          <w:ilvl w:val="0"/>
          <w:numId w:val="2"/>
        </w:numPr>
        <w:spacing w:after="40" w:before="40"/>
      </w:pPr>
      <w:r>
        <w:rPr>
          <w:rFonts w:ascii="Arial" w:cs="Arial" w:eastAsia="Arial" w:hAnsi="Arial"/>
          <w:color w:val="1A1A2E"/>
          <w:sz w:val="22"/>
          <w:szCs w:val="22"/>
        </w:rPr>
        <w:t xml:space="preserve">Time Scrubber: Animate attack pattern evolution over past 24 hours, 7 days, or 30 days</w:t>
      </w:r>
    </w:p>
    <w:p>
      <w:pPr>
        <w:pStyle w:val="ListParagraph"/>
        <w:numPr>
          <w:ilvl w:val="0"/>
          <w:numId w:val="2"/>
        </w:numPr>
        <w:spacing w:after="40" w:before="40"/>
      </w:pPr>
      <w:r>
        <w:rPr>
          <w:rFonts w:ascii="Arial" w:cs="Arial" w:eastAsia="Arial" w:hAnsi="Arial"/>
          <w:color w:val="1A1A2E"/>
          <w:sz w:val="22"/>
          <w:szCs w:val="22"/>
        </w:rPr>
        <w:t xml:space="preserve">Drill-Down Tooltips: Click any cell to see attack frequency, dominant attack type, trend direction, and public advisory links</w:t>
      </w:r>
    </w:p>
    <w:p>
      <w:pPr>
        <w:pStyle w:val="ListParagraph"/>
        <w:numPr>
          <w:ilvl w:val="0"/>
          <w:numId w:val="2"/>
        </w:numPr>
        <w:spacing w:after="40" w:before="40"/>
      </w:pPr>
      <w:r>
        <w:rPr>
          <w:rFonts w:ascii="Arial" w:cs="Arial" w:eastAsia="Arial" w:hAnsi="Arial"/>
          <w:color w:val="1A1A2E"/>
          <w:sz w:val="22"/>
          <w:szCs w:val="22"/>
        </w:rPr>
        <w:t xml:space="preserve">Emerging Threat Pins: Pulsing markers on cells where anomaly detection has flagged novel attack patterns</w:t>
      </w:r>
    </w:p>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12. Metrics &amp; Evaluation</w:t>
      </w:r>
    </w:p>
    <w:p>
      <w:pPr>
        <w:pStyle w:val="Heading2"/>
        <w:spacing w:after="80" w:before="240"/>
      </w:pPr>
      <w:r>
        <w:rPr>
          <w:rFonts w:ascii="Arial" w:cs="Arial" w:eastAsia="Arial" w:hAnsi="Arial"/>
          <w:b/>
          <w:bCs/>
          <w:color w:val="0066CC"/>
          <w:sz w:val="28"/>
          <w:szCs w:val="28"/>
        </w:rPr>
        <w:t xml:space="preserve">12.1 AI Model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700"/>
        <w:gridCol w:w="4140"/>
      </w:tblGrid>
      <w:tr>
        <w:tc>
          <w:tcPr>
            <w:tcW w:type="dxa" w:w="25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Metric</w:t>
            </w:r>
          </w:p>
        </w:tc>
        <w:tc>
          <w:tcPr>
            <w:tcW w:type="dxa" w:w="27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Target</w:t>
            </w:r>
          </w:p>
        </w:tc>
        <w:tc>
          <w:tcPr>
            <w:tcW w:type="dxa" w:w="41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Measurement Methodology</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Vulnerability Score RMSE</w:t>
            </w:r>
          </w:p>
        </w:tc>
        <w:tc>
          <w:tcPr>
            <w:tcW w:type="dxa" w:w="27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&lt; 8 (scale 0–100)</w:t>
            </w:r>
          </w:p>
        </w:tc>
        <w:tc>
          <w:tcPr>
            <w:tcW w:type="dxa" w:w="41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Held-out labeled dataset; 10-fold cross-validation</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Attack Classification F1 (macro)</w:t>
            </w:r>
          </w:p>
        </w:tc>
        <w:tc>
          <w:tcPr>
            <w:tcW w:type="dxa" w:w="27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&gt; 0.87</w:t>
            </w:r>
          </w:p>
        </w:tc>
        <w:tc>
          <w:tcPr>
            <w:tcW w:type="dxa" w:w="41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Balanced class evaluation across all 12 attack types</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False Positive Rate (user-facing warnings)</w:t>
            </w:r>
          </w:p>
        </w:tc>
        <w:tc>
          <w:tcPr>
            <w:tcW w:type="dxa" w:w="27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&lt; 5%</w:t>
            </w:r>
          </w:p>
        </w:tc>
        <w:tc>
          <w:tcPr>
            <w:tcW w:type="dxa" w:w="41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User-reported 'safe' overrides / total warnings triggered</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False Negative Rate (missed threats)</w:t>
            </w:r>
          </w:p>
        </w:tc>
        <w:tc>
          <w:tcPr>
            <w:tcW w:type="dxa" w:w="27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&lt; 3%</w:t>
            </w:r>
          </w:p>
        </w:tc>
        <w:tc>
          <w:tcPr>
            <w:tcW w:type="dxa" w:w="41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Red team simulated attacks; post-incident audit</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RL Policy Improvement Rate</w:t>
            </w:r>
          </w:p>
        </w:tc>
        <w:tc>
          <w:tcPr>
            <w:tcW w:type="dxa" w:w="27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&gt; 15% reduction in attack success rate vs. baseline</w:t>
            </w:r>
          </w:p>
        </w:tc>
        <w:tc>
          <w:tcPr>
            <w:tcW w:type="dxa" w:w="41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A/B test: RL-adapted vs. static warning policy</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Federated Model Convergence</w:t>
            </w:r>
          </w:p>
        </w:tc>
        <w:tc>
          <w:tcPr>
            <w:tcW w:type="dxa" w:w="27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Within 5% of centralized model accuracy</w:t>
            </w:r>
          </w:p>
        </w:tc>
        <w:tc>
          <w:tcPr>
            <w:tcW w:type="dxa" w:w="41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Federated vs. centralized training on same benchmark</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Differential Privacy Accounting</w:t>
            </w:r>
          </w:p>
        </w:tc>
        <w:tc>
          <w:tcPr>
            <w:tcW w:type="dxa" w:w="27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ε ≤ 1.0 at round T=500</w:t>
            </w:r>
          </w:p>
        </w:tc>
        <w:tc>
          <w:tcPr>
            <w:tcW w:type="dxa" w:w="41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Rényi DP accountant; verified per release</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12.2 Behavioral Improvement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Metric</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Baseline Target</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90-Day Target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Average user vulnerability score</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Starting score recorded</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15-point reduction</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Phishing click-through rate (simulated)</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Industry average 17.8%</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&lt; 5% for active TrustNet users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OTP sharing incident rate</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Baseline from onboarding survey</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70% reduction</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Warning acknowledgment rate (not dismiss)</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30%</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&gt; 65%</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self-reported confidence in threat detection</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Baseline survey</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+40% improvement</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12.3 System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KPI</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6-Month Target</w:t>
            </w:r>
          </w:p>
        </w:tc>
        <w:tc>
          <w:tcPr>
            <w:tcW w:type="dxa" w:w="31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18-Month Target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Monthly Active Devices (MAD)</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500,000</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10,000,000</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Organizations on Dashboard</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100</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2,500</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Attack Types Covered</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12</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20+</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Languages Supported</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5 (EN, HI, TA, TE, BN)</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22</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Federated Training Rounds Completed</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720 (6/day)</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8,760 (24/day)</w:t>
            </w:r>
          </w:p>
        </w:tc>
      </w:tr>
      <w:tr>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Global Risk Map Data Coverage</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15 countries</w:t>
            </w:r>
          </w:p>
        </w:tc>
        <w:tc>
          <w:tcPr>
            <w:tcW w:type="dxa" w:w="31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60 countries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API Integrations (SIEM/Banking)</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5</w:t>
            </w:r>
          </w:p>
        </w:tc>
        <w:tc>
          <w:tcPr>
            <w:tcW w:type="dxa" w:w="31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50</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13. Deployment Strategy</w:t>
      </w:r>
    </w:p>
    <w:p>
      <w:pPr>
        <w:pStyle w:val="Heading2"/>
        <w:spacing w:after="80" w:before="240"/>
      </w:pPr>
      <w:r>
        <w:rPr>
          <w:rFonts w:ascii="Arial" w:cs="Arial" w:eastAsia="Arial" w:hAnsi="Arial"/>
          <w:b/>
          <w:bCs/>
          <w:color w:val="0066CC"/>
          <w:sz w:val="28"/>
          <w:szCs w:val="28"/>
        </w:rPr>
        <w:t xml:space="preserve">13.1 MVP — Phase 1 (Months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MVP Scope</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Chrome Extension: URL analysis, email scanning, vulnerability score, Tier 1–3 warnings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Android App: SMS scam detection, OTP interlock, offline pattern database</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Federated Learning: Basic FedAvg with DP for extension users; 500 alpha devices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Dashboard: Beta access for 10 pilot organizations; heatmap + trend lines</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Geography: India-first deployment (largest social engineering attack volume in APAC)</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Languages: English + Hindi</w:t>
            </w:r>
          </w:p>
        </w:tc>
      </w:tr>
      <w:tr>
        <w:tc>
          <w:tcPr>
            <w:tcW w:type="dxa" w:w="9360"/>
            <w:tcBorders>
              <w:top w:val="single" w:color="CCDDEE" w:sz="1"/>
              <w:left w:val="single" w:color="CCDDEE" w:sz="1"/>
              <w:bottom w:val="single" w:color="CCDDEE" w:sz="1"/>
              <w:right w:val="single" w:color="CCDDEE" w:sz="1"/>
            </w:tcBorders>
            <w:shd w:fill="E8F0FA" w:val="clear"/>
            <w:tcMar>
              <w:top w:type="dxa" w:w="80"/>
              <w:left w:type="dxa" w:w="180"/>
              <w:bottom w:type="dxa" w:w="80"/>
              <w:right w:type="dxa" w:w="180"/>
            </w:tcMar>
          </w:tcPr>
          <w:p>
            <w:r>
              <w:rPr>
                <w:rFonts w:ascii="Arial" w:cs="Arial" w:eastAsia="Arial" w:hAnsi="Arial"/>
                <w:color w:val="1A1A2E"/>
                <w:sz w:val="21"/>
                <w:szCs w:val="21"/>
              </w:rPr>
              <w:t xml:space="preserve">Infrastructure: GCP (India region); Cloud Run + GKE for FL aggregator</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13.2 Phase 2 — Regional Scale (Months 7–18)</w:t>
      </w:r>
    </w:p>
    <w:p>
      <w:pPr>
        <w:pStyle w:val="ListParagraph"/>
        <w:numPr>
          <w:ilvl w:val="0"/>
          <w:numId w:val="2"/>
        </w:numPr>
        <w:spacing w:after="40" w:before="40"/>
      </w:pPr>
      <w:r>
        <w:rPr>
          <w:rFonts w:ascii="Arial" w:cs="Arial" w:eastAsia="Arial" w:hAnsi="Arial"/>
          <w:color w:val="1A1A2E"/>
          <w:sz w:val="22"/>
          <w:szCs w:val="22"/>
        </w:rPr>
        <w:t xml:space="preserve">iOS App launch + cross-platform feature parity</w:t>
      </w:r>
    </w:p>
    <w:p>
      <w:pPr>
        <w:pStyle w:val="ListParagraph"/>
        <w:numPr>
          <w:ilvl w:val="0"/>
          <w:numId w:val="2"/>
        </w:numPr>
        <w:spacing w:after="40" w:before="40"/>
      </w:pPr>
      <w:r>
        <w:rPr>
          <w:rFonts w:ascii="Arial" w:cs="Arial" w:eastAsia="Arial" w:hAnsi="Arial"/>
          <w:color w:val="1A1A2E"/>
          <w:sz w:val="22"/>
          <w:szCs w:val="22"/>
        </w:rPr>
        <w:t xml:space="preserve">RL adaptive defense engine deployed for all users with &gt;30 days history</w:t>
      </w:r>
    </w:p>
    <w:p>
      <w:pPr>
        <w:pStyle w:val="ListParagraph"/>
        <w:numPr>
          <w:ilvl w:val="0"/>
          <w:numId w:val="2"/>
        </w:numPr>
        <w:spacing w:after="40" w:before="40"/>
      </w:pPr>
      <w:r>
        <w:rPr>
          <w:rFonts w:ascii="Arial" w:cs="Arial" w:eastAsia="Arial" w:hAnsi="Arial"/>
          <w:color w:val="1A1A2E"/>
          <w:sz w:val="22"/>
          <w:szCs w:val="22"/>
        </w:rPr>
        <w:t xml:space="preserve">Dashboard GA launch; 100+ enterprise clients; SOC 2 Type II audit</w:t>
      </w:r>
    </w:p>
    <w:p>
      <w:pPr>
        <w:pStyle w:val="ListParagraph"/>
        <w:numPr>
          <w:ilvl w:val="0"/>
          <w:numId w:val="2"/>
        </w:numPr>
        <w:spacing w:after="40" w:before="40"/>
      </w:pPr>
      <w:r>
        <w:rPr>
          <w:rFonts w:ascii="Arial" w:cs="Arial" w:eastAsia="Arial" w:hAnsi="Arial"/>
          <w:color w:val="1A1A2E"/>
          <w:sz w:val="22"/>
          <w:szCs w:val="22"/>
        </w:rPr>
        <w:t xml:space="preserve">Geographic expansion: Southeast Asia (Indonesia, Philippines, Vietnam), Africa (Nigeria, Kenya)</w:t>
      </w:r>
    </w:p>
    <w:p>
      <w:pPr>
        <w:pStyle w:val="ListParagraph"/>
        <w:numPr>
          <w:ilvl w:val="0"/>
          <w:numId w:val="2"/>
        </w:numPr>
        <w:spacing w:after="40" w:before="40"/>
      </w:pPr>
      <w:r>
        <w:rPr>
          <w:rFonts w:ascii="Arial" w:cs="Arial" w:eastAsia="Arial" w:hAnsi="Arial"/>
          <w:color w:val="1A1A2E"/>
          <w:sz w:val="22"/>
          <w:szCs w:val="22"/>
        </w:rPr>
        <w:t xml:space="preserve">Language expansion: 10 Indian regional languages + Bahasa Indonesia, Swahili</w:t>
      </w:r>
    </w:p>
    <w:p>
      <w:pPr>
        <w:pStyle w:val="ListParagraph"/>
        <w:numPr>
          <w:ilvl w:val="0"/>
          <w:numId w:val="2"/>
        </w:numPr>
        <w:spacing w:after="40" w:before="40"/>
      </w:pPr>
      <w:r>
        <w:rPr>
          <w:rFonts w:ascii="Arial" w:cs="Arial" w:eastAsia="Arial" w:hAnsi="Arial"/>
          <w:color w:val="1A1A2E"/>
          <w:sz w:val="22"/>
          <w:szCs w:val="22"/>
        </w:rPr>
        <w:t xml:space="preserve">Global Risk Map public beta; CERT API partnerships initiated</w:t>
      </w:r>
    </w:p>
    <w:p>
      <w:pPr>
        <w:pStyle w:val="ListParagraph"/>
        <w:numPr>
          <w:ilvl w:val="0"/>
          <w:numId w:val="2"/>
        </w:numPr>
        <w:spacing w:after="40" w:before="40"/>
      </w:pPr>
      <w:r>
        <w:rPr>
          <w:rFonts w:ascii="Arial" w:cs="Arial" w:eastAsia="Arial" w:hAnsi="Arial"/>
          <w:color w:val="1A1A2E"/>
          <w:sz w:val="22"/>
          <w:szCs w:val="22"/>
        </w:rPr>
        <w:t xml:space="preserve">FL infrastructure scaled to 1M devices; Regional Aggregation Nodes in 5 geographies</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13.3 Phase 3 — Global Intelligence (Months 19–36)</w:t>
      </w:r>
    </w:p>
    <w:p>
      <w:pPr>
        <w:pStyle w:val="ListParagraph"/>
        <w:numPr>
          <w:ilvl w:val="0"/>
          <w:numId w:val="2"/>
        </w:numPr>
        <w:spacing w:after="40" w:before="40"/>
      </w:pPr>
      <w:r>
        <w:rPr>
          <w:rFonts w:ascii="Arial" w:cs="Arial" w:eastAsia="Arial" w:hAnsi="Arial"/>
          <w:color w:val="1A1A2E"/>
          <w:sz w:val="22"/>
          <w:szCs w:val="22"/>
        </w:rPr>
        <w:t xml:space="preserve">10M+ device FL network; 6-hour global model update cycle</w:t>
      </w:r>
    </w:p>
    <w:p>
      <w:pPr>
        <w:pStyle w:val="ListParagraph"/>
        <w:numPr>
          <w:ilvl w:val="0"/>
          <w:numId w:val="2"/>
        </w:numPr>
        <w:spacing w:after="40" w:before="40"/>
      </w:pPr>
      <w:r>
        <w:rPr>
          <w:rFonts w:ascii="Arial" w:cs="Arial" w:eastAsia="Arial" w:hAnsi="Arial"/>
          <w:color w:val="1A1A2E"/>
          <w:sz w:val="22"/>
          <w:szCs w:val="22"/>
        </w:rPr>
        <w:t xml:space="preserve">Banking / NBFC API integration for real-time transaction risk signals</w:t>
      </w:r>
    </w:p>
    <w:p>
      <w:pPr>
        <w:pStyle w:val="ListParagraph"/>
        <w:numPr>
          <w:ilvl w:val="0"/>
          <w:numId w:val="2"/>
        </w:numPr>
        <w:spacing w:after="40" w:before="40"/>
      </w:pPr>
      <w:r>
        <w:rPr>
          <w:rFonts w:ascii="Arial" w:cs="Arial" w:eastAsia="Arial" w:hAnsi="Arial"/>
          <w:color w:val="1A1A2E"/>
          <w:sz w:val="22"/>
          <w:szCs w:val="22"/>
        </w:rPr>
        <w:t xml:space="preserve">Government partnerships: CERT-In (India), CISA (US), ENISA (EU) data sharing agreements</w:t>
      </w:r>
    </w:p>
    <w:p>
      <w:pPr>
        <w:pStyle w:val="ListParagraph"/>
        <w:numPr>
          <w:ilvl w:val="0"/>
          <w:numId w:val="2"/>
        </w:numPr>
        <w:spacing w:after="40" w:before="40"/>
      </w:pPr>
      <w:r>
        <w:rPr>
          <w:rFonts w:ascii="Arial" w:cs="Arial" w:eastAsia="Arial" w:hAnsi="Arial"/>
          <w:color w:val="1A1A2E"/>
          <w:sz w:val="22"/>
          <w:szCs w:val="22"/>
        </w:rPr>
        <w:t xml:space="preserve">Deepfake detection model for voice calls deployed at scale</w:t>
      </w:r>
    </w:p>
    <w:p>
      <w:pPr>
        <w:pStyle w:val="ListParagraph"/>
        <w:numPr>
          <w:ilvl w:val="0"/>
          <w:numId w:val="2"/>
        </w:numPr>
        <w:spacing w:after="40" w:before="40"/>
      </w:pPr>
      <w:r>
        <w:rPr>
          <w:rFonts w:ascii="Arial" w:cs="Arial" w:eastAsia="Arial" w:hAnsi="Arial"/>
          <w:color w:val="1A1A2E"/>
          <w:sz w:val="22"/>
          <w:szCs w:val="22"/>
        </w:rPr>
        <w:t xml:space="preserve">50+ country coverage on Global Risk Map</w:t>
      </w:r>
    </w:p>
    <w:p>
      <w:pPr>
        <w:pStyle w:val="ListParagraph"/>
        <w:numPr>
          <w:ilvl w:val="0"/>
          <w:numId w:val="2"/>
        </w:numPr>
        <w:spacing w:after="40" w:before="40"/>
      </w:pPr>
      <w:r>
        <w:rPr>
          <w:rFonts w:ascii="Arial" w:cs="Arial" w:eastAsia="Arial" w:hAnsi="Arial"/>
          <w:color w:val="1A1A2E"/>
          <w:sz w:val="22"/>
          <w:szCs w:val="22"/>
        </w:rPr>
        <w:t xml:space="preserve">Autonomous Red Teaming: Synthetic adversarial attack generation to continuously stress-test model robustness</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13.4 Edge vs. Cloud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2"/>
                <w:szCs w:val="22"/>
              </w:rPr>
              <w:t xml:space="preserve">On-Device (Edge)</w:t>
            </w:r>
          </w:p>
        </w:tc>
        <w:tc>
          <w:tcPr>
            <w:tcW w:type="dxa" w:w="4680"/>
            <w:tcBorders>
              <w:top w:val="single" w:color="CCDDEE" w:sz="1"/>
              <w:left w:val="single" w:color="CCDDEE" w:sz="1"/>
              <w:bottom w:val="single" w:color="CCDDEE" w:sz="1"/>
              <w:right w:val="single" w:color="CCDDEE" w:sz="1"/>
            </w:tcBorders>
            <w:shd w:fill="0066CC" w:val="clear"/>
            <w:tcMar>
              <w:top w:type="dxa" w:w="100"/>
              <w:left w:type="dxa" w:w="150"/>
              <w:bottom w:type="dxa" w:w="100"/>
              <w:right w:type="dxa" w:w="150"/>
            </w:tcMar>
          </w:tcPr>
          <w:p>
            <w:r>
              <w:rPr>
                <w:rFonts w:ascii="Arial" w:cs="Arial" w:eastAsia="Arial" w:hAnsi="Arial"/>
                <w:b/>
                <w:bCs/>
                <w:color w:val="FFFFFF"/>
                <w:sz w:val="22"/>
                <w:szCs w:val="22"/>
              </w:rPr>
              <w:t xml:space="preserve">Processed On-Device</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C</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P</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l</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r</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o</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o</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u</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c</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d</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e</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 </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s</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I</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s</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n</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e</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f</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d</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r</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a</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i</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s</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n</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t</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r</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C</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u</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l</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c</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o</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t</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u</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u</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d</w:t>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r</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e</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DEE" w:sz="1"/>
              <w:left w:val="single" w:color="CCDDEE" w:sz="1"/>
              <w:bottom w:val="single" w:color="CCDDEE" w:sz="1"/>
              <w:right w:val="single" w:color="CCDDEE" w:sz="1"/>
            </w:tcBorders>
            <w:shd w:fill="E8F0FA" w:val="clear"/>
            <w:tcMar>
              <w:top w:type="dxa" w:w="80"/>
              <w:left w:type="dxa" w:w="150"/>
              <w:bottom w:type="dxa" w:w="80"/>
              <w:right w:type="dxa" w:w="150"/>
            </w:tcMar>
          </w:tcPr>
          <w:p>
            <w:r>
              <w:rPr>
                <w:rFonts w:ascii="Arial" w:cs="Arial" w:eastAsia="Arial" w:hAnsi="Arial"/>
                <w:color w:val="1A1A2E"/>
                <w:sz w:val="21"/>
                <w:szCs w:val="21"/>
              </w:rPr>
              <w:t xml:space="preserve">Raw message/URL content</w:t>
            </w:r>
          </w:p>
          <w:p>
            <w:r>
              <w:rPr>
                <w:rFonts w:ascii="Arial" w:cs="Arial" w:eastAsia="Arial" w:hAnsi="Arial"/>
                <w:color w:val="1A1A2E"/>
                <w:sz w:val="21"/>
                <w:szCs w:val="21"/>
              </w:rPr>
              <w:t xml:space="preserve">NLP feature extraction</w:t>
            </w:r>
          </w:p>
          <w:p>
            <w:r>
              <w:rPr>
                <w:rFonts w:ascii="Arial" w:cs="Arial" w:eastAsia="Arial" w:hAnsi="Arial"/>
                <w:color w:val="1A1A2E"/>
                <w:sz w:val="21"/>
                <w:szCs w:val="21"/>
              </w:rPr>
              <w:t xml:space="preserve">Local model inference</w:t>
            </w:r>
          </w:p>
          <w:p>
            <w:r>
              <w:rPr>
                <w:rFonts w:ascii="Arial" w:cs="Arial" w:eastAsia="Arial" w:hAnsi="Arial"/>
                <w:color w:val="1A1A2E"/>
                <w:sz w:val="21"/>
                <w:szCs w:val="21"/>
              </w:rPr>
              <w:t xml:space="preserve">Warning UI rendering</w:t>
            </w:r>
          </w:p>
          <w:p>
            <w:r>
              <w:rPr>
                <w:rFonts w:ascii="Arial" w:cs="Arial" w:eastAsia="Arial" w:hAnsi="Arial"/>
                <w:color w:val="1A1A2E"/>
                <w:sz w:val="21"/>
                <w:szCs w:val="21"/>
              </w:rPr>
              <w:t xml:space="preserve">Behavioral signal capture</w:t>
            </w:r>
          </w:p>
          <w:p>
            <w:r>
              <w:rPr>
                <w:rFonts w:ascii="Arial" w:cs="Arial" w:eastAsia="Arial" w:hAnsi="Arial"/>
                <w:color w:val="1A1A2E"/>
                <w:sz w:val="21"/>
                <w:szCs w:val="21"/>
              </w:rPr>
              <w:t xml:space="preserve">RL policy inference</w:t>
            </w:r>
          </w:p>
        </w:tc>
        <w:tc>
          <w:tcPr>
            <w:tcW w:type="dxa" w:w="4680"/>
            <w:tcBorders>
              <w:top w:val="single" w:color="CCDDEE" w:sz="1"/>
              <w:left w:val="single" w:color="CCDDEE" w:sz="1"/>
              <w:bottom w:val="single" w:color="CCDDEE" w:sz="1"/>
              <w:right w:val="single" w:color="CCDDEE" w:sz="1"/>
            </w:tcBorders>
            <w:shd w:fill="E6F5EE" w:val="clear"/>
            <w:tcMar>
              <w:top w:type="dxa" w:w="80"/>
              <w:left w:type="dxa" w:w="150"/>
              <w:bottom w:type="dxa" w:w="80"/>
              <w:right w:type="dxa" w:w="150"/>
            </w:tcMar>
          </w:tcPr>
          <w:p>
            <w:r>
              <w:rPr>
                <w:rFonts w:ascii="Arial" w:cs="Arial" w:eastAsia="Arial" w:hAnsi="Arial"/>
                <w:color w:val="1A1A2E"/>
                <w:sz w:val="21"/>
                <w:szCs w:val="21"/>
              </w:rPr>
              <w:t xml:space="preserve">FL model aggregation</w:t>
            </w:r>
          </w:p>
          <w:p>
            <w:r>
              <w:rPr>
                <w:rFonts w:ascii="Arial" w:cs="Arial" w:eastAsia="Arial" w:hAnsi="Arial"/>
                <w:color w:val="1A1A2E"/>
                <w:sz w:val="21"/>
                <w:szCs w:val="21"/>
              </w:rPr>
              <w:t xml:space="preserve">Global threat intelligence</w:t>
            </w:r>
          </w:p>
          <w:p>
            <w:r>
              <w:rPr>
                <w:rFonts w:ascii="Arial" w:cs="Arial" w:eastAsia="Arial" w:hAnsi="Arial"/>
                <w:color w:val="1A1A2E"/>
                <w:sz w:val="21"/>
                <w:szCs w:val="21"/>
              </w:rPr>
              <w:t xml:space="preserve">Risk Map backend</w:t>
            </w:r>
          </w:p>
          <w:p>
            <w:r>
              <w:rPr>
                <w:rFonts w:ascii="Arial" w:cs="Arial" w:eastAsia="Arial" w:hAnsi="Arial"/>
                <w:color w:val="1A1A2E"/>
                <w:sz w:val="21"/>
                <w:szCs w:val="21"/>
              </w:rPr>
              <w:t xml:space="preserve">Dashboard analytics API</w:t>
            </w:r>
          </w:p>
          <w:p>
            <w:r>
              <w:rPr>
                <w:rFonts w:ascii="Arial" w:cs="Arial" w:eastAsia="Arial" w:hAnsi="Arial"/>
                <w:color w:val="1A1A2E"/>
                <w:sz w:val="21"/>
                <w:szCs w:val="21"/>
              </w:rPr>
              <w:t xml:space="preserve">RL policy training</w:t>
            </w:r>
          </w:p>
          <w:p>
            <w:r>
              <w:rPr>
                <w:rFonts w:ascii="Arial" w:cs="Arial" w:eastAsia="Arial" w:hAnsi="Arial"/>
                <w:color w:val="1A1A2E"/>
                <w:sz w:val="21"/>
                <w:szCs w:val="21"/>
              </w:rPr>
              <w:t xml:space="preserve">Model registry + distribution</w:t>
            </w:r>
          </w:p>
        </w:tc>
      </w:tr>
    </w:tbl>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14. Risks &amp; Challenges</w:t>
      </w:r>
    </w:p>
    <w:p>
      <w:pPr>
        <w:pStyle w:val="Heading2"/>
        <w:spacing w:after="80" w:before="240"/>
      </w:pPr>
      <w:r>
        <w:rPr>
          <w:rFonts w:ascii="Arial" w:cs="Arial" w:eastAsia="Arial" w:hAnsi="Arial"/>
          <w:b/>
          <w:bCs/>
          <w:color w:val="0066CC"/>
          <w:sz w:val="28"/>
          <w:szCs w:val="28"/>
        </w:rPr>
        <w:t xml:space="preserve">14.1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900"/>
        <w:gridCol w:w="900"/>
        <w:gridCol w:w="5040"/>
      </w:tblGrid>
      <w:tr>
        <w:tc>
          <w:tcPr>
            <w:tcW w:type="dxa" w:w="252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Risk</w:t>
            </w:r>
          </w:p>
        </w:tc>
        <w:tc>
          <w:tcPr>
            <w:tcW w:type="dxa" w:w="9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Probability</w:t>
            </w:r>
          </w:p>
        </w:tc>
        <w:tc>
          <w:tcPr>
            <w:tcW w:type="dxa" w:w="90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Impact</w:t>
            </w:r>
          </w:p>
        </w:tc>
        <w:tc>
          <w:tcPr>
            <w:tcW w:type="dxa" w:w="50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Mitigation</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Federated learning convergence degradation with heterogeneous device data (non-IID)</w:t>
            </w:r>
          </w:p>
        </w:tc>
        <w:tc>
          <w:tcPr>
            <w:tcW w:type="dxa" w:w="9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9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50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FedProx regularization; clustered FL; personalization layers (FedPer)</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On-device model inference too slow for mid-range Android devices</w:t>
            </w:r>
          </w:p>
        </w:tc>
        <w:tc>
          <w:tcPr>
            <w:tcW w:type="dxa" w:w="9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9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50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INT8 quantization; model pruning; ONNX Runtime optimization; async inference</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Adversarial attacks: attackers probe global model to craft detection-evasion phishing</w:t>
            </w:r>
          </w:p>
        </w:tc>
        <w:tc>
          <w:tcPr>
            <w:tcW w:type="dxa" w:w="9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9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Very High</w:t>
            </w:r>
          </w:p>
        </w:tc>
        <w:tc>
          <w:tcPr>
            <w:tcW w:type="dxa" w:w="50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Certified robustness training; randomized smoothing; model watermarking; frequent retraining</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False positive rate causing user distrust and uninstalls</w:t>
            </w:r>
          </w:p>
        </w:tc>
        <w:tc>
          <w:tcPr>
            <w:tcW w:type="dxa" w:w="9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9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50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RL-optimized warning thresholds; extensive A/B testing; user feedback loops</w:t>
            </w:r>
          </w:p>
        </w:tc>
      </w:tr>
      <w:tr>
        <w:tc>
          <w:tcPr>
            <w:tcW w:type="dxa" w:w="252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Data poisoning: adversarial clients inject malicious gradients</w:t>
            </w:r>
          </w:p>
        </w:tc>
        <w:tc>
          <w:tcPr>
            <w:tcW w:type="dxa" w:w="9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90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50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Byzantine-fault-tolerant aggregation (Krum, FLTrust); anomaly detection on gradient distributions</w:t>
            </w:r>
          </w:p>
        </w:tc>
      </w:tr>
      <w:tr>
        <w:tc>
          <w:tcPr>
            <w:tcW w:type="dxa" w:w="252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Privacy budget exhaustion over long-term deployment</w:t>
            </w:r>
          </w:p>
        </w:tc>
        <w:tc>
          <w:tcPr>
            <w:tcW w:type="dxa" w:w="9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90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50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Adaptive privacy budget management; DP-SGD with dynamic noise scheduling</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14.2 Ethical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Risk</w:t>
            </w:r>
          </w:p>
        </w:tc>
        <w:tc>
          <w:tcPr>
            <w:tcW w:type="dxa" w:w="324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3960"/>
            <w:tcBorders>
              <w:top w:val="single" w:color="CCDDEE" w:sz="1"/>
              <w:left w:val="single" w:color="CCDDEE" w:sz="1"/>
              <w:bottom w:val="single" w:color="CCDDEE" w:sz="1"/>
              <w:right w:val="single" w:color="CCDDEE"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Mitigation</w:t>
            </w:r>
          </w:p>
        </w:tc>
      </w:tr>
      <w:tr>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Surveillance creep</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System perceived as employee monitoring rather than protection</w:t>
            </w:r>
          </w:p>
        </w:tc>
        <w:tc>
          <w:tcPr>
            <w:tcW w:type="dxa" w:w="39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Explicit opt-in; user-visible data controls; transparent privacy reports; independent audits</w:t>
            </w:r>
          </w:p>
        </w:tc>
      </w:tr>
      <w:tr>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Vulnerability score discrimination</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Employers using scores to penalize low-scoring employees</w:t>
            </w:r>
          </w:p>
        </w:tc>
        <w:tc>
          <w:tcPr>
            <w:tcW w:type="dxa" w:w="39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Scores never visible to employers for individuals; only aggregate org-level data in dashboard</w:t>
            </w:r>
          </w:p>
        </w:tc>
      </w:tr>
      <w:tr>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Bias in attack prediction</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Models performing worse for specific linguistic/demographic groups</w:t>
            </w:r>
          </w:p>
        </w:tc>
        <w:tc>
          <w:tcPr>
            <w:tcW w:type="dxa" w:w="39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Fairness auditing per demographic cohort; federated fairness constraints; diverse training data</w:t>
            </w:r>
          </w:p>
        </w:tc>
      </w:tr>
      <w:tr>
        <w:tc>
          <w:tcPr>
            <w:tcW w:type="dxa" w:w="21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Paternalism in hard blocks</w:t>
            </w:r>
          </w:p>
        </w:tc>
        <w:tc>
          <w:tcPr>
            <w:tcW w:type="dxa" w:w="324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Users unable to access legitimate content due to false positives</w:t>
            </w:r>
          </w:p>
        </w:tc>
        <w:tc>
          <w:tcPr>
            <w:tcW w:type="dxa" w:w="3960"/>
            <w:tcBorders>
              <w:top w:val="single" w:color="CCDDEE" w:sz="1"/>
              <w:left w:val="single" w:color="CCDDEE" w:sz="1"/>
              <w:bottom w:val="single" w:color="CCDDEE" w:sz="1"/>
              <w:right w:val="single" w:color="CCDDEE" w:sz="1"/>
            </w:tcBorders>
            <w:shd w:fill="F0F4FA" w:val="clear"/>
            <w:tcMar>
              <w:top w:type="dxa" w:w="80"/>
              <w:left w:type="dxa" w:w="150"/>
              <w:bottom w:type="dxa" w:w="80"/>
              <w:right w:type="dxa" w:w="150"/>
            </w:tcMar>
          </w:tcPr>
          <w:p>
            <w:r>
              <w:rPr>
                <w:rFonts w:ascii="Arial" w:cs="Arial" w:eastAsia="Arial" w:hAnsi="Arial"/>
                <w:color w:val="1A1A2E"/>
                <w:sz w:val="20"/>
                <w:szCs w:val="20"/>
              </w:rPr>
              <w:t xml:space="preserve">Override mechanism for all blocks (audit logged); false positive complaints treated as P0 bugs</w:t>
            </w:r>
          </w:p>
        </w:tc>
      </w:tr>
      <w:tr>
        <w:tc>
          <w:tcPr>
            <w:tcW w:type="dxa" w:w="21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Concentration of intelligence</w:t>
            </w:r>
          </w:p>
        </w:tc>
        <w:tc>
          <w:tcPr>
            <w:tcW w:type="dxa" w:w="32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TrustNet becoming a single point of truth for threat intelligence</w:t>
            </w:r>
          </w:p>
        </w:tc>
        <w:tc>
          <w:tcPr>
            <w:tcW w:type="dxa" w:w="396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Open-source threat taxonomy; CERT partnerships; competing intelligence sources endorsed</w:t>
            </w:r>
          </w:p>
        </w:tc>
      </w:tr>
    </w:tbl>
    <w:p>
      <w:pPr>
        <w:spacing w:after="0" w:before="100"/>
      </w:pPr>
      <w:r>
        <w:t xml:space="preserve"/>
      </w:r>
    </w:p>
    <w:p>
      <w:pPr>
        <w:pStyle w:val="Heading2"/>
        <w:spacing w:after="80" w:before="240"/>
      </w:pPr>
      <w:r>
        <w:rPr>
          <w:rFonts w:ascii="Arial" w:cs="Arial" w:eastAsia="Arial" w:hAnsi="Arial"/>
          <w:b/>
          <w:bCs/>
          <w:color w:val="0066CC"/>
          <w:sz w:val="28"/>
          <w:szCs w:val="28"/>
        </w:rPr>
        <w:t xml:space="preserve">14.3 Adoption Barriers</w:t>
      </w:r>
    </w:p>
    <w:p>
      <w:pPr>
        <w:pStyle w:val="ListParagraph"/>
        <w:numPr>
          <w:ilvl w:val="0"/>
          <w:numId w:val="2"/>
        </w:numPr>
        <w:spacing w:after="40" w:before="40"/>
      </w:pPr>
      <w:r>
        <w:rPr>
          <w:rFonts w:ascii="Arial" w:cs="Arial" w:eastAsia="Arial" w:hAnsi="Arial"/>
          <w:color w:val="1A1A2E"/>
          <w:sz w:val="22"/>
          <w:szCs w:val="22"/>
        </w:rPr>
        <w:t xml:space="preserve">Privacy Perception: Despite rigorous privacy guarantees, users may distrust any system that analyzes their messages. Mitigation: Third-party privacy audit; open-source local NLP components; transparent privacy report accessible in-app.</w:t>
      </w:r>
    </w:p>
    <w:p>
      <w:pPr>
        <w:pStyle w:val="ListParagraph"/>
        <w:numPr>
          <w:ilvl w:val="0"/>
          <w:numId w:val="2"/>
        </w:numPr>
        <w:spacing w:after="40" w:before="40"/>
      </w:pPr>
      <w:r>
        <w:rPr>
          <w:rFonts w:ascii="Arial" w:cs="Arial" w:eastAsia="Arial" w:hAnsi="Arial"/>
          <w:color w:val="1A1A2E"/>
          <w:sz w:val="22"/>
          <w:szCs w:val="22"/>
        </w:rPr>
        <w:t xml:space="preserve">Enterprise IT Procurement: Security tools require lengthy procurement cycles (6–18 months) in large enterprises. Mitigation: Free tier for SMBs; pilot-to-purchase program; pre-integrated with common SIEM/SOAR platforms.</w:t>
      </w:r>
    </w:p>
    <w:p>
      <w:pPr>
        <w:pStyle w:val="ListParagraph"/>
        <w:numPr>
          <w:ilvl w:val="0"/>
          <w:numId w:val="2"/>
        </w:numPr>
        <w:spacing w:after="40" w:before="40"/>
      </w:pPr>
      <w:r>
        <w:rPr>
          <w:rFonts w:ascii="Arial" w:cs="Arial" w:eastAsia="Arial" w:hAnsi="Arial"/>
          <w:color w:val="1A1A2E"/>
          <w:sz w:val="22"/>
          <w:szCs w:val="22"/>
        </w:rPr>
        <w:t xml:space="preserve">Regulatory Variation: Data processing rules differ significantly across the 60+ target countries. Mitigation: Legal analysis per region before launch; local data residency options; GDPR-baseline compliance for all markets.</w:t>
      </w:r>
    </w:p>
    <w:p>
      <w:pPr>
        <w:pStyle w:val="ListParagraph"/>
        <w:numPr>
          <w:ilvl w:val="0"/>
          <w:numId w:val="2"/>
        </w:numPr>
        <w:spacing w:after="40" w:before="40"/>
      </w:pPr>
      <w:r>
        <w:rPr>
          <w:rFonts w:ascii="Arial" w:cs="Arial" w:eastAsia="Arial" w:hAnsi="Arial"/>
          <w:color w:val="1A1A2E"/>
          <w:sz w:val="22"/>
          <w:szCs w:val="22"/>
        </w:rPr>
        <w:t xml:space="preserve">Device Resource Competition: Background processes competing with user apps on low-end devices. Mitigation: Aggressive battery/memory budget enforcement; background processing only on charging + idle + WiFi.</w:t>
      </w:r>
    </w:p>
    <w:p>
      <w:r>
        <w:br w:type="page"/>
      </w:r>
    </w:p>
    <w:p>
      <w:pPr>
        <w:pStyle w:val="Heading1"/>
        <w:pBdr>
          <w:bottom w:val="single" w:color="0066CC" w:sz="3" w:space="6"/>
        </w:pBdr>
        <w:spacing w:after="120" w:before="360"/>
      </w:pPr>
      <w:r>
        <w:rPr>
          <w:rFonts w:ascii="Arial" w:cs="Arial" w:eastAsia="Arial" w:hAnsi="Arial"/>
          <w:b/>
          <w:bCs/>
          <w:color w:val="1A3A5C"/>
          <w:sz w:val="36"/>
          <w:szCs w:val="36"/>
        </w:rPr>
        <w:t xml:space="preserve">15. Future Scope</w:t>
      </w:r>
    </w:p>
    <w:p>
      <w:pPr>
        <w:pStyle w:val="Heading2"/>
        <w:spacing w:after="80" w:before="240"/>
      </w:pPr>
      <w:r>
        <w:rPr>
          <w:rFonts w:ascii="Arial" w:cs="Arial" w:eastAsia="Arial" w:hAnsi="Arial"/>
          <w:b/>
          <w:bCs/>
          <w:color w:val="0066CC"/>
          <w:sz w:val="28"/>
          <w:szCs w:val="28"/>
        </w:rPr>
        <w:t xml:space="preserve">15.1 Scaling to Global Infrastructure</w:t>
      </w:r>
    </w:p>
    <w:p>
      <w:pPr>
        <w:pStyle w:val="ListParagraph"/>
        <w:numPr>
          <w:ilvl w:val="0"/>
          <w:numId w:val="2"/>
        </w:numPr>
        <w:spacing w:after="40" w:before="40"/>
      </w:pPr>
      <w:r>
        <w:rPr>
          <w:rFonts w:ascii="Arial" w:cs="Arial" w:eastAsia="Arial" w:hAnsi="Arial"/>
          <w:color w:val="1A1A2E"/>
          <w:sz w:val="22"/>
          <w:szCs w:val="22"/>
        </w:rPr>
        <w:t xml:space="preserve">Sovereign Cloud Deployments: Regional TrustNet nodes in EU (GDPR-sovereign zone), India (DPDPA), US (CCPA), and ASEAN — ensuring regulatory compliance and data residency at continental scale.</w:t>
      </w:r>
    </w:p>
    <w:p>
      <w:pPr>
        <w:pStyle w:val="ListParagraph"/>
        <w:numPr>
          <w:ilvl w:val="0"/>
          <w:numId w:val="2"/>
        </w:numPr>
        <w:spacing w:after="40" w:before="40"/>
      </w:pPr>
      <w:r>
        <w:rPr>
          <w:rFonts w:ascii="Arial" w:cs="Arial" w:eastAsia="Arial" w:hAnsi="Arial"/>
          <w:color w:val="1A1A2E"/>
          <w:sz w:val="22"/>
          <w:szCs w:val="22"/>
        </w:rPr>
        <w:t xml:space="preserve">Edge Computing Integration: Deployment on telecom network edge nodes (MEC) to provide carrier-level scam detection without any data leaving the telco network — enabling 'TrustNet Embedded' for mobile carriers.</w:t>
      </w:r>
    </w:p>
    <w:p>
      <w:pPr>
        <w:pStyle w:val="ListParagraph"/>
        <w:numPr>
          <w:ilvl w:val="0"/>
          <w:numId w:val="2"/>
        </w:numPr>
        <w:spacing w:after="40" w:before="40"/>
      </w:pPr>
      <w:r>
        <w:rPr>
          <w:rFonts w:ascii="Arial" w:cs="Arial" w:eastAsia="Arial" w:hAnsi="Arial"/>
          <w:color w:val="1A1A2E"/>
          <w:sz w:val="22"/>
          <w:szCs w:val="22"/>
        </w:rPr>
        <w:t xml:space="preserve">IoT &amp; Smart Device Protection: Extension of behavioral vulnerability modeling to smart home device interaction patterns — protecting elderly users from voice-assistant scams.</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15.2 Banking &amp; Financial System Integration</w:t>
      </w:r>
    </w:p>
    <w:p>
      <w:pPr>
        <w:pStyle w:val="ListParagraph"/>
        <w:numPr>
          <w:ilvl w:val="0"/>
          <w:numId w:val="2"/>
        </w:numPr>
        <w:spacing w:after="40" w:before="40"/>
      </w:pPr>
      <w:r>
        <w:rPr>
          <w:rFonts w:ascii="Arial" w:cs="Arial" w:eastAsia="Arial" w:hAnsi="Arial"/>
          <w:color w:val="1A1A2E"/>
          <w:sz w:val="22"/>
          <w:szCs w:val="22"/>
        </w:rPr>
        <w:t xml:space="preserve">Transaction-Time Risk Signals: Real-time TrustNet behavioral risk scores injected into bank fraud decisioning systems (with user consent) — dynamic friction applied only when behavioral context indicates manipulation.</w:t>
      </w:r>
    </w:p>
    <w:p>
      <w:pPr>
        <w:pStyle w:val="ListParagraph"/>
        <w:numPr>
          <w:ilvl w:val="0"/>
          <w:numId w:val="2"/>
        </w:numPr>
        <w:spacing w:after="40" w:before="40"/>
      </w:pPr>
      <w:r>
        <w:rPr>
          <w:rFonts w:ascii="Arial" w:cs="Arial" w:eastAsia="Arial" w:hAnsi="Arial"/>
          <w:color w:val="1A1A2E"/>
          <w:sz w:val="22"/>
          <w:szCs w:val="22"/>
        </w:rPr>
        <w:t xml:space="preserve">UPI / Payment Network Integration: TrustNet API integration with NPCI (India), SWIFT, and Visa/Mastercard fraud networks for bidirectional threat intelligence sharing.</w:t>
      </w:r>
    </w:p>
    <w:p>
      <w:pPr>
        <w:pStyle w:val="ListParagraph"/>
        <w:numPr>
          <w:ilvl w:val="0"/>
          <w:numId w:val="2"/>
        </w:numPr>
        <w:spacing w:after="40" w:before="40"/>
      </w:pPr>
      <w:r>
        <w:rPr>
          <w:rFonts w:ascii="Arial" w:cs="Arial" w:eastAsia="Arial" w:hAnsi="Arial"/>
          <w:color w:val="1A1A2E"/>
          <w:sz w:val="22"/>
          <w:szCs w:val="22"/>
        </w:rPr>
        <w:t xml:space="preserve">Insurance Product: Cyber insurance premium adjustment based on verified TrustNet vulnerability score improvement — creating financial incentive for behavioral improvement.</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15.3 Government &amp; CERT Integration</w:t>
      </w:r>
    </w:p>
    <w:p>
      <w:pPr>
        <w:pStyle w:val="ListParagraph"/>
        <w:numPr>
          <w:ilvl w:val="0"/>
          <w:numId w:val="2"/>
        </w:numPr>
        <w:spacing w:after="40" w:before="40"/>
      </w:pPr>
      <w:r>
        <w:rPr>
          <w:rFonts w:ascii="Arial" w:cs="Arial" w:eastAsia="Arial" w:hAnsi="Arial"/>
          <w:color w:val="1A1A2E"/>
          <w:sz w:val="22"/>
          <w:szCs w:val="22"/>
        </w:rPr>
        <w:t xml:space="preserve">National Threat Intelligence Feed: Anonymized, aggregated attack trend data provided to national CERTs via structured STIX/TAXII format.</w:t>
      </w:r>
    </w:p>
    <w:p>
      <w:pPr>
        <w:pStyle w:val="ListParagraph"/>
        <w:numPr>
          <w:ilvl w:val="0"/>
          <w:numId w:val="2"/>
        </w:numPr>
        <w:spacing w:after="40" w:before="40"/>
      </w:pPr>
      <w:r>
        <w:rPr>
          <w:rFonts w:ascii="Arial" w:cs="Arial" w:eastAsia="Arial" w:hAnsi="Arial"/>
          <w:color w:val="1A1A2E"/>
          <w:sz w:val="22"/>
          <w:szCs w:val="22"/>
        </w:rPr>
        <w:t xml:space="preserve">Public Awareness Campaigns: TrustNet Global Risk Map data powering real-time public advisories ('SMS scams targeting Tier-2 cities in Maharashtra this week').</w:t>
      </w:r>
    </w:p>
    <w:p>
      <w:pPr>
        <w:pStyle w:val="ListParagraph"/>
        <w:numPr>
          <w:ilvl w:val="0"/>
          <w:numId w:val="2"/>
        </w:numPr>
        <w:spacing w:after="40" w:before="40"/>
      </w:pPr>
      <w:r>
        <w:rPr>
          <w:rFonts w:ascii="Arial" w:cs="Arial" w:eastAsia="Arial" w:hAnsi="Arial"/>
          <w:color w:val="1A1A2E"/>
          <w:sz w:val="22"/>
          <w:szCs w:val="22"/>
        </w:rPr>
        <w:t xml:space="preserve">Regulatory Sandbox Participation: Active engagement in SEBI, RBI, TRAI cybersecurity sandbox programs for fintech and telecom integrations.</w:t>
      </w:r>
    </w:p>
    <w:p>
      <w:pPr>
        <w:spacing w:after="0" w:before="100"/>
      </w:pPr>
      <w:r>
        <w:t xml:space="preserve"/>
      </w:r>
    </w:p>
    <w:p>
      <w:pPr>
        <w:pStyle w:val="Heading2"/>
        <w:spacing w:after="80" w:before="240"/>
      </w:pPr>
      <w:r>
        <w:rPr>
          <w:rFonts w:ascii="Arial" w:cs="Arial" w:eastAsia="Arial" w:hAnsi="Arial"/>
          <w:b/>
          <w:bCs/>
          <w:color w:val="0066CC"/>
          <w:sz w:val="28"/>
          <w:szCs w:val="28"/>
        </w:rPr>
        <w:t xml:space="preserve">15.4 Next-Generation AI Capabilities</w:t>
      </w:r>
    </w:p>
    <w:p>
      <w:pPr>
        <w:pStyle w:val="ListParagraph"/>
        <w:numPr>
          <w:ilvl w:val="0"/>
          <w:numId w:val="2"/>
        </w:numPr>
        <w:spacing w:after="40" w:before="40"/>
      </w:pPr>
      <w:r>
        <w:rPr>
          <w:rFonts w:ascii="Arial" w:cs="Arial" w:eastAsia="Arial" w:hAnsi="Arial"/>
          <w:color w:val="1A1A2E"/>
          <w:sz w:val="22"/>
          <w:szCs w:val="22"/>
        </w:rPr>
        <w:t xml:space="preserve">Multimodal Attack Detection: Extending threat analysis to video calls (deepfake face detection), image-based phishing (QR code + screenshot analysis), and voice memos.</w:t>
      </w:r>
    </w:p>
    <w:p>
      <w:pPr>
        <w:pStyle w:val="ListParagraph"/>
        <w:numPr>
          <w:ilvl w:val="0"/>
          <w:numId w:val="2"/>
        </w:numPr>
        <w:spacing w:after="40" w:before="40"/>
      </w:pPr>
      <w:r>
        <w:rPr>
          <w:rFonts w:ascii="Arial" w:cs="Arial" w:eastAsia="Arial" w:hAnsi="Arial"/>
          <w:color w:val="1A1A2E"/>
          <w:sz w:val="22"/>
          <w:szCs w:val="22"/>
        </w:rPr>
        <w:t xml:space="preserve">Generative AI Attack Simulation: TrustNet-native red teaming engine that generates synthetic social engineering attacks to test model robustness and personalize user training.</w:t>
      </w:r>
    </w:p>
    <w:p>
      <w:pPr>
        <w:pStyle w:val="ListParagraph"/>
        <w:numPr>
          <w:ilvl w:val="0"/>
          <w:numId w:val="2"/>
        </w:numPr>
        <w:spacing w:after="40" w:before="40"/>
      </w:pPr>
      <w:r>
        <w:rPr>
          <w:rFonts w:ascii="Arial" w:cs="Arial" w:eastAsia="Arial" w:hAnsi="Arial"/>
          <w:color w:val="1A1A2E"/>
          <w:sz w:val="22"/>
          <w:szCs w:val="22"/>
        </w:rPr>
        <w:t xml:space="preserve">Cross-Platform Graph Intelligence: Building a privacy-preserving behavioral graph that models attack propagation across social networks — predicting which user cohorts are next likely to be targeted based on network proximity to current victims.</w:t>
      </w:r>
    </w:p>
    <w:p>
      <w:pPr>
        <w:spacing w:after="0" w:before="200"/>
      </w:pPr>
      <w:r>
        <w:t xml:space="preserve"/>
      </w:r>
    </w:p>
    <w:p>
      <w:pPr>
        <w:pBdr>
          <w:top w:val="single" w:color="CCDDEE" w:sz="2"/>
        </w:pBdr>
        <w:spacing w:after="60" w:before="180"/>
        <w:jc w:val="center"/>
      </w:pPr>
      <w:r>
        <w:rPr>
          <w:rFonts w:ascii="Arial" w:cs="Arial" w:eastAsia="Arial" w:hAnsi="Arial"/>
          <w:i/>
          <w:iCs/>
          <w:color w:val="4A5568"/>
          <w:sz w:val="20"/>
          <w:szCs w:val="20"/>
        </w:rPr>
        <w:t xml:space="preserve">TrustNet AI — Product Requirements Document v1.0</w:t>
      </w:r>
    </w:p>
    <w:p>
      <w:pPr>
        <w:spacing w:after="0" w:before="0"/>
        <w:jc w:val="center"/>
      </w:pPr>
      <w:r>
        <w:rPr>
          <w:rFonts w:ascii="Arial" w:cs="Arial" w:eastAsia="Arial" w:hAnsi="Arial"/>
          <w:i/>
          <w:iCs/>
          <w:color w:val="4A5568"/>
          <w:sz w:val="20"/>
          <w:szCs w:val="20"/>
        </w:rPr>
        <w:t xml:space="preserve">Prepared for Google Solution Challenge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2" w:space="8"/>
      </w:pBdr>
      <w:tabs>
        <w:tab w:val="right" w:pos="9026"/>
      </w:tabs>
      <w:spacing w:after="0" w:before="120"/>
    </w:pPr>
    <w:r>
      <w:rPr>
        <w:rFonts w:ascii="Arial" w:cs="Arial" w:eastAsia="Arial" w:hAnsi="Arial"/>
        <w:color w:val="4A5568"/>
        <w:sz w:val="18"/>
        <w:szCs w:val="18"/>
      </w:rPr>
      <w:t xml:space="preserve">Confidential — Google Solution Challenge 2026</w:t>
    </w:r>
    <w:r>
      <w:rPr>
        <w:rFonts w:ascii="Arial" w:cs="Arial" w:eastAsia="Arial" w:hAnsi="Arial"/>
        <w:sz w:val="18"/>
        <w:szCs w:val="18"/>
      </w:rPr>
      <w:t xml:space="preserve">	</w:t>
    </w:r>
    <w:r>
      <w:rPr>
        <w:rFonts w:ascii="Arial" w:cs="Arial" w:eastAsia="Arial" w:hAnsi="Arial"/>
        <w:color w:val="4A556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EE" w:sz="2" w:space="8"/>
      </w:pBdr>
      <w:spacing w:after="120" w:before="0"/>
    </w:pPr>
    <w:r>
      <w:rPr>
        <w:rFonts w:ascii="Arial" w:cs="Arial" w:eastAsia="Arial" w:hAnsi="Arial"/>
        <w:b/>
        <w:bCs/>
        <w:color w:val="1A3A5C"/>
        <w:sz w:val="20"/>
        <w:szCs w:val="20"/>
      </w:rPr>
      <w:t xml:space="preserve">TrustNet AI</w:t>
    </w:r>
    <w:r>
      <w:rPr>
        <w:rFonts w:ascii="Arial" w:cs="Arial" w:eastAsia="Arial" w:hAnsi="Arial"/>
        <w:color w:val="4A5568"/>
        <w:sz w:val="20"/>
        <w:szCs w:val="20"/>
      </w:rPr>
      <w:t xml:space="preserve">  •  Global Human Vulnerability Intelligence Network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66CC"/>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2026-04-20T17:53:25.944Z</dcterms:created>
  <dcterms:modified xsi:type="dcterms:W3CDTF">2026-04-20T17:53:25.947Z</dcterms:modified>
</cp:coreProperties>
</file>

<file path=docProps/custom.xml><?xml version="1.0" encoding="utf-8"?>
<Properties xmlns="http://schemas.openxmlformats.org/officeDocument/2006/custom-properties" xmlns:vt="http://schemas.openxmlformats.org/officeDocument/2006/docPropsVTypes"/>
</file>