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F68B" w14:textId="7179AA1E" w:rsidR="008A7EB6" w:rsidRDefault="00DB72C3">
      <w:r>
        <w:t>Dora</w:t>
      </w:r>
    </w:p>
    <w:p w14:paraId="6380303D" w14:textId="47C7915D" w:rsidR="00DB72C3" w:rsidRDefault="00DB72C3"/>
    <w:p w14:paraId="4E208AA1" w14:textId="51732744" w:rsidR="00DB72C3" w:rsidRDefault="00DB72C3"/>
    <w:p w14:paraId="65B4D1CB" w14:textId="77777777" w:rsidR="00DB72C3" w:rsidRPr="00DB72C3" w:rsidRDefault="00DB72C3" w:rsidP="00DB72C3">
      <w:pPr>
        <w:shd w:val="clear" w:color="auto" w:fill="FFFFFF"/>
        <w:spacing w:before="24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REGULATION (EU) 2022/2554 OF THE EUROPEAN PARLIAMENT AND OF THE COUNCIL</w:t>
      </w:r>
    </w:p>
    <w:p w14:paraId="64E14B76" w14:textId="77777777" w:rsidR="00DB72C3" w:rsidRPr="00DB72C3" w:rsidRDefault="00DB72C3" w:rsidP="00DB72C3">
      <w:pPr>
        <w:shd w:val="clear" w:color="auto" w:fill="FFFFFF"/>
        <w:spacing w:before="24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of 14 December 2022</w:t>
      </w:r>
    </w:p>
    <w:p w14:paraId="3218CB3B" w14:textId="77777777" w:rsidR="00DB72C3" w:rsidRPr="00DB72C3" w:rsidRDefault="00DB72C3" w:rsidP="00DB72C3">
      <w:pPr>
        <w:shd w:val="clear" w:color="auto" w:fill="FFFFFF"/>
        <w:spacing w:before="24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on digital operational resilience for the financial sector and amending Regulations (EC) No 1060/2009, (EU) No 648/2012, (EU) No 600/2014, (EU) No 909/2014 and (EU) 2016/1011</w:t>
      </w:r>
    </w:p>
    <w:p w14:paraId="7C395658" w14:textId="77777777" w:rsidR="00DB72C3" w:rsidRPr="00DB72C3" w:rsidRDefault="00DB72C3" w:rsidP="00DB72C3">
      <w:pPr>
        <w:shd w:val="clear" w:color="auto" w:fill="FFFFFF"/>
        <w:spacing w:before="24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(Text with EEA relevance)</w:t>
      </w:r>
    </w:p>
    <w:p w14:paraId="3EB26BD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EUROPEAN PARLIAMENT AND THE COUNCIL OF THE EUROPEAN UNION,</w:t>
      </w:r>
    </w:p>
    <w:p w14:paraId="5DE043A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Having regard to the Treaty on the Functioning of the European Union, and in particular Article 114 thereof,</w:t>
      </w:r>
    </w:p>
    <w:p w14:paraId="7F90B6C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Having regard to the proposal from the European Commission,</w:t>
      </w:r>
    </w:p>
    <w:p w14:paraId="6DC20C2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After transmission of the draft legislative act to the national parliaments,</w:t>
      </w:r>
    </w:p>
    <w:p w14:paraId="4859E04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Having regard to the opinion of the European Central Bank </w:t>
      </w:r>
      <w:hyperlink r:id="rId4" w:anchor="ntr1-L_2022333EN.01000101-E0001" w:history="1">
        <w:r w:rsidRPr="00DB72C3">
          <w:rPr>
            <w:rFonts w:ascii="Times New Roman" w:eastAsia="Times New Roman" w:hAnsi="Times New Roman" w:cs="Times New Roman"/>
            <w:color w:val="337AB7"/>
            <w:sz w:val="27"/>
            <w:szCs w:val="27"/>
          </w:rPr>
          <w:t>(</w:t>
        </w:r>
        <w:r w:rsidRPr="00DB72C3">
          <w:rPr>
            <w:rFonts w:ascii="Times New Roman" w:eastAsia="Times New Roman" w:hAnsi="Times New Roman" w:cs="Times New Roman"/>
            <w:color w:val="337AB7"/>
            <w:sz w:val="19"/>
            <w:szCs w:val="19"/>
            <w:vertAlign w:val="superscript"/>
          </w:rPr>
          <w:t>1</w:t>
        </w:r>
        <w:r w:rsidRPr="00DB72C3">
          <w:rPr>
            <w:rFonts w:ascii="Times New Roman" w:eastAsia="Times New Roman" w:hAnsi="Times New Roman" w:cs="Times New Roman"/>
            <w:color w:val="337AB7"/>
            <w:sz w:val="27"/>
            <w:szCs w:val="27"/>
          </w:rPr>
          <w:t>)</w:t>
        </w:r>
      </w:hyperlink>
      <w:r w:rsidRPr="00DB72C3">
        <w:rPr>
          <w:rFonts w:ascii="Times New Roman" w:eastAsia="Times New Roman" w:hAnsi="Times New Roman" w:cs="Times New Roman"/>
          <w:color w:val="333333"/>
          <w:sz w:val="27"/>
          <w:szCs w:val="27"/>
        </w:rPr>
        <w:t>,</w:t>
      </w:r>
    </w:p>
    <w:p w14:paraId="3AFD099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Having regard to the opinion of the European Economic and Social Committee </w:t>
      </w:r>
      <w:hyperlink r:id="rId5" w:anchor="ntr2-L_2022333EN.01000101-E0002" w:history="1">
        <w:r w:rsidRPr="00DB72C3">
          <w:rPr>
            <w:rFonts w:ascii="Times New Roman" w:eastAsia="Times New Roman" w:hAnsi="Times New Roman" w:cs="Times New Roman"/>
            <w:color w:val="337AB7"/>
            <w:sz w:val="27"/>
            <w:szCs w:val="27"/>
          </w:rPr>
          <w:t>(</w:t>
        </w:r>
        <w:r w:rsidRPr="00DB72C3">
          <w:rPr>
            <w:rFonts w:ascii="Times New Roman" w:eastAsia="Times New Roman" w:hAnsi="Times New Roman" w:cs="Times New Roman"/>
            <w:color w:val="337AB7"/>
            <w:sz w:val="19"/>
            <w:szCs w:val="19"/>
            <w:vertAlign w:val="superscript"/>
          </w:rPr>
          <w:t>2</w:t>
        </w:r>
        <w:r w:rsidRPr="00DB72C3">
          <w:rPr>
            <w:rFonts w:ascii="Times New Roman" w:eastAsia="Times New Roman" w:hAnsi="Times New Roman" w:cs="Times New Roman"/>
            <w:color w:val="337AB7"/>
            <w:sz w:val="27"/>
            <w:szCs w:val="27"/>
          </w:rPr>
          <w:t>)</w:t>
        </w:r>
      </w:hyperlink>
      <w:r w:rsidRPr="00DB72C3">
        <w:rPr>
          <w:rFonts w:ascii="Times New Roman" w:eastAsia="Times New Roman" w:hAnsi="Times New Roman" w:cs="Times New Roman"/>
          <w:color w:val="333333"/>
          <w:sz w:val="27"/>
          <w:szCs w:val="27"/>
        </w:rPr>
        <w:t>,</w:t>
      </w:r>
    </w:p>
    <w:p w14:paraId="18658F8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Acting in accordance with the ordinary legislative procedure </w:t>
      </w:r>
      <w:hyperlink r:id="rId6" w:anchor="ntr3-L_2022333EN.01000101-E0003" w:history="1">
        <w:r w:rsidRPr="00DB72C3">
          <w:rPr>
            <w:rFonts w:ascii="Times New Roman" w:eastAsia="Times New Roman" w:hAnsi="Times New Roman" w:cs="Times New Roman"/>
            <w:color w:val="337AB7"/>
            <w:sz w:val="27"/>
            <w:szCs w:val="27"/>
          </w:rPr>
          <w:t>(</w:t>
        </w:r>
        <w:r w:rsidRPr="00DB72C3">
          <w:rPr>
            <w:rFonts w:ascii="Times New Roman" w:eastAsia="Times New Roman" w:hAnsi="Times New Roman" w:cs="Times New Roman"/>
            <w:color w:val="337AB7"/>
            <w:sz w:val="19"/>
            <w:szCs w:val="19"/>
            <w:vertAlign w:val="superscript"/>
          </w:rPr>
          <w:t>3</w:t>
        </w:r>
        <w:r w:rsidRPr="00DB72C3">
          <w:rPr>
            <w:rFonts w:ascii="Times New Roman" w:eastAsia="Times New Roman" w:hAnsi="Times New Roman" w:cs="Times New Roman"/>
            <w:color w:val="337AB7"/>
            <w:sz w:val="27"/>
            <w:szCs w:val="27"/>
          </w:rPr>
          <w:t>)</w:t>
        </w:r>
      </w:hyperlink>
      <w:r w:rsidRPr="00DB72C3">
        <w:rPr>
          <w:rFonts w:ascii="Times New Roman" w:eastAsia="Times New Roman" w:hAnsi="Times New Roman" w:cs="Times New Roman"/>
          <w:color w:val="333333"/>
          <w:sz w:val="27"/>
          <w:szCs w:val="27"/>
        </w:rPr>
        <w:t>,</w:t>
      </w:r>
    </w:p>
    <w:p w14:paraId="0B3F947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Whereas:</w:t>
      </w:r>
    </w:p>
    <w:tbl>
      <w:tblPr>
        <w:tblW w:w="5048" w:type="pct"/>
        <w:tblInd w:w="-90" w:type="dxa"/>
        <w:tblCellMar>
          <w:left w:w="0" w:type="dxa"/>
          <w:right w:w="0" w:type="dxa"/>
        </w:tblCellMar>
        <w:tblLook w:val="04A0" w:firstRow="1" w:lastRow="0" w:firstColumn="1" w:lastColumn="0" w:noHBand="0" w:noVBand="1"/>
      </w:tblPr>
      <w:tblGrid>
        <w:gridCol w:w="370"/>
        <w:gridCol w:w="9080"/>
      </w:tblGrid>
      <w:tr w:rsidR="00DB72C3" w:rsidRPr="00DB72C3" w14:paraId="54C97AC1" w14:textId="77777777" w:rsidTr="00DB72C3">
        <w:tc>
          <w:tcPr>
            <w:tcW w:w="196" w:type="pct"/>
            <w:shd w:val="clear" w:color="auto" w:fill="auto"/>
            <w:hideMark/>
          </w:tcPr>
          <w:p w14:paraId="213081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5CF597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 the digital age, information and communication technology (ICT) supports complex systems used for everyday activities. It keeps our economies running in key sectors, including the financial sector, and enhances the functioning of the internal market. Increased </w:t>
            </w:r>
            <w:proofErr w:type="spellStart"/>
            <w:r w:rsidRPr="00DB72C3">
              <w:rPr>
                <w:rFonts w:ascii="Times New Roman" w:eastAsia="Times New Roman" w:hAnsi="Times New Roman" w:cs="Times New Roman"/>
                <w:sz w:val="24"/>
                <w:szCs w:val="24"/>
              </w:rPr>
              <w:t>digitalisation</w:t>
            </w:r>
            <w:proofErr w:type="spellEnd"/>
            <w:r w:rsidRPr="00DB72C3">
              <w:rPr>
                <w:rFonts w:ascii="Times New Roman" w:eastAsia="Times New Roman" w:hAnsi="Times New Roman" w:cs="Times New Roman"/>
                <w:sz w:val="24"/>
                <w:szCs w:val="24"/>
              </w:rPr>
              <w:t xml:space="preserve"> and interconnectedness also amplify ICT risk, making society as a whole, and the financial system in particular, more vulnerable to cyber threats or ICT disruptions. While the ubiquitous use of ICT systems and high </w:t>
            </w:r>
            <w:proofErr w:type="spellStart"/>
            <w:r w:rsidRPr="00DB72C3">
              <w:rPr>
                <w:rFonts w:ascii="Times New Roman" w:eastAsia="Times New Roman" w:hAnsi="Times New Roman" w:cs="Times New Roman"/>
                <w:sz w:val="24"/>
                <w:szCs w:val="24"/>
              </w:rPr>
              <w:t>digitalisation</w:t>
            </w:r>
            <w:proofErr w:type="spellEnd"/>
            <w:r w:rsidRPr="00DB72C3">
              <w:rPr>
                <w:rFonts w:ascii="Times New Roman" w:eastAsia="Times New Roman" w:hAnsi="Times New Roman" w:cs="Times New Roman"/>
                <w:sz w:val="24"/>
                <w:szCs w:val="24"/>
              </w:rPr>
              <w:t xml:space="preserve"> and connectivity are today core features of the activities of Union financial entities, their digital resilience has yet to be better addressed and integrated into their broader operational frameworks.</w:t>
            </w:r>
          </w:p>
        </w:tc>
      </w:tr>
      <w:tr w:rsidR="00DB72C3" w:rsidRPr="00DB72C3" w14:paraId="13117F74" w14:textId="77777777" w:rsidTr="00DB72C3">
        <w:tc>
          <w:tcPr>
            <w:tcW w:w="196" w:type="pct"/>
            <w:shd w:val="clear" w:color="auto" w:fill="auto"/>
            <w:hideMark/>
          </w:tcPr>
          <w:p w14:paraId="507717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w:t>
            </w:r>
          </w:p>
        </w:tc>
        <w:tc>
          <w:tcPr>
            <w:tcW w:w="0" w:type="auto"/>
            <w:shd w:val="clear" w:color="auto" w:fill="auto"/>
            <w:hideMark/>
          </w:tcPr>
          <w:p w14:paraId="03DEBD5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use of ICT has in the past decades gained a pivotal role in the provision of financial services, to the point where it has now acquired a critical importance in the operation of typical daily functions of all financial entities. </w:t>
            </w:r>
            <w:proofErr w:type="spellStart"/>
            <w:r w:rsidRPr="00DB72C3">
              <w:rPr>
                <w:rFonts w:ascii="Times New Roman" w:eastAsia="Times New Roman" w:hAnsi="Times New Roman" w:cs="Times New Roman"/>
                <w:sz w:val="24"/>
                <w:szCs w:val="24"/>
              </w:rPr>
              <w:t>Digitalisation</w:t>
            </w:r>
            <w:proofErr w:type="spellEnd"/>
            <w:r w:rsidRPr="00DB72C3">
              <w:rPr>
                <w:rFonts w:ascii="Times New Roman" w:eastAsia="Times New Roman" w:hAnsi="Times New Roman" w:cs="Times New Roman"/>
                <w:sz w:val="24"/>
                <w:szCs w:val="24"/>
              </w:rPr>
              <w:t xml:space="preserve"> now covers, for instance, payments, which have increasingly moved from cash and paper-based methods to the use of digital solutions, as well as securities clearing and settlement, electronic and algorithmic trading, lending and </w:t>
            </w:r>
            <w:r w:rsidRPr="00DB72C3">
              <w:rPr>
                <w:rFonts w:ascii="Times New Roman" w:eastAsia="Times New Roman" w:hAnsi="Times New Roman" w:cs="Times New Roman"/>
                <w:sz w:val="24"/>
                <w:szCs w:val="24"/>
              </w:rPr>
              <w:lastRenderedPageBreak/>
              <w:t xml:space="preserve">funding operations, peer-to-peer finance, credit rating, claim management and back-office operations. The insurance sector has also been transformed by the use of ICT, from the emergence of insurance intermediaries offering their services online operating with </w:t>
            </w:r>
            <w:proofErr w:type="spellStart"/>
            <w:r w:rsidRPr="00DB72C3">
              <w:rPr>
                <w:rFonts w:ascii="Times New Roman" w:eastAsia="Times New Roman" w:hAnsi="Times New Roman" w:cs="Times New Roman"/>
                <w:sz w:val="24"/>
                <w:szCs w:val="24"/>
              </w:rPr>
              <w:t>InsurTech</w:t>
            </w:r>
            <w:proofErr w:type="spellEnd"/>
            <w:r w:rsidRPr="00DB72C3">
              <w:rPr>
                <w:rFonts w:ascii="Times New Roman" w:eastAsia="Times New Roman" w:hAnsi="Times New Roman" w:cs="Times New Roman"/>
                <w:sz w:val="24"/>
                <w:szCs w:val="24"/>
              </w:rPr>
              <w:t xml:space="preserve">, to digital insurance underwriting. Finance has not only become largely digital throughout the whole sector, but </w:t>
            </w:r>
            <w:proofErr w:type="spellStart"/>
            <w:r w:rsidRPr="00DB72C3">
              <w:rPr>
                <w:rFonts w:ascii="Times New Roman" w:eastAsia="Times New Roman" w:hAnsi="Times New Roman" w:cs="Times New Roman"/>
                <w:sz w:val="24"/>
                <w:szCs w:val="24"/>
              </w:rPr>
              <w:t>digitalisation</w:t>
            </w:r>
            <w:proofErr w:type="spellEnd"/>
            <w:r w:rsidRPr="00DB72C3">
              <w:rPr>
                <w:rFonts w:ascii="Times New Roman" w:eastAsia="Times New Roman" w:hAnsi="Times New Roman" w:cs="Times New Roman"/>
                <w:sz w:val="24"/>
                <w:szCs w:val="24"/>
              </w:rPr>
              <w:t xml:space="preserve"> has also deepened interconnections and dependencies within the financial sector and with third-party infrastructure and service providers.</w:t>
            </w:r>
          </w:p>
        </w:tc>
      </w:tr>
    </w:tbl>
    <w:p w14:paraId="2153535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CAE9F13" w14:textId="77777777" w:rsidTr="00DB72C3">
        <w:tc>
          <w:tcPr>
            <w:tcW w:w="0" w:type="auto"/>
            <w:shd w:val="clear" w:color="auto" w:fill="auto"/>
            <w:hideMark/>
          </w:tcPr>
          <w:p w14:paraId="14B208E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w:t>
            </w:r>
          </w:p>
        </w:tc>
        <w:tc>
          <w:tcPr>
            <w:tcW w:w="0" w:type="auto"/>
            <w:shd w:val="clear" w:color="auto" w:fill="auto"/>
            <w:hideMark/>
          </w:tcPr>
          <w:p w14:paraId="0D0C51E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European Systemic Risk Board (ESRB) reaffirmed in a 2020 report addressing systemic cyber risk how the existing high level of interconnectedness across financial entities, financial markets and financial market infrastructures, and particularly the interdependencies of their ICT systems, could constitute a systemic vulnerability because </w:t>
            </w:r>
            <w:proofErr w:type="spellStart"/>
            <w:r w:rsidRPr="00DB72C3">
              <w:rPr>
                <w:rFonts w:ascii="Times New Roman" w:eastAsia="Times New Roman" w:hAnsi="Times New Roman" w:cs="Times New Roman"/>
                <w:sz w:val="24"/>
                <w:szCs w:val="24"/>
              </w:rPr>
              <w:t>localised</w:t>
            </w:r>
            <w:proofErr w:type="spellEnd"/>
            <w:r w:rsidRPr="00DB72C3">
              <w:rPr>
                <w:rFonts w:ascii="Times New Roman" w:eastAsia="Times New Roman" w:hAnsi="Times New Roman" w:cs="Times New Roman"/>
                <w:sz w:val="24"/>
                <w:szCs w:val="24"/>
              </w:rPr>
              <w:t xml:space="preserve"> cyber incidents could quickly spread from any of the approximately 22 000 Union financial entities to the entire financial system, unhindered by geographical boundaries. Serious ICT breaches that occur in the financial sector do not merely affect financial entities taken in isolation. They also smooth the way for the propagation of </w:t>
            </w:r>
            <w:proofErr w:type="spellStart"/>
            <w:r w:rsidRPr="00DB72C3">
              <w:rPr>
                <w:rFonts w:ascii="Times New Roman" w:eastAsia="Times New Roman" w:hAnsi="Times New Roman" w:cs="Times New Roman"/>
                <w:sz w:val="24"/>
                <w:szCs w:val="24"/>
              </w:rPr>
              <w:t>localised</w:t>
            </w:r>
            <w:proofErr w:type="spellEnd"/>
            <w:r w:rsidRPr="00DB72C3">
              <w:rPr>
                <w:rFonts w:ascii="Times New Roman" w:eastAsia="Times New Roman" w:hAnsi="Times New Roman" w:cs="Times New Roman"/>
                <w:sz w:val="24"/>
                <w:szCs w:val="24"/>
              </w:rPr>
              <w:t xml:space="preserve"> vulnerabilities across the financial transmission channels and potentially trigger adverse consequences for the stability of the Union’s financial system, such as generating liquidity runs and an overall loss of confidence and trust in financial markets.</w:t>
            </w:r>
          </w:p>
        </w:tc>
      </w:tr>
      <w:tr w:rsidR="00DB72C3" w:rsidRPr="00DB72C3" w14:paraId="00F9E6D2" w14:textId="77777777" w:rsidTr="00DB72C3">
        <w:tc>
          <w:tcPr>
            <w:tcW w:w="0" w:type="auto"/>
            <w:shd w:val="clear" w:color="auto" w:fill="auto"/>
            <w:hideMark/>
          </w:tcPr>
          <w:p w14:paraId="4219706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w:t>
            </w:r>
          </w:p>
        </w:tc>
        <w:tc>
          <w:tcPr>
            <w:tcW w:w="0" w:type="auto"/>
            <w:shd w:val="clear" w:color="auto" w:fill="auto"/>
            <w:hideMark/>
          </w:tcPr>
          <w:p w14:paraId="64FAB4E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recent years, ICT risk has attracted the attention of international, Union and national policy makers, regulators and standard-setting bodies in an attempt to enhance digital resilience, set standards and coordinate regulatory or supervisory work. At international level, the Basel Committee on Banking Supervision, the Committee on Payments and Market Infrastructures, the Financial Stability Board, the Financial Stability Institute, as well as the G7 and G20 aim to provide competent authorities and market operators across various jurisdictions with tools to bolster the resilience of their financial systems. That work has also been driven by the need to duly consider ICT risk in the context of a highly interconnected global financial system and to seek more consistency of relevant best practices.</w:t>
            </w:r>
          </w:p>
        </w:tc>
      </w:tr>
    </w:tbl>
    <w:p w14:paraId="0E18B9E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2A7D905" w14:textId="77777777" w:rsidTr="00DB72C3">
        <w:tc>
          <w:tcPr>
            <w:tcW w:w="0" w:type="auto"/>
            <w:shd w:val="clear" w:color="auto" w:fill="auto"/>
            <w:hideMark/>
          </w:tcPr>
          <w:p w14:paraId="65A125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w:t>
            </w:r>
          </w:p>
        </w:tc>
        <w:tc>
          <w:tcPr>
            <w:tcW w:w="0" w:type="auto"/>
            <w:shd w:val="clear" w:color="auto" w:fill="auto"/>
            <w:hideMark/>
          </w:tcPr>
          <w:p w14:paraId="722CFB0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Despite Union and national targeted policy and legislative initiatives, ICT risk continues to pose a challenge to the operational resilience, performance and stability of the Union financial system. The reforms that followed the 2008 financial crisis primarily strengthened the financial resilience of the Union financial sector and aimed to safeguard the competitiveness and stability of the Union from economic, prudential and market conduct perspectives. Although ICT security and digital resilience are part of operational risk, they have been less in the focus of the post-financial crisis regulatory agenda and have developed in only some areas of the Union’s financial services policy and regulatory landscape, or in only a few Member States.</w:t>
            </w:r>
          </w:p>
        </w:tc>
      </w:tr>
      <w:tr w:rsidR="00DB72C3" w:rsidRPr="00DB72C3" w14:paraId="63CE0BB7" w14:textId="77777777" w:rsidTr="00DB72C3">
        <w:tc>
          <w:tcPr>
            <w:tcW w:w="0" w:type="auto"/>
            <w:shd w:val="clear" w:color="auto" w:fill="auto"/>
            <w:hideMark/>
          </w:tcPr>
          <w:p w14:paraId="3C3D70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w:t>
            </w:r>
          </w:p>
        </w:tc>
        <w:tc>
          <w:tcPr>
            <w:tcW w:w="0" w:type="auto"/>
            <w:shd w:val="clear" w:color="auto" w:fill="auto"/>
            <w:hideMark/>
          </w:tcPr>
          <w:p w14:paraId="1C1B71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 its Communication of 8 March 2018 entitled ‘FinTech Action plan: For a more competitive and innovative European financial sector’, the Commission highlighted the paramount importance of making the Union financial sector more resilient, including from an operational perspective to ensure its technological safety and good functioning, its quick recovery from ICT breaches and incidents, ultimately enabling the effective and smooth provision of financial </w:t>
            </w:r>
            <w:r w:rsidRPr="00DB72C3">
              <w:rPr>
                <w:rFonts w:ascii="Times New Roman" w:eastAsia="Times New Roman" w:hAnsi="Times New Roman" w:cs="Times New Roman"/>
                <w:sz w:val="24"/>
                <w:szCs w:val="24"/>
              </w:rPr>
              <w:lastRenderedPageBreak/>
              <w:t>services across the whole Union, including under situations of stress, while also preserving consumer and market trust and confidence.</w:t>
            </w:r>
          </w:p>
        </w:tc>
      </w:tr>
    </w:tbl>
    <w:p w14:paraId="72A46A8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B4B3AD9" w14:textId="77777777" w:rsidTr="00DB72C3">
        <w:tc>
          <w:tcPr>
            <w:tcW w:w="0" w:type="auto"/>
            <w:shd w:val="clear" w:color="auto" w:fill="auto"/>
            <w:hideMark/>
          </w:tcPr>
          <w:p w14:paraId="2898CC3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w:t>
            </w:r>
          </w:p>
        </w:tc>
        <w:tc>
          <w:tcPr>
            <w:tcW w:w="0" w:type="auto"/>
            <w:shd w:val="clear" w:color="auto" w:fill="auto"/>
            <w:hideMark/>
          </w:tcPr>
          <w:p w14:paraId="08DE17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April 2019, the European Supervisory Authority (European Banking Authority), (EBA) established by Regulation (EU) No 1093/2010 of the European Parliament and of the Council </w:t>
            </w:r>
            <w:hyperlink r:id="rId7" w:anchor="ntr4-L_2022333EN.01000101-E0004"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4</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the European Supervisory Authority (European Insurance and Occupational Pensions Authority), (‘EIOPA’) established by Regulation (EU) No 1094/2010 of the European Parliament and of the Council </w:t>
            </w:r>
            <w:hyperlink r:id="rId8" w:anchor="ntr5-L_2022333EN.01000101-E0005"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5</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and the European Supervisory Authority (European Securities and Markets Authority), (‘ESMA’) established by Regulation (EU) No 1095/2010 of the European Parliament and of the Council </w:t>
            </w:r>
            <w:hyperlink r:id="rId9" w:anchor="ntr6-L_2022333EN.01000101-E0006"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6</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(known collectively as ‘European Supervisory Authorities’ or ‘ESAs’) jointly issued technical advice calling for a coherent approach to ICT risk in finance and recommending to strengthen, in a proportionate way, the digital operational resilience of the financial services industry through a sector-specific initiative of the Union.</w:t>
            </w:r>
          </w:p>
        </w:tc>
      </w:tr>
      <w:tr w:rsidR="00DB72C3" w:rsidRPr="00DB72C3" w14:paraId="2BB45164" w14:textId="77777777" w:rsidTr="00DB72C3">
        <w:tc>
          <w:tcPr>
            <w:tcW w:w="0" w:type="auto"/>
            <w:shd w:val="clear" w:color="auto" w:fill="auto"/>
            <w:hideMark/>
          </w:tcPr>
          <w:p w14:paraId="201D6C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w:t>
            </w:r>
          </w:p>
        </w:tc>
        <w:tc>
          <w:tcPr>
            <w:tcW w:w="0" w:type="auto"/>
            <w:shd w:val="clear" w:color="auto" w:fill="auto"/>
            <w:hideMark/>
          </w:tcPr>
          <w:p w14:paraId="23E88EA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Union financial sector is regulated by a Single Rulebook and governed by a European system of financial supervision. Nonetheless, provisions tackling digital operational resilience and ICT security are not yet fully or consistently </w:t>
            </w:r>
            <w:proofErr w:type="spellStart"/>
            <w:r w:rsidRPr="00DB72C3">
              <w:rPr>
                <w:rFonts w:ascii="Times New Roman" w:eastAsia="Times New Roman" w:hAnsi="Times New Roman" w:cs="Times New Roman"/>
                <w:sz w:val="24"/>
                <w:szCs w:val="24"/>
              </w:rPr>
              <w:t>harmonised</w:t>
            </w:r>
            <w:proofErr w:type="spellEnd"/>
            <w:r w:rsidRPr="00DB72C3">
              <w:rPr>
                <w:rFonts w:ascii="Times New Roman" w:eastAsia="Times New Roman" w:hAnsi="Times New Roman" w:cs="Times New Roman"/>
                <w:sz w:val="24"/>
                <w:szCs w:val="24"/>
              </w:rPr>
              <w:t>, despite digital operational resilience being vital for ensuring financial stability and market integrity in the digital age, and no less important than, for example, common prudential or market conduct standards. The Single Rulebook and system of supervision should therefore be developed to also cover digital operational resilience, by strengthening the mandates of competent authorities to enable them to supervise the management of ICT risk in the financial sector in order to protect the integrity and efficiency of the internal market, and to facilitate its orderly functioning.</w:t>
            </w:r>
          </w:p>
        </w:tc>
      </w:tr>
    </w:tbl>
    <w:p w14:paraId="3FA324D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98D4152" w14:textId="77777777" w:rsidTr="00DB72C3">
        <w:tc>
          <w:tcPr>
            <w:tcW w:w="0" w:type="auto"/>
            <w:shd w:val="clear" w:color="auto" w:fill="auto"/>
            <w:hideMark/>
          </w:tcPr>
          <w:p w14:paraId="70C86EA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w:t>
            </w:r>
          </w:p>
        </w:tc>
        <w:tc>
          <w:tcPr>
            <w:tcW w:w="0" w:type="auto"/>
            <w:shd w:val="clear" w:color="auto" w:fill="auto"/>
            <w:hideMark/>
          </w:tcPr>
          <w:p w14:paraId="544A82E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Legislative disparities and uneven national regulatory or supervisory approaches with regard to ICT risk trigger obstacles to the functioning of the internal market in financial services, impeding the smooth exercise of the freedom of establishment and the provision of services for financial entities operating on a cross-border basis. Competition between the same type of financial entities operating in different Member States could also be distorted. This is the case, in particular, for areas where Union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has been very limited, such as digital operational resilience testing, or absent, such as the monitoring of ICT third-party risk. Disparities stemming from developments envisaged at national level could generate further obstacles to the functioning of the internal market to the detriment of market participants and financial stability.</w:t>
            </w:r>
          </w:p>
        </w:tc>
      </w:tr>
      <w:tr w:rsidR="00DB72C3" w:rsidRPr="00DB72C3" w14:paraId="7ADA88E3" w14:textId="77777777" w:rsidTr="00DB72C3">
        <w:tc>
          <w:tcPr>
            <w:tcW w:w="0" w:type="auto"/>
            <w:shd w:val="clear" w:color="auto" w:fill="auto"/>
            <w:hideMark/>
          </w:tcPr>
          <w:p w14:paraId="4B0FB95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w:t>
            </w:r>
          </w:p>
        </w:tc>
        <w:tc>
          <w:tcPr>
            <w:tcW w:w="0" w:type="auto"/>
            <w:shd w:val="clear" w:color="auto" w:fill="auto"/>
            <w:hideMark/>
          </w:tcPr>
          <w:p w14:paraId="3546DEB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date, due to the ICT risk related provisions being only partially addressed at Union level, there are gaps or overlaps in important areas, such as ICT-related incident reporting and digital operational resilience testing, and inconsistencies as a result of emerging divergent national rules or cost-ineffective application of overlapping rules. This is particularly detrimental for an ICT-intensive user such as the financial sector since technology risks have no borders and the financial sector deploys its services on a wide cross-border basis within and outside the Union. Individual financial entities operating on a cross-border basis or holding several </w:t>
            </w:r>
            <w:proofErr w:type="spellStart"/>
            <w:r w:rsidRPr="00DB72C3">
              <w:rPr>
                <w:rFonts w:ascii="Times New Roman" w:eastAsia="Times New Roman" w:hAnsi="Times New Roman" w:cs="Times New Roman"/>
                <w:sz w:val="24"/>
                <w:szCs w:val="24"/>
              </w:rPr>
              <w:t>authorisations</w:t>
            </w:r>
            <w:proofErr w:type="spellEnd"/>
            <w:r w:rsidRPr="00DB72C3">
              <w:rPr>
                <w:rFonts w:ascii="Times New Roman" w:eastAsia="Times New Roman" w:hAnsi="Times New Roman" w:cs="Times New Roman"/>
                <w:sz w:val="24"/>
                <w:szCs w:val="24"/>
              </w:rPr>
              <w:t xml:space="preserve"> (</w:t>
            </w:r>
            <w:proofErr w:type="gramStart"/>
            <w:r w:rsidRPr="00DB72C3">
              <w:rPr>
                <w:rFonts w:ascii="Times New Roman" w:eastAsia="Times New Roman" w:hAnsi="Times New Roman" w:cs="Times New Roman"/>
                <w:sz w:val="24"/>
                <w:szCs w:val="24"/>
              </w:rPr>
              <w:t>e.g.</w:t>
            </w:r>
            <w:proofErr w:type="gramEnd"/>
            <w:r w:rsidRPr="00DB72C3">
              <w:rPr>
                <w:rFonts w:ascii="Times New Roman" w:eastAsia="Times New Roman" w:hAnsi="Times New Roman" w:cs="Times New Roman"/>
                <w:sz w:val="24"/>
                <w:szCs w:val="24"/>
              </w:rPr>
              <w:t xml:space="preserve"> one financial entity can have a banking, an investment firm, and a payment </w:t>
            </w:r>
            <w:r w:rsidRPr="00DB72C3">
              <w:rPr>
                <w:rFonts w:ascii="Times New Roman" w:eastAsia="Times New Roman" w:hAnsi="Times New Roman" w:cs="Times New Roman"/>
                <w:sz w:val="24"/>
                <w:szCs w:val="24"/>
              </w:rPr>
              <w:lastRenderedPageBreak/>
              <w:t xml:space="preserve">institution </w:t>
            </w:r>
            <w:proofErr w:type="spellStart"/>
            <w:r w:rsidRPr="00DB72C3">
              <w:rPr>
                <w:rFonts w:ascii="Times New Roman" w:eastAsia="Times New Roman" w:hAnsi="Times New Roman" w:cs="Times New Roman"/>
                <w:sz w:val="24"/>
                <w:szCs w:val="24"/>
              </w:rPr>
              <w:t>licence</w:t>
            </w:r>
            <w:proofErr w:type="spellEnd"/>
            <w:r w:rsidRPr="00DB72C3">
              <w:rPr>
                <w:rFonts w:ascii="Times New Roman" w:eastAsia="Times New Roman" w:hAnsi="Times New Roman" w:cs="Times New Roman"/>
                <w:sz w:val="24"/>
                <w:szCs w:val="24"/>
              </w:rPr>
              <w:t>, each issued by a different competent authority in one or several Member States) face operational challenges in addressing ICT risk and mitigating adverse impacts of ICT incidents on their own and in a coherent cost-effective way.</w:t>
            </w:r>
          </w:p>
        </w:tc>
      </w:tr>
    </w:tbl>
    <w:p w14:paraId="2CC2631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7EE42E0" w14:textId="77777777" w:rsidTr="00DB72C3">
        <w:tc>
          <w:tcPr>
            <w:tcW w:w="0" w:type="auto"/>
            <w:shd w:val="clear" w:color="auto" w:fill="auto"/>
            <w:hideMark/>
          </w:tcPr>
          <w:p w14:paraId="385FBE6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(11)</w:t>
            </w:r>
          </w:p>
        </w:tc>
        <w:tc>
          <w:tcPr>
            <w:tcW w:w="0" w:type="auto"/>
            <w:shd w:val="clear" w:color="auto" w:fill="auto"/>
            <w:hideMark/>
          </w:tcPr>
          <w:p w14:paraId="4C190C0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As the Single Rulebook has not been accompanied by a comprehensive ICT or operational risk framework, further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of key digital operational resilience requirements for all financial entities is required. The development of ICT capabilities and overall resilience by financial entities, based on those key requirements, with a view to withstanding operational outages, would help preserve the stability and integrity of the Union financial markets and thus contribute to ensuring a high level of protection of investors and consumers in the Union. Since this Regulation aims to contribute to the smooth functioning of the internal market, it should be based on the provisions of Article 114 of the Treaty on the Functioning of the European Union (TFEU) as interpreted in accordance with the consistent case law of the Court of Justice of the European Union (Court of Justice).</w:t>
            </w:r>
          </w:p>
        </w:tc>
      </w:tr>
      <w:tr w:rsidR="00DB72C3" w:rsidRPr="00DB72C3" w14:paraId="79F7C414" w14:textId="77777777" w:rsidTr="00DB72C3">
        <w:tc>
          <w:tcPr>
            <w:tcW w:w="0" w:type="auto"/>
            <w:shd w:val="clear" w:color="auto" w:fill="auto"/>
            <w:hideMark/>
          </w:tcPr>
          <w:p w14:paraId="0A88744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(12)</w:t>
            </w:r>
          </w:p>
        </w:tc>
        <w:tc>
          <w:tcPr>
            <w:tcW w:w="0" w:type="auto"/>
            <w:shd w:val="clear" w:color="auto" w:fill="auto"/>
            <w:hideMark/>
          </w:tcPr>
          <w:p w14:paraId="2FE186A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This Regulation aims to consolidate and upgrade ICT risk requirements as part of the operational risk requirements that have, up to this point, been addressed separately in various Union legal acts. While those acts covered the main categories of financial risk (</w:t>
            </w:r>
            <w:proofErr w:type="gramStart"/>
            <w:r w:rsidRPr="00DB72C3">
              <w:rPr>
                <w:rFonts w:ascii="Times New Roman" w:eastAsia="Times New Roman" w:hAnsi="Times New Roman" w:cs="Times New Roman"/>
                <w:sz w:val="24"/>
                <w:szCs w:val="24"/>
              </w:rPr>
              <w:t>e.g.</w:t>
            </w:r>
            <w:proofErr w:type="gramEnd"/>
            <w:r w:rsidRPr="00DB72C3">
              <w:rPr>
                <w:rFonts w:ascii="Times New Roman" w:eastAsia="Times New Roman" w:hAnsi="Times New Roman" w:cs="Times New Roman"/>
                <w:sz w:val="24"/>
                <w:szCs w:val="24"/>
              </w:rPr>
              <w:t xml:space="preserve"> credit risk, market risk, counterparty credit risk and liquidity risk, market conduct risk), they did not comprehensively tackle, at the time of their adoption, all components of operational resilience. The operational risk rules, when further developed in those Union legal acts, often </w:t>
            </w:r>
            <w:proofErr w:type="spellStart"/>
            <w:r w:rsidRPr="00DB72C3">
              <w:rPr>
                <w:rFonts w:ascii="Times New Roman" w:eastAsia="Times New Roman" w:hAnsi="Times New Roman" w:cs="Times New Roman"/>
                <w:sz w:val="24"/>
                <w:szCs w:val="24"/>
              </w:rPr>
              <w:t>favoured</w:t>
            </w:r>
            <w:proofErr w:type="spellEnd"/>
            <w:r w:rsidRPr="00DB72C3">
              <w:rPr>
                <w:rFonts w:ascii="Times New Roman" w:eastAsia="Times New Roman" w:hAnsi="Times New Roman" w:cs="Times New Roman"/>
                <w:sz w:val="24"/>
                <w:szCs w:val="24"/>
              </w:rPr>
              <w:t xml:space="preserve"> a traditional quantitative approach to addressing risk (namely setting a capital requirement to cover ICT risk) rather than targeted qualitative rules for the protection, detection, containment, recovery and repair capabilities against ICT-related incidents, or for reporting and digital testing capabilities. Those acts were primarily meant to cover and update essential rules on prudential supervision, market integrity or conduct. By consolidating and upgrading the different rules on ICT risk, all provisions addressing digital risk in the financial sector should for the first time be brought together in a consistent manner in one single legislative act. Therefore, this Regulation fills in the gaps or remedies inconsistencies in some of the prior legal acts, including in relation to the terminology used therein, and explicitly refers to ICT risk via targeted rules on ICT risk-management capabilities, incident reporting, operational resilience testing and ICT third-party risk monitoring. This Regulation should thus also raise awareness of ICT risk and acknowledge that ICT incidents and a lack of operational resilience have the possibility to </w:t>
            </w:r>
            <w:proofErr w:type="spellStart"/>
            <w:r w:rsidRPr="00DB72C3">
              <w:rPr>
                <w:rFonts w:ascii="Times New Roman" w:eastAsia="Times New Roman" w:hAnsi="Times New Roman" w:cs="Times New Roman"/>
                <w:sz w:val="24"/>
                <w:szCs w:val="24"/>
              </w:rPr>
              <w:t>jeopardise</w:t>
            </w:r>
            <w:proofErr w:type="spellEnd"/>
            <w:r w:rsidRPr="00DB72C3">
              <w:rPr>
                <w:rFonts w:ascii="Times New Roman" w:eastAsia="Times New Roman" w:hAnsi="Times New Roman" w:cs="Times New Roman"/>
                <w:sz w:val="24"/>
                <w:szCs w:val="24"/>
              </w:rPr>
              <w:t xml:space="preserve"> the soundness of financial entities.</w:t>
            </w:r>
          </w:p>
        </w:tc>
      </w:tr>
    </w:tbl>
    <w:p w14:paraId="312A266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085E38F" w14:textId="77777777" w:rsidTr="00DB72C3">
        <w:tc>
          <w:tcPr>
            <w:tcW w:w="0" w:type="auto"/>
            <w:shd w:val="clear" w:color="auto" w:fill="auto"/>
            <w:hideMark/>
          </w:tcPr>
          <w:p w14:paraId="39112A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(13)</w:t>
            </w:r>
          </w:p>
        </w:tc>
        <w:tc>
          <w:tcPr>
            <w:tcW w:w="0" w:type="auto"/>
            <w:shd w:val="clear" w:color="auto" w:fill="auto"/>
            <w:hideMark/>
          </w:tcPr>
          <w:p w14:paraId="62A574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Financial entities should follow the same approach and the same principle-based rules when addressing ICT risk taking into account their size and overall risk profile, and the nature, scale and complexity of their services, activities and operations. Consistency contributes to enhancing confidence in the financial system and preserving its stability especially in times of high reliance on ICT systems, platforms and infrastructures, which entails increased digital risk. Observing basic cyber hygiene should also avoid imposing heavy costs on the economy by </w:t>
            </w:r>
            <w:proofErr w:type="spellStart"/>
            <w:r w:rsidRPr="00DB72C3">
              <w:rPr>
                <w:rFonts w:ascii="Times New Roman" w:eastAsia="Times New Roman" w:hAnsi="Times New Roman" w:cs="Times New Roman"/>
                <w:sz w:val="24"/>
                <w:szCs w:val="24"/>
              </w:rPr>
              <w:t>minimising</w:t>
            </w:r>
            <w:proofErr w:type="spellEnd"/>
            <w:r w:rsidRPr="00DB72C3">
              <w:rPr>
                <w:rFonts w:ascii="Times New Roman" w:eastAsia="Times New Roman" w:hAnsi="Times New Roman" w:cs="Times New Roman"/>
                <w:sz w:val="24"/>
                <w:szCs w:val="24"/>
              </w:rPr>
              <w:t xml:space="preserve"> the impact and costs of ICT disruptions.</w:t>
            </w:r>
          </w:p>
        </w:tc>
      </w:tr>
      <w:tr w:rsidR="00DB72C3" w:rsidRPr="00DB72C3" w14:paraId="4067427F" w14:textId="77777777" w:rsidTr="00DB72C3">
        <w:tc>
          <w:tcPr>
            <w:tcW w:w="0" w:type="auto"/>
            <w:shd w:val="clear" w:color="auto" w:fill="auto"/>
            <w:hideMark/>
          </w:tcPr>
          <w:p w14:paraId="2B7789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(14)</w:t>
            </w:r>
          </w:p>
        </w:tc>
        <w:tc>
          <w:tcPr>
            <w:tcW w:w="0" w:type="auto"/>
            <w:shd w:val="clear" w:color="auto" w:fill="auto"/>
            <w:hideMark/>
          </w:tcPr>
          <w:p w14:paraId="23E918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Regulation helps reduce regulatory complexity, fosters supervisory convergence and increases legal certainty, and also contributes to limiting compliance costs, especially for financial entities operating across borders, and to reducing competitive distortions. Therefore, the choice of a Regulation for the establishment of a common framework for the digital operational resilience of financial entities is the most appropriate way to guarantee a homogenous and coherent application of all components of ICT risk management by the Union financial sector.</w:t>
            </w:r>
          </w:p>
        </w:tc>
      </w:tr>
    </w:tbl>
    <w:p w14:paraId="546EE1E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C96F48D" w14:textId="77777777" w:rsidTr="00DB72C3">
        <w:tc>
          <w:tcPr>
            <w:tcW w:w="0" w:type="auto"/>
            <w:shd w:val="clear" w:color="auto" w:fill="auto"/>
            <w:hideMark/>
          </w:tcPr>
          <w:p w14:paraId="3CDE5D4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(15)</w:t>
            </w:r>
          </w:p>
        </w:tc>
        <w:tc>
          <w:tcPr>
            <w:tcW w:w="0" w:type="auto"/>
            <w:shd w:val="clear" w:color="auto" w:fill="auto"/>
            <w:hideMark/>
          </w:tcPr>
          <w:p w14:paraId="39AC28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Directive (EU) 2016/1148 of the European Parliament and of the Council </w:t>
            </w:r>
            <w:hyperlink r:id="rId10" w:anchor="ntr7-L_2022333EN.01000101-E0007"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7</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was the first horizontal cybersecurity framework enacted at Union level, applying also to three types of financial entities, namely credit institutions, trading venues and central counterparties. However, since Directive (EU) 2016/1148 set out a mechanism of identification at national level of operators of essential services, only certain credit institutions, trading venues and central counterparties that were identified by the Member States, have been brought into its scope in practice, and hence required to comply with the ICT security and incident notification requirements laid down in it. Directive (EU) 2022/2555 of the European Parliament and of the Council </w:t>
            </w:r>
            <w:hyperlink r:id="rId11" w:anchor="ntr8-L_2022333EN.01000101-E0008"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8</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sets a uniform criterion to determine the entities falling within its scope of application (size-cap rule) while also keeping the three types of financial entities in its scope.</w:t>
            </w:r>
          </w:p>
        </w:tc>
      </w:tr>
      <w:tr w:rsidR="00DB72C3" w:rsidRPr="00DB72C3" w14:paraId="5B687164" w14:textId="77777777" w:rsidTr="00DB72C3">
        <w:tc>
          <w:tcPr>
            <w:tcW w:w="0" w:type="auto"/>
            <w:shd w:val="clear" w:color="auto" w:fill="auto"/>
            <w:hideMark/>
          </w:tcPr>
          <w:p w14:paraId="663085B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(16)</w:t>
            </w:r>
          </w:p>
        </w:tc>
        <w:tc>
          <w:tcPr>
            <w:tcW w:w="0" w:type="auto"/>
            <w:shd w:val="clear" w:color="auto" w:fill="auto"/>
            <w:hideMark/>
          </w:tcPr>
          <w:p w14:paraId="6E8766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However, as this Regulation increases the level of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of the various digital resilience components, by introducing requirements on ICT risk management and ICT-related incident reporting that are more stringent in comparison to those laid down in the current Union financial services law, this higher level constitutes an increased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also in comparison with the requirements laid down in Directive (EU) 2022/2555. Consequently, this Regulation constitutes </w:t>
            </w:r>
            <w:r w:rsidRPr="00DB72C3">
              <w:rPr>
                <w:rFonts w:ascii="Times New Roman" w:eastAsia="Times New Roman" w:hAnsi="Times New Roman" w:cs="Times New Roman"/>
                <w:i/>
                <w:iCs/>
                <w:sz w:val="24"/>
                <w:szCs w:val="24"/>
              </w:rPr>
              <w:t xml:space="preserve">lex </w:t>
            </w:r>
            <w:proofErr w:type="spellStart"/>
            <w:r w:rsidRPr="00DB72C3">
              <w:rPr>
                <w:rFonts w:ascii="Times New Roman" w:eastAsia="Times New Roman" w:hAnsi="Times New Roman" w:cs="Times New Roman"/>
                <w:i/>
                <w:iCs/>
                <w:sz w:val="24"/>
                <w:szCs w:val="24"/>
              </w:rPr>
              <w:t>specialis</w:t>
            </w:r>
            <w:proofErr w:type="spellEnd"/>
            <w:r w:rsidRPr="00DB72C3">
              <w:rPr>
                <w:rFonts w:ascii="Times New Roman" w:eastAsia="Times New Roman" w:hAnsi="Times New Roman" w:cs="Times New Roman"/>
                <w:sz w:val="24"/>
                <w:szCs w:val="24"/>
              </w:rPr>
              <w:t> with regard to Directive (EU) 2022/2555. At the same time, it is crucial to maintain a strong relationship between the financial sector and the Union horizontal cybersecurity framework as currently laid out in Directive (EU) 2022/2555 to ensure consistency with the cyber security strategies adopted by Member States and to allow financial supervisors to be made aware of cyber incidents affecting other sectors covered by that Directive.</w:t>
            </w:r>
          </w:p>
        </w:tc>
      </w:tr>
    </w:tbl>
    <w:p w14:paraId="50D2F27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D062CCF" w14:textId="77777777" w:rsidTr="00DB72C3">
        <w:tc>
          <w:tcPr>
            <w:tcW w:w="0" w:type="auto"/>
            <w:shd w:val="clear" w:color="auto" w:fill="auto"/>
            <w:hideMark/>
          </w:tcPr>
          <w:p w14:paraId="47AC1FE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(17)</w:t>
            </w:r>
          </w:p>
        </w:tc>
        <w:tc>
          <w:tcPr>
            <w:tcW w:w="0" w:type="auto"/>
            <w:shd w:val="clear" w:color="auto" w:fill="auto"/>
            <w:hideMark/>
          </w:tcPr>
          <w:p w14:paraId="31510A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 accordance with Article 4(2) of the Treaty on European Union and without prejudice to the judicial review by the Court of Justice, this Regulation should not affect the responsibility of Member States with regard to essential State functions concerning public security,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 xml:space="preserve"> and the safeguarding of national security, for example concerning the supply of information which would be contrary to the safeguarding of national security.</w:t>
            </w:r>
          </w:p>
        </w:tc>
      </w:tr>
      <w:tr w:rsidR="00DB72C3" w:rsidRPr="00DB72C3" w14:paraId="46DE46F4" w14:textId="77777777" w:rsidTr="00DB72C3">
        <w:tc>
          <w:tcPr>
            <w:tcW w:w="0" w:type="auto"/>
            <w:shd w:val="clear" w:color="auto" w:fill="auto"/>
            <w:hideMark/>
          </w:tcPr>
          <w:p w14:paraId="40F1B11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(18)</w:t>
            </w:r>
          </w:p>
        </w:tc>
        <w:tc>
          <w:tcPr>
            <w:tcW w:w="0" w:type="auto"/>
            <w:shd w:val="clear" w:color="auto" w:fill="auto"/>
            <w:hideMark/>
          </w:tcPr>
          <w:p w14:paraId="132328B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enable cross-sector learning and to effectively draw on experiences of other sectors in dealing with cyber threats, the financial entities referred to in Directive (EU) 2022/2555 should remain part of the ‘ecosystem’ of that Directive (for example, Cooperation Group and computer security incident response teams (CSIRTs)).The ESAs and national competent authorities should be able to participate in the strategic policy discussions and the technical workings of the Cooperation Group under that Directive, and to exchange information and </w:t>
            </w:r>
            <w:r w:rsidRPr="00DB72C3">
              <w:rPr>
                <w:rFonts w:ascii="Times New Roman" w:eastAsia="Times New Roman" w:hAnsi="Times New Roman" w:cs="Times New Roman"/>
                <w:sz w:val="24"/>
                <w:szCs w:val="24"/>
              </w:rPr>
              <w:lastRenderedPageBreak/>
              <w:t>further cooperate with the single points of contact designated or established in accordance with that Directive. The competent authorities under this Regulation should also consult and cooperate with the CSIRTs. The competent authorities should also be able to request technical advice from the competent authorities designated or established in accordance with Directive (EU) 2022/2555 and establish cooperation arrangements that aim to ensure effective and fast-response coordination mechanisms.</w:t>
            </w:r>
          </w:p>
        </w:tc>
      </w:tr>
    </w:tbl>
    <w:p w14:paraId="5854E13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C3735BB" w14:textId="77777777" w:rsidTr="00DB72C3">
        <w:tc>
          <w:tcPr>
            <w:tcW w:w="0" w:type="auto"/>
            <w:shd w:val="clear" w:color="auto" w:fill="auto"/>
            <w:hideMark/>
          </w:tcPr>
          <w:p w14:paraId="4B52093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(19)</w:t>
            </w:r>
          </w:p>
        </w:tc>
        <w:tc>
          <w:tcPr>
            <w:tcW w:w="0" w:type="auto"/>
            <w:shd w:val="clear" w:color="auto" w:fill="auto"/>
            <w:hideMark/>
          </w:tcPr>
          <w:p w14:paraId="2538B9A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Given the strong interlinkages between the digital resilience and the physical resilience of financial entities, a coherent approach with regard to the resilience of critical entities is necessary in this Regulation and Directive (EU) 2022/2557 of the European Parliament and the Council </w:t>
            </w:r>
            <w:hyperlink r:id="rId12" w:anchor="ntr9-L_2022333EN.01000101-E0009"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9</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Given that the physical resilience of financial entities is addressed in a comprehensive manner by the ICT risk management and reporting obligations covered by this Regulation, the obligations laid down in Chapters III and IV of Directive (EU) 2022/2557 should not apply to financial entities falling within the scope of that Directive.</w:t>
            </w:r>
          </w:p>
        </w:tc>
      </w:tr>
      <w:tr w:rsidR="00DB72C3" w:rsidRPr="00DB72C3" w14:paraId="7862EE53" w14:textId="77777777" w:rsidTr="00DB72C3">
        <w:tc>
          <w:tcPr>
            <w:tcW w:w="0" w:type="auto"/>
            <w:shd w:val="clear" w:color="auto" w:fill="auto"/>
            <w:hideMark/>
          </w:tcPr>
          <w:p w14:paraId="3D14F6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(20)</w:t>
            </w:r>
          </w:p>
        </w:tc>
        <w:tc>
          <w:tcPr>
            <w:tcW w:w="0" w:type="auto"/>
            <w:shd w:val="clear" w:color="auto" w:fill="auto"/>
            <w:hideMark/>
          </w:tcPr>
          <w:p w14:paraId="683946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Cloud computing service providers are one category of digital infrastructure covered by Directive (EU) 2022/2555. The Union Oversight Framework (‘Oversight Framework’) established by this Regulation applies to all critical ICT third-party service providers, including cloud computing service providers providing ICT services to financial entities, and should be considered complementary to the supervision carried out pursuant to Directive (EU) 2022/2555. Moreover, the Oversight Framework established by this Regulation should cover cloud computing service providers in the absence of a Union horizontal framework establishing a digital oversight authority.</w:t>
            </w:r>
          </w:p>
        </w:tc>
      </w:tr>
    </w:tbl>
    <w:p w14:paraId="065DEC8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E5D4874" w14:textId="77777777" w:rsidTr="00DB72C3">
        <w:tc>
          <w:tcPr>
            <w:tcW w:w="0" w:type="auto"/>
            <w:shd w:val="clear" w:color="auto" w:fill="auto"/>
            <w:hideMark/>
          </w:tcPr>
          <w:p w14:paraId="5C46B83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(21)</w:t>
            </w:r>
          </w:p>
        </w:tc>
        <w:tc>
          <w:tcPr>
            <w:tcW w:w="0" w:type="auto"/>
            <w:shd w:val="clear" w:color="auto" w:fill="auto"/>
            <w:hideMark/>
          </w:tcPr>
          <w:p w14:paraId="2015643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order to maintain full control over ICT risk, financial entities need to have comprehensive capabilities to enable a strong and effective ICT risk management, as well as specific mechanisms and policies for handling all ICT-related incidents and for reporting major ICT-related incidents. Likewise, financial entities should have policies in place for the testing of ICT systems, controls and processes, as well as for managing ICT third-party risk. The digital operational resilience baseline for financial entities should be increased while also allowing for a proportionate application of requirements for certain financial entities, particularly microenterprises, as well as financial entities subject to a simplified ICT risk management framework. To facilitate an efficient supervision of institutions for occupational retirement provision that is proportionate and addresses the need to reduce administrative burdens on the competent authorities, the relevant national supervisory arrangements in respect of such financial entities should take into account their size and overall risk profile, and the nature, scale and complexity of their services, activities and operations even when the relevant thresholds established in Article 5 of Directive (EU) 2016/2341 of the European Parliament and of the Council </w:t>
            </w:r>
            <w:hyperlink r:id="rId13" w:anchor="ntr10-L_2022333EN.01000101-E0010"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10</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are exceeded. In particular, supervisory activities should focus primarily on the need to address serious risks associated with the ICT risk management of a particular entity.</w:t>
            </w:r>
          </w:p>
          <w:p w14:paraId="6FB2ED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Competent authorities should also maintain a vigilant but proportionate approach in relation to the supervision of institutions for occupational retirement provision which, in accordance with Article 31 of Directive (EU) 2016/2341, outsource a significant part of their core business, such as asset management, actuarial calculations, accounting and data management, to service providers.</w:t>
            </w:r>
          </w:p>
        </w:tc>
      </w:tr>
      <w:tr w:rsidR="00DB72C3" w:rsidRPr="00DB72C3" w14:paraId="7CE11F7F" w14:textId="77777777" w:rsidTr="00DB72C3">
        <w:tc>
          <w:tcPr>
            <w:tcW w:w="0" w:type="auto"/>
            <w:shd w:val="clear" w:color="auto" w:fill="auto"/>
            <w:hideMark/>
          </w:tcPr>
          <w:p w14:paraId="1BB1511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(22)</w:t>
            </w:r>
          </w:p>
        </w:tc>
        <w:tc>
          <w:tcPr>
            <w:tcW w:w="0" w:type="auto"/>
            <w:shd w:val="clear" w:color="auto" w:fill="auto"/>
            <w:hideMark/>
          </w:tcPr>
          <w:p w14:paraId="7C8106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ICT-related incident reporting thresholds and taxonomies vary significantly at national level. While common ground may be achieved through the relevant work undertaken by the European Union Agency for Cybersecurity (ENISA) established by Regulation (EU) 2019/881 of the European Parliament and of the Council </w:t>
            </w:r>
            <w:hyperlink r:id="rId14" w:anchor="ntr11-L_2022333EN.01000101-E0011"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11</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xml:space="preserve"> and the Cooperation Group under Directive (EU) 2022/2555, divergent approaches on setting the thresholds and use of taxonomies still exist, or can emerge, for the remainder of financial entities. Due to those divergences, there are multiple requirements that financial entities must comply with, especially when operating across several Member States and when part of a financial group. Moreover, such divergences have the potential to hinder the creation of further uniform or </w:t>
            </w:r>
            <w:proofErr w:type="spellStart"/>
            <w:r w:rsidRPr="00DB72C3">
              <w:rPr>
                <w:rFonts w:ascii="Times New Roman" w:eastAsia="Times New Roman" w:hAnsi="Times New Roman" w:cs="Times New Roman"/>
                <w:sz w:val="24"/>
                <w:szCs w:val="24"/>
              </w:rPr>
              <w:t>centralised</w:t>
            </w:r>
            <w:proofErr w:type="spellEnd"/>
            <w:r w:rsidRPr="00DB72C3">
              <w:rPr>
                <w:rFonts w:ascii="Times New Roman" w:eastAsia="Times New Roman" w:hAnsi="Times New Roman" w:cs="Times New Roman"/>
                <w:sz w:val="24"/>
                <w:szCs w:val="24"/>
              </w:rPr>
              <w:t xml:space="preserve"> Union mechanisms that speed up the reporting process and support a quick and smooth exchange of information between competent authorities, which is crucial for addressing ICT risk in the event of large-scale attacks with potentially systemic consequences.</w:t>
            </w:r>
          </w:p>
        </w:tc>
      </w:tr>
    </w:tbl>
    <w:p w14:paraId="6382547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FEE4EEE" w14:textId="77777777" w:rsidTr="00DB72C3">
        <w:tc>
          <w:tcPr>
            <w:tcW w:w="0" w:type="auto"/>
            <w:shd w:val="clear" w:color="auto" w:fill="auto"/>
            <w:hideMark/>
          </w:tcPr>
          <w:p w14:paraId="19EFCA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(23)</w:t>
            </w:r>
          </w:p>
        </w:tc>
        <w:tc>
          <w:tcPr>
            <w:tcW w:w="0" w:type="auto"/>
            <w:shd w:val="clear" w:color="auto" w:fill="auto"/>
            <w:hideMark/>
          </w:tcPr>
          <w:p w14:paraId="1F3B45B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reduce the administrative burden and potentially duplicative reporting obligations for certain financial entities, the requirement for the incident reporting pursuant to Directive (EU) 2015/2366 of the European Parliament and of the Council </w:t>
            </w:r>
            <w:hyperlink r:id="rId15" w:anchor="ntr12-L_2022333EN.01000101-E0012"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12</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should cease to apply to payment service providers that fall within the scope of this Regulation. Consequently, credit institutions, e-money institutions, payment institutions and account information service providers, as referred to in Article 33(1) of that Directive, should, from the date of application of this Regulation, report pursuant to this Regulation, all operational or security payment-related incidents which have been previously reported pursuant to that Directive, irrespective of whether such incidents are ICT-related.</w:t>
            </w:r>
          </w:p>
        </w:tc>
      </w:tr>
      <w:tr w:rsidR="00DB72C3" w:rsidRPr="00DB72C3" w14:paraId="293FE97E" w14:textId="77777777" w:rsidTr="00DB72C3">
        <w:tc>
          <w:tcPr>
            <w:tcW w:w="0" w:type="auto"/>
            <w:shd w:val="clear" w:color="auto" w:fill="auto"/>
            <w:hideMark/>
          </w:tcPr>
          <w:p w14:paraId="3456C4F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(24)</w:t>
            </w:r>
          </w:p>
        </w:tc>
        <w:tc>
          <w:tcPr>
            <w:tcW w:w="0" w:type="auto"/>
            <w:shd w:val="clear" w:color="auto" w:fill="auto"/>
            <w:hideMark/>
          </w:tcPr>
          <w:p w14:paraId="7FCE528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enable competent authorities to fulfil supervisory roles by acquiring a complete overview of the nature, frequency, significance and impact of ICT-related incidents and to enhance the exchange of information between relevant public authorities, including law enforcement authorities and resolution authorities, this Regulation should lay down a robust ICT-related incident reporting regime whereby the relevant requirements address current gaps in financial services law, and remove existing overlaps and duplications to alleviate costs. It is essential to </w:t>
            </w:r>
            <w:proofErr w:type="spellStart"/>
            <w:r w:rsidRPr="00DB72C3">
              <w:rPr>
                <w:rFonts w:ascii="Times New Roman" w:eastAsia="Times New Roman" w:hAnsi="Times New Roman" w:cs="Times New Roman"/>
                <w:sz w:val="24"/>
                <w:szCs w:val="24"/>
              </w:rPr>
              <w:t>harmonise</w:t>
            </w:r>
            <w:proofErr w:type="spellEnd"/>
            <w:r w:rsidRPr="00DB72C3">
              <w:rPr>
                <w:rFonts w:ascii="Times New Roman" w:eastAsia="Times New Roman" w:hAnsi="Times New Roman" w:cs="Times New Roman"/>
                <w:sz w:val="24"/>
                <w:szCs w:val="24"/>
              </w:rPr>
              <w:t xml:space="preserve"> the ICT-related incident reporting regime by requiring all financial entities to report to their competent authorities through a single streamlined framework as set out in this Regulation. In addition, the ESAs should be empowered to further specify relevant elements for the ICT-related incident reporting framework, such as taxonomy, timeframes, data sets, templates and applicable thresholds. To ensure full consistency with Directive (EU) 2022/2555, financial entities should be allowed, on a voluntary basis, to notify significant </w:t>
            </w:r>
            <w:r w:rsidRPr="00DB72C3">
              <w:rPr>
                <w:rFonts w:ascii="Times New Roman" w:eastAsia="Times New Roman" w:hAnsi="Times New Roman" w:cs="Times New Roman"/>
                <w:sz w:val="24"/>
                <w:szCs w:val="24"/>
              </w:rPr>
              <w:lastRenderedPageBreak/>
              <w:t>cyber threats to the relevant competent authority, when they consider that the cyber threat is of relevance to the financial system, service users or clients.</w:t>
            </w:r>
          </w:p>
        </w:tc>
      </w:tr>
    </w:tbl>
    <w:p w14:paraId="13ED5D5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993FDBF" w14:textId="77777777" w:rsidTr="00DB72C3">
        <w:tc>
          <w:tcPr>
            <w:tcW w:w="0" w:type="auto"/>
            <w:shd w:val="clear" w:color="auto" w:fill="auto"/>
            <w:hideMark/>
          </w:tcPr>
          <w:p w14:paraId="1421BE6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(25)</w:t>
            </w:r>
          </w:p>
        </w:tc>
        <w:tc>
          <w:tcPr>
            <w:tcW w:w="0" w:type="auto"/>
            <w:shd w:val="clear" w:color="auto" w:fill="auto"/>
            <w:hideMark/>
          </w:tcPr>
          <w:p w14:paraId="6D921D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Digital operational resilience testing requirements have been developed in certain financial subsectors setting out frameworks that are not always fully aligned. This leads to a potential duplication of costs for cross-border financial entities and makes the mutual recognition of the results of digital operational resilience testing complex which, in turn, can fragment the internal market.</w:t>
            </w:r>
          </w:p>
        </w:tc>
      </w:tr>
      <w:tr w:rsidR="00DB72C3" w:rsidRPr="00DB72C3" w14:paraId="228100C9" w14:textId="77777777" w:rsidTr="00DB72C3">
        <w:tc>
          <w:tcPr>
            <w:tcW w:w="0" w:type="auto"/>
            <w:shd w:val="clear" w:color="auto" w:fill="auto"/>
            <w:hideMark/>
          </w:tcPr>
          <w:p w14:paraId="5D7A55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(26)</w:t>
            </w:r>
          </w:p>
        </w:tc>
        <w:tc>
          <w:tcPr>
            <w:tcW w:w="0" w:type="auto"/>
            <w:shd w:val="clear" w:color="auto" w:fill="auto"/>
            <w:hideMark/>
          </w:tcPr>
          <w:p w14:paraId="3934327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 addition, where no ICT testing is required, vulnerabilities remain undetected and result in exposing a financial entity to ICT risk and ultimately create a higher risk to the stability and integrity of the financial sector. Without Union intervention, digital operational resilience testing would continue to be inconsistent and would lack a system of mutual recognition of ICT testing results across different jurisdictions. In addition, as it is unlikely that other financial subsectors would adopt testing schemes on a meaningful scale, they would miss out on the potential benefits of a testing framework, in terms of revealing ICT vulnerabilities and risks, and testing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 xml:space="preserve"> capabilities and business continuity, which contributes to increasing the trust of customers, suppliers and business partners. To remedy those overlaps, divergences and gaps, it is necessary to lay down rules for a coordinated testing regime and thereby facilitate the mutual recognition of advanced testing for financial entities meeting the criteria set out in this Regulation.</w:t>
            </w:r>
          </w:p>
        </w:tc>
      </w:tr>
    </w:tbl>
    <w:p w14:paraId="4A07D4A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719A5F6" w14:textId="77777777" w:rsidTr="00DB72C3">
        <w:tc>
          <w:tcPr>
            <w:tcW w:w="0" w:type="auto"/>
            <w:shd w:val="clear" w:color="auto" w:fill="auto"/>
            <w:hideMark/>
          </w:tcPr>
          <w:p w14:paraId="297680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(27)</w:t>
            </w:r>
          </w:p>
        </w:tc>
        <w:tc>
          <w:tcPr>
            <w:tcW w:w="0" w:type="auto"/>
            <w:shd w:val="clear" w:color="auto" w:fill="auto"/>
            <w:hideMark/>
          </w:tcPr>
          <w:p w14:paraId="421B94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reliance on the use of ICT services is partly driven by their need to adapt to an emerging competitive digital global economy, to boost their business efficiency and to meet consumer demand. The nature and extent of such reliance has been continuously evolving in recent years, driving cost reduction in financial intermediation, enabling business expansion and scalability in the deployment of financial activities while offering a wide range of ICT tools to manage complex internal processes.</w:t>
            </w:r>
          </w:p>
        </w:tc>
      </w:tr>
      <w:tr w:rsidR="00DB72C3" w:rsidRPr="00DB72C3" w14:paraId="42F28B34" w14:textId="77777777" w:rsidTr="00DB72C3">
        <w:tc>
          <w:tcPr>
            <w:tcW w:w="0" w:type="auto"/>
            <w:shd w:val="clear" w:color="auto" w:fill="auto"/>
            <w:hideMark/>
          </w:tcPr>
          <w:p w14:paraId="6E00A71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(28)</w:t>
            </w:r>
          </w:p>
        </w:tc>
        <w:tc>
          <w:tcPr>
            <w:tcW w:w="0" w:type="auto"/>
            <w:shd w:val="clear" w:color="auto" w:fill="auto"/>
            <w:hideMark/>
          </w:tcPr>
          <w:p w14:paraId="2A16ACD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extensive use of ICT services is evidenced by complex contractual arrangements, whereby financial entities often encounter difficulties in negotiating contractual terms that are tailored to the prudential standards or other regulatory requirements to which they are subject, or otherwise in enforcing specific rights, such as access or audit rights, even when the latter are enshrined in their contractual arrangements. Moreover, many of those contractual arrangements do not provide for sufficient safeguards allowing for the fully-fledged monitoring of subcontracting processes, thus depriving the financial entity of its ability to assess the associated risks. In addition, as ICT third-party service providers often provide </w:t>
            </w:r>
            <w:proofErr w:type="spellStart"/>
            <w:r w:rsidRPr="00DB72C3">
              <w:rPr>
                <w:rFonts w:ascii="Times New Roman" w:eastAsia="Times New Roman" w:hAnsi="Times New Roman" w:cs="Times New Roman"/>
                <w:sz w:val="24"/>
                <w:szCs w:val="24"/>
              </w:rPr>
              <w:t>standardised</w:t>
            </w:r>
            <w:proofErr w:type="spellEnd"/>
            <w:r w:rsidRPr="00DB72C3">
              <w:rPr>
                <w:rFonts w:ascii="Times New Roman" w:eastAsia="Times New Roman" w:hAnsi="Times New Roman" w:cs="Times New Roman"/>
                <w:sz w:val="24"/>
                <w:szCs w:val="24"/>
              </w:rPr>
              <w:t xml:space="preserve"> services to different types of clients, such contractual arrangements do not always cater adequately for the individual or specific needs of financial industry actors.</w:t>
            </w:r>
          </w:p>
        </w:tc>
      </w:tr>
    </w:tbl>
    <w:p w14:paraId="6DD3197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283FA58" w14:textId="77777777" w:rsidTr="00DB72C3">
        <w:tc>
          <w:tcPr>
            <w:tcW w:w="0" w:type="auto"/>
            <w:shd w:val="clear" w:color="auto" w:fill="auto"/>
            <w:hideMark/>
          </w:tcPr>
          <w:p w14:paraId="5684C0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(29)</w:t>
            </w:r>
          </w:p>
        </w:tc>
        <w:tc>
          <w:tcPr>
            <w:tcW w:w="0" w:type="auto"/>
            <w:shd w:val="clear" w:color="auto" w:fill="auto"/>
            <w:hideMark/>
          </w:tcPr>
          <w:p w14:paraId="3DD2FE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Even though Union financial services law contains certain general rules on outsourcing, monitoring of the contractual dimension is not fully anchored into Union law. In the absence of clear and bespoke Union standards applying to the contractual arrangements concluded with ICT third-party service providers, the external source of ICT risk is not comprehensively </w:t>
            </w:r>
            <w:r w:rsidRPr="00DB72C3">
              <w:rPr>
                <w:rFonts w:ascii="Times New Roman" w:eastAsia="Times New Roman" w:hAnsi="Times New Roman" w:cs="Times New Roman"/>
                <w:sz w:val="24"/>
                <w:szCs w:val="24"/>
              </w:rPr>
              <w:lastRenderedPageBreak/>
              <w:t>addressed. Consequently, it is necessary to set out certain key principles to guide financial entities’ management of ICT third-party risk, which are of particular importance when financial entities resort to ICT third-party service providers to support their critical or important functions. Those principles should be accompanied by a set of core contractual rights in relation to several elements in the performance and termination of contractual arrangements with a view to providing certain minimum safeguards in order to strengthen financial entities’ ability to effectively monitor all ICT risk emerging at the level of third-party service providers. Those principles are complementary to the sectoral law applicable to outsourcing.</w:t>
            </w:r>
          </w:p>
        </w:tc>
      </w:tr>
      <w:tr w:rsidR="00DB72C3" w:rsidRPr="00DB72C3" w14:paraId="2F2677DE" w14:textId="77777777" w:rsidTr="00DB72C3">
        <w:tc>
          <w:tcPr>
            <w:tcW w:w="0" w:type="auto"/>
            <w:shd w:val="clear" w:color="auto" w:fill="auto"/>
            <w:hideMark/>
          </w:tcPr>
          <w:p w14:paraId="7C27DFB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(30)</w:t>
            </w:r>
          </w:p>
        </w:tc>
        <w:tc>
          <w:tcPr>
            <w:tcW w:w="0" w:type="auto"/>
            <w:shd w:val="clear" w:color="auto" w:fill="auto"/>
            <w:hideMark/>
          </w:tcPr>
          <w:p w14:paraId="20BDDF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certain lack of homogeneity and convergence regarding the monitoring of ICT third-party risk and ICT third-party dependencies is evident today. Despite efforts to address outsourcing, such as EBA Guidelines on outsourcing of 2019 and ESMA Guidelines on outsourcing to cloud service providers of 2021 the broader issue of counteracting systemic risk which may be triggered by the financial sector’s exposure to a limited number of critical ICT third-party service providers is not sufficiently addressed by Union law. The lack of rules at Union level is compounded by the absence of national rules on mandates and tools that allow financial supervisors to acquire a good understanding of ICT third-party dependencies and to monitor adequately risks arising from the concentration of ICT third-party dependencies.</w:t>
            </w:r>
          </w:p>
        </w:tc>
      </w:tr>
    </w:tbl>
    <w:p w14:paraId="71D148E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2564619" w14:textId="77777777" w:rsidTr="00DB72C3">
        <w:tc>
          <w:tcPr>
            <w:tcW w:w="0" w:type="auto"/>
            <w:shd w:val="clear" w:color="auto" w:fill="auto"/>
            <w:hideMark/>
          </w:tcPr>
          <w:p w14:paraId="04E79EA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(31)</w:t>
            </w:r>
          </w:p>
        </w:tc>
        <w:tc>
          <w:tcPr>
            <w:tcW w:w="0" w:type="auto"/>
            <w:shd w:val="clear" w:color="auto" w:fill="auto"/>
            <w:hideMark/>
          </w:tcPr>
          <w:p w14:paraId="44BEAF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Taking into account the potential systemic risk entailed by increased outsourcing practices and by the ICT third-party concentration, and mindful of the insufficiency of national mechanisms in providing financial supervisors with adequate tools to quantify, qualify and redress the consequences of ICT risk occurring at critical ICT third-party service providers, it is necessary to establish an appropriate Oversight Framework allowing for a continuous monitoring of the activities of ICT third-party service providers that are critical ICT third-party service providers to financial entities, while ensuring that the confidentiality and security of customers other than financial entities is preserved. While intra-group provision of ICT services entails specific risks and benefits, it should not be automatically considered less risky than the provision of ICT services by providers outside of a financial group and should therefore be subject to the same regulatory framework. However, when ICT services are provided from within the same financial group, financial entities might have a higher level of control over intra-group providers, which ought to be taken into account in the overall risk assessment.</w:t>
            </w:r>
          </w:p>
        </w:tc>
      </w:tr>
      <w:tr w:rsidR="00DB72C3" w:rsidRPr="00DB72C3" w14:paraId="41A24AB0" w14:textId="77777777" w:rsidTr="00DB72C3">
        <w:tc>
          <w:tcPr>
            <w:tcW w:w="0" w:type="auto"/>
            <w:shd w:val="clear" w:color="auto" w:fill="auto"/>
            <w:hideMark/>
          </w:tcPr>
          <w:p w14:paraId="22CC261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(32)</w:t>
            </w:r>
          </w:p>
        </w:tc>
        <w:tc>
          <w:tcPr>
            <w:tcW w:w="0" w:type="auto"/>
            <w:shd w:val="clear" w:color="auto" w:fill="auto"/>
            <w:hideMark/>
          </w:tcPr>
          <w:p w14:paraId="0CDE279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With ICT risk becoming more and more complex and sophisticated, good measures for the detection and prevention of ICT risk depend to a great extent on the regular sharing between financial entities of threat and vulnerability intelligence. Information sharing contributes to creating increased awareness of cyber threats. In turn, this enhances the capacity of financial entities to prevent cyber threats from becoming real ICT-related incidents and enables financial entities to more effectively contain the impact of ICT-related incidents and to recover faster. In the absence of guidance at Union level, several factors seem to have inhibited such intelligence sharing, in particular uncertainty about its compatibility with data protection, anti-trust and liability rules.</w:t>
            </w:r>
          </w:p>
        </w:tc>
      </w:tr>
    </w:tbl>
    <w:p w14:paraId="0A18129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1B3B58D" w14:textId="77777777" w:rsidTr="00DB72C3">
        <w:tc>
          <w:tcPr>
            <w:tcW w:w="0" w:type="auto"/>
            <w:shd w:val="clear" w:color="auto" w:fill="auto"/>
            <w:hideMark/>
          </w:tcPr>
          <w:p w14:paraId="588CE2D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(33)</w:t>
            </w:r>
          </w:p>
        </w:tc>
        <w:tc>
          <w:tcPr>
            <w:tcW w:w="0" w:type="auto"/>
            <w:shd w:val="clear" w:color="auto" w:fill="auto"/>
            <w:hideMark/>
          </w:tcPr>
          <w:p w14:paraId="2FE866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addition, doubts about the type of information that can be shared with other market participants, or with non-supervisory authorities (such as ENISA, for analytical input, or Europol, for law enforcement purposes) lead to useful information being withheld. Therefore, the extent and quality of information sharing currently remains limited and fragmented, with relevant exchanges mostly being local (by way of national initiatives) and with no consistent Union-wide information-sharing arrangements tailored to the needs of an integrated financial system. It is therefore important to strengthen those communication channels.</w:t>
            </w:r>
          </w:p>
        </w:tc>
      </w:tr>
      <w:tr w:rsidR="00DB72C3" w:rsidRPr="00DB72C3" w14:paraId="1E2A32B0" w14:textId="77777777" w:rsidTr="00DB72C3">
        <w:tc>
          <w:tcPr>
            <w:tcW w:w="0" w:type="auto"/>
            <w:shd w:val="clear" w:color="auto" w:fill="auto"/>
            <w:hideMark/>
          </w:tcPr>
          <w:p w14:paraId="664892C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(34)</w:t>
            </w:r>
          </w:p>
        </w:tc>
        <w:tc>
          <w:tcPr>
            <w:tcW w:w="0" w:type="auto"/>
            <w:shd w:val="clear" w:color="auto" w:fill="auto"/>
            <w:hideMark/>
          </w:tcPr>
          <w:p w14:paraId="0933AA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should be encouraged to exchange among themselves cyber threat information and intelligence, and to collectively leverage their individual knowledge and practical experience at strategic, tactical and operational levels with a view to enhancing their capabilities to adequately assess, monitor, defend against, and respond to cyber threats, by participating in information sharing arrangements. It is therefore necessary to enable the emergence at Union level of mechanisms for voluntary information-sharing arrangements which, when conducted in trusted environments, would help the community of the financial industry to prevent and collectively respond to cyber threats by quickly limiting the spread of ICT risk and impeding potential contagion throughout the financial channels. Those mechanisms should comply with the applicable competition law rules of the Union set out in the Communication from the Commission of 14 January 2011 entitled ‘Guidelines on the applicability of Article 101 of the Treaty on the Functioning of the European Union to horizontal cooperation agreements’, as well as with Union data protection rules, in particular Regulation (EU) 2016/679 of the European Parliament and of the Council </w:t>
            </w:r>
            <w:hyperlink r:id="rId16" w:anchor="ntr13-L_2022333EN.01000101-E0013"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13</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They should operate based on the use of one or more of the legal bases that are laid down in Article 6 of that Regulation, such as in the context of the processing of personal data that is necessary for the purposes of the legitimate interest pursued by the controller or by a third party, as referred to in Article 6(1), point (f), of that Regulation, as well as in the context of the processing of personal data necessary for compliance with a legal obligation to which the controller is subject, necessary for the performance of a task carried out in the public interest or in the exercise of official authority vested in the controller, as referred to in Article 6(1), points (c) and (e), respectively, of that Regulation.</w:t>
            </w:r>
          </w:p>
        </w:tc>
      </w:tr>
    </w:tbl>
    <w:p w14:paraId="53E7407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F4316FC" w14:textId="77777777" w:rsidTr="00DB72C3">
        <w:tc>
          <w:tcPr>
            <w:tcW w:w="0" w:type="auto"/>
            <w:shd w:val="clear" w:color="auto" w:fill="auto"/>
            <w:hideMark/>
          </w:tcPr>
          <w:p w14:paraId="69A1B7E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(35)</w:t>
            </w:r>
          </w:p>
        </w:tc>
        <w:tc>
          <w:tcPr>
            <w:tcW w:w="0" w:type="auto"/>
            <w:shd w:val="clear" w:color="auto" w:fill="auto"/>
            <w:hideMark/>
          </w:tcPr>
          <w:p w14:paraId="7C17FC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order to maintain a high level of digital operational resilience for the whole financial sector, and at the same time to keep pace with technological developments, this Regulation should address risk stemming from all types of ICT services. To that end, the definition of ICT services in the context of this Regulation should be understood in a broad manner, encompassing digital and data services provided through ICT systems to one or more internal or external users on an ongoing basis. That definition should, for instance, include so called ‘over the top’ services, which fall within the category of electronic communications services. It should exclude only the limited category of traditional analogue telephone services qualifying as Public Switched Telephone Network (PSTN) services, landline services, Plain Old Telephone Service (POTS), or fixed-line telephone services.</w:t>
            </w:r>
          </w:p>
        </w:tc>
      </w:tr>
      <w:tr w:rsidR="00DB72C3" w:rsidRPr="00DB72C3" w14:paraId="43F957D2" w14:textId="77777777" w:rsidTr="00DB72C3">
        <w:tc>
          <w:tcPr>
            <w:tcW w:w="0" w:type="auto"/>
            <w:shd w:val="clear" w:color="auto" w:fill="auto"/>
            <w:hideMark/>
          </w:tcPr>
          <w:p w14:paraId="0BD596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(36)</w:t>
            </w:r>
          </w:p>
        </w:tc>
        <w:tc>
          <w:tcPr>
            <w:tcW w:w="0" w:type="auto"/>
            <w:shd w:val="clear" w:color="auto" w:fill="auto"/>
            <w:hideMark/>
          </w:tcPr>
          <w:p w14:paraId="1BF93F2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Notwithstanding the broad coverage envisaged by this Regulation, the application of the digital operational resilience rules should take into account the significant differences between financial entities in terms of their size and overall risk profile. As a general principle, when distributing resources and capabilities for the implementation of the ICT risk management framework, financial entities should duly balance their ICT-related needs to their size and overall risk profile, and the nature, scale and complexity of their services, activities and operations, while competent authorities should continue to assess and review the approach of such distribution.</w:t>
            </w:r>
          </w:p>
        </w:tc>
      </w:tr>
    </w:tbl>
    <w:p w14:paraId="4FAAEF2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5051AB8" w14:textId="77777777" w:rsidTr="00DB72C3">
        <w:tc>
          <w:tcPr>
            <w:tcW w:w="0" w:type="auto"/>
            <w:shd w:val="clear" w:color="auto" w:fill="auto"/>
            <w:hideMark/>
          </w:tcPr>
          <w:p w14:paraId="6BA5792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(37)</w:t>
            </w:r>
          </w:p>
        </w:tc>
        <w:tc>
          <w:tcPr>
            <w:tcW w:w="0" w:type="auto"/>
            <w:shd w:val="clear" w:color="auto" w:fill="auto"/>
            <w:hideMark/>
          </w:tcPr>
          <w:p w14:paraId="462643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Account information service providers, referred to in Article 33(1) of Directive (EU) 2015/2366, are explicitly included in the scope of this Regulation, taking into account the specific nature of their activities and the risks arising therefrom. In addition, electronic money institutions and payment institutions exempted pursuant to Article 9(1) of Directive 2009/110/EC of the European Parliament and of the Council </w:t>
            </w:r>
            <w:hyperlink r:id="rId17" w:anchor="ntr14-L_2022333EN.01000101-E0014"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14</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xml:space="preserve"> and Article 32(1) of Directive (EU) 2015/2366 are included in the scope of this Regulation even if they have not been granted </w:t>
            </w:r>
            <w:proofErr w:type="spellStart"/>
            <w:r w:rsidRPr="00DB72C3">
              <w:rPr>
                <w:rFonts w:ascii="Times New Roman" w:eastAsia="Times New Roman" w:hAnsi="Times New Roman" w:cs="Times New Roman"/>
                <w:sz w:val="24"/>
                <w:szCs w:val="24"/>
              </w:rPr>
              <w:t>authorisation</w:t>
            </w:r>
            <w:proofErr w:type="spellEnd"/>
            <w:r w:rsidRPr="00DB72C3">
              <w:rPr>
                <w:rFonts w:ascii="Times New Roman" w:eastAsia="Times New Roman" w:hAnsi="Times New Roman" w:cs="Times New Roman"/>
                <w:sz w:val="24"/>
                <w:szCs w:val="24"/>
              </w:rPr>
              <w:t xml:space="preserve"> in accordance Directive 2009/110/EC to issue electronic money, or if they have not been granted </w:t>
            </w:r>
            <w:proofErr w:type="spellStart"/>
            <w:r w:rsidRPr="00DB72C3">
              <w:rPr>
                <w:rFonts w:ascii="Times New Roman" w:eastAsia="Times New Roman" w:hAnsi="Times New Roman" w:cs="Times New Roman"/>
                <w:sz w:val="24"/>
                <w:szCs w:val="24"/>
              </w:rPr>
              <w:t>authorisation</w:t>
            </w:r>
            <w:proofErr w:type="spellEnd"/>
            <w:r w:rsidRPr="00DB72C3">
              <w:rPr>
                <w:rFonts w:ascii="Times New Roman" w:eastAsia="Times New Roman" w:hAnsi="Times New Roman" w:cs="Times New Roman"/>
                <w:sz w:val="24"/>
                <w:szCs w:val="24"/>
              </w:rPr>
              <w:t xml:space="preserve"> in accordance with Directive (EU) 2015/2366 to provide and execute payment services. However, post office </w:t>
            </w:r>
            <w:proofErr w:type="spellStart"/>
            <w:r w:rsidRPr="00DB72C3">
              <w:rPr>
                <w:rFonts w:ascii="Times New Roman" w:eastAsia="Times New Roman" w:hAnsi="Times New Roman" w:cs="Times New Roman"/>
                <w:sz w:val="24"/>
                <w:szCs w:val="24"/>
              </w:rPr>
              <w:t>giro</w:t>
            </w:r>
            <w:proofErr w:type="spellEnd"/>
            <w:r w:rsidRPr="00DB72C3">
              <w:rPr>
                <w:rFonts w:ascii="Times New Roman" w:eastAsia="Times New Roman" w:hAnsi="Times New Roman" w:cs="Times New Roman"/>
                <w:sz w:val="24"/>
                <w:szCs w:val="24"/>
              </w:rPr>
              <w:t xml:space="preserve"> institutions, referred to in Article 2(5), point (3), of Directive 2013/36/EU of the European Parliament and of the Council </w:t>
            </w:r>
            <w:hyperlink r:id="rId18" w:anchor="ntr15-L_2022333EN.01000101-E0015"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15</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are excluded from the scope of this Regulation. The competent authority for payment institutions exempted pursuant to Directive (EU) 2015/2366, electronic money institutions exempted pursuant to Directive 2009/110/EC and account information service providers as referred to in Article 33(1) of Directive (EU) 2015/2366, should be the competent authority designated in accordance with Article 22 of Directive (EU) 2015/2366.</w:t>
            </w:r>
          </w:p>
        </w:tc>
      </w:tr>
      <w:tr w:rsidR="00DB72C3" w:rsidRPr="00DB72C3" w14:paraId="4D8444B7" w14:textId="77777777" w:rsidTr="00DB72C3">
        <w:tc>
          <w:tcPr>
            <w:tcW w:w="0" w:type="auto"/>
            <w:shd w:val="clear" w:color="auto" w:fill="auto"/>
            <w:hideMark/>
          </w:tcPr>
          <w:p w14:paraId="6FDEE4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(38)</w:t>
            </w:r>
          </w:p>
        </w:tc>
        <w:tc>
          <w:tcPr>
            <w:tcW w:w="0" w:type="auto"/>
            <w:shd w:val="clear" w:color="auto" w:fill="auto"/>
            <w:hideMark/>
          </w:tcPr>
          <w:p w14:paraId="54F4C70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As larger financial entities might enjoy wider resources and can swiftly deploy funds to develop governance structures and set up various corporate strategies, only financial entities that are not microenterprises in the sense of this Regulation should be required to establish more complex governance arrangements. Such entities are better equipped in particular to set up dedicated management functions for supervising arrangements with ICT third-party service providers or for dealing with crisis management, to </w:t>
            </w:r>
            <w:proofErr w:type="spellStart"/>
            <w:r w:rsidRPr="00DB72C3">
              <w:rPr>
                <w:rFonts w:ascii="Times New Roman" w:eastAsia="Times New Roman" w:hAnsi="Times New Roman" w:cs="Times New Roman"/>
                <w:sz w:val="24"/>
                <w:szCs w:val="24"/>
              </w:rPr>
              <w:t>organise</w:t>
            </w:r>
            <w:proofErr w:type="spellEnd"/>
            <w:r w:rsidRPr="00DB72C3">
              <w:rPr>
                <w:rFonts w:ascii="Times New Roman" w:eastAsia="Times New Roman" w:hAnsi="Times New Roman" w:cs="Times New Roman"/>
                <w:sz w:val="24"/>
                <w:szCs w:val="24"/>
              </w:rPr>
              <w:t xml:space="preserve"> their ICT risk management according to the three lines of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 xml:space="preserve"> model, or to set up an internal risk management and control model, and to submit their ICT risk management framework to internal audits.</w:t>
            </w:r>
          </w:p>
        </w:tc>
      </w:tr>
    </w:tbl>
    <w:p w14:paraId="664CECE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4781AE8" w14:textId="77777777" w:rsidTr="00DB72C3">
        <w:tc>
          <w:tcPr>
            <w:tcW w:w="0" w:type="auto"/>
            <w:shd w:val="clear" w:color="auto" w:fill="auto"/>
            <w:hideMark/>
          </w:tcPr>
          <w:p w14:paraId="302964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(39)</w:t>
            </w:r>
          </w:p>
        </w:tc>
        <w:tc>
          <w:tcPr>
            <w:tcW w:w="0" w:type="auto"/>
            <w:shd w:val="clear" w:color="auto" w:fill="auto"/>
            <w:hideMark/>
          </w:tcPr>
          <w:p w14:paraId="3F0596D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Some financial entities benefit from exemptions or are subject to a very light regulatory framework under the relevant sector-specific Union law. Such financial entities include managers of alternative investment funds referred to in Article 3(2) of Directive 2011/61/EU of the European Parliament and of the Council </w:t>
            </w:r>
            <w:hyperlink r:id="rId19" w:anchor="ntr16-L_2022333EN.01000101-E0016"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16</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insurance and reinsurance undertakings referred to in Article 4 of Directive 2009/138/EC of the European Parliament and of the Council </w:t>
            </w:r>
            <w:hyperlink r:id="rId20" w:anchor="ntr17-L_2022333EN.01000101-E0017"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17</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xml:space="preserve">, and institutions for occupational retirement provision which operate pension schemes which together do not have more than 15 members in total. In light of those </w:t>
            </w:r>
            <w:proofErr w:type="gramStart"/>
            <w:r w:rsidRPr="00DB72C3">
              <w:rPr>
                <w:rFonts w:ascii="Times New Roman" w:eastAsia="Times New Roman" w:hAnsi="Times New Roman" w:cs="Times New Roman"/>
                <w:sz w:val="24"/>
                <w:szCs w:val="24"/>
              </w:rPr>
              <w:t>exemptions</w:t>
            </w:r>
            <w:proofErr w:type="gramEnd"/>
            <w:r w:rsidRPr="00DB72C3">
              <w:rPr>
                <w:rFonts w:ascii="Times New Roman" w:eastAsia="Times New Roman" w:hAnsi="Times New Roman" w:cs="Times New Roman"/>
                <w:sz w:val="24"/>
                <w:szCs w:val="24"/>
              </w:rPr>
              <w:t xml:space="preserve"> it would not be proportionate to include such financial entities in the scope of this </w:t>
            </w:r>
            <w:r w:rsidRPr="00DB72C3">
              <w:rPr>
                <w:rFonts w:ascii="Times New Roman" w:eastAsia="Times New Roman" w:hAnsi="Times New Roman" w:cs="Times New Roman"/>
                <w:sz w:val="24"/>
                <w:szCs w:val="24"/>
              </w:rPr>
              <w:lastRenderedPageBreak/>
              <w:t>Regulation. In addition, this Regulation acknowledges the specificities of the insurance intermediation market structure, with the result that insurance intermediaries, reinsurance intermediaries and ancillary insurance intermediaries qualifying as microenterprises or as small or medium-sized enterprises should not be subject to this Regulation.</w:t>
            </w:r>
          </w:p>
        </w:tc>
      </w:tr>
      <w:tr w:rsidR="00DB72C3" w:rsidRPr="00DB72C3" w14:paraId="09D1BE9C" w14:textId="77777777" w:rsidTr="00DB72C3">
        <w:tc>
          <w:tcPr>
            <w:tcW w:w="0" w:type="auto"/>
            <w:shd w:val="clear" w:color="auto" w:fill="auto"/>
            <w:hideMark/>
          </w:tcPr>
          <w:p w14:paraId="1EAD129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(40)</w:t>
            </w:r>
          </w:p>
        </w:tc>
        <w:tc>
          <w:tcPr>
            <w:tcW w:w="0" w:type="auto"/>
            <w:shd w:val="clear" w:color="auto" w:fill="auto"/>
            <w:hideMark/>
          </w:tcPr>
          <w:p w14:paraId="70AF22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Since the entities referred to in Article 2(5), points (4) to (23), of Directive 2013/36/EU are excluded from the scope of that Directive, Member States should consequently be able to choose to exempt from the application of this Regulation such entities located within their respective territories.</w:t>
            </w:r>
          </w:p>
        </w:tc>
      </w:tr>
    </w:tbl>
    <w:p w14:paraId="4E8A1B0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03330C7" w14:textId="77777777" w:rsidTr="00DB72C3">
        <w:tc>
          <w:tcPr>
            <w:tcW w:w="0" w:type="auto"/>
            <w:shd w:val="clear" w:color="auto" w:fill="auto"/>
            <w:hideMark/>
          </w:tcPr>
          <w:p w14:paraId="233C73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(41)</w:t>
            </w:r>
          </w:p>
        </w:tc>
        <w:tc>
          <w:tcPr>
            <w:tcW w:w="0" w:type="auto"/>
            <w:shd w:val="clear" w:color="auto" w:fill="auto"/>
            <w:hideMark/>
          </w:tcPr>
          <w:p w14:paraId="6138196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Similarly, in order to align this Regulation to the scope of Directive 2014/65/EU of the European Parliament and of the Council </w:t>
            </w:r>
            <w:hyperlink r:id="rId21" w:anchor="ntr18-L_2022333EN.01000101-E0018"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18</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xml:space="preserve">, it is also appropriate to exclude from the scope of this Regulation natural and legal persons referred in Articles 2 and 3 of that Directive which are allowed to provide investment services without having to obtain an </w:t>
            </w:r>
            <w:proofErr w:type="spellStart"/>
            <w:r w:rsidRPr="00DB72C3">
              <w:rPr>
                <w:rFonts w:ascii="Times New Roman" w:eastAsia="Times New Roman" w:hAnsi="Times New Roman" w:cs="Times New Roman"/>
                <w:sz w:val="24"/>
                <w:szCs w:val="24"/>
              </w:rPr>
              <w:t>authorisation</w:t>
            </w:r>
            <w:proofErr w:type="spellEnd"/>
            <w:r w:rsidRPr="00DB72C3">
              <w:rPr>
                <w:rFonts w:ascii="Times New Roman" w:eastAsia="Times New Roman" w:hAnsi="Times New Roman" w:cs="Times New Roman"/>
                <w:sz w:val="24"/>
                <w:szCs w:val="24"/>
              </w:rPr>
              <w:t xml:space="preserve"> under Directive 2014/65/EU. However, Article 2 of Directive 2014/65/EU also excludes from the scope of that Directive entities which qualify as financial entities for the purposes of this Regulation such as, central securities depositories, collective investment undertakings or insurance and reinsurance undertakings. The exclusion from the scope of this Regulation of the persons and entities referred to in Articles 2 and 3 of that Directive should not encompass those central securities depositories, collective investment undertakings or insurance and reinsurance undertakings.</w:t>
            </w:r>
          </w:p>
        </w:tc>
      </w:tr>
      <w:tr w:rsidR="00DB72C3" w:rsidRPr="00DB72C3" w14:paraId="2F4577D0" w14:textId="77777777" w:rsidTr="00DB72C3">
        <w:tc>
          <w:tcPr>
            <w:tcW w:w="0" w:type="auto"/>
            <w:shd w:val="clear" w:color="auto" w:fill="auto"/>
            <w:hideMark/>
          </w:tcPr>
          <w:p w14:paraId="06E30A2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(42)</w:t>
            </w:r>
          </w:p>
        </w:tc>
        <w:tc>
          <w:tcPr>
            <w:tcW w:w="0" w:type="auto"/>
            <w:shd w:val="clear" w:color="auto" w:fill="auto"/>
            <w:hideMark/>
          </w:tcPr>
          <w:p w14:paraId="4F0935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Under sector-specific Union law, some financial entities are subject to lighter requirements or exemptions for reasons associated with their size or the services they provide. That category of financial entities includes small and non-interconnected investment firms, small institutions for occupational retirement provision which may be excluded from the scope of Directive (EU) 2016/2341 under the conditions laid down in Article 5 of that Directive by the Member State concerned and operate pension schemes which together do not have more than 100 members in total, as well as institutions exempted pursuant to Directive 2013/36/EU. Therefore, in accordance with the principle of proportionality and to preserve the spirit of sector-specific Union law, it is also appropriate to subject those financial entities to a simplified ICT risk management framework under this Regulation. The proportionate character of the ICT risk management framework covering those financial entities should not be altered by the regulatory technical standards that are to be developed by the ESAs. Moreover, in accordance with the principle of proportionality, it is appropriate to also subject payment institutions referred to in Article 32(1) of Directive (EU) 2015/2366 and electronic money institutions referred to in Article 9 of Directive 2009/110/EC exempted in accordance with national law transposing those Union legal acts to a simplified ICT risk management framework under this Regulation, while payment institutions and electronic money institutions which have not been exempted in accordance with their respective national law transposing sectoral Union law should comply with the general framework laid down by this Regulation.</w:t>
            </w:r>
          </w:p>
        </w:tc>
      </w:tr>
    </w:tbl>
    <w:p w14:paraId="1712279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112427F" w14:textId="77777777" w:rsidTr="00DB72C3">
        <w:tc>
          <w:tcPr>
            <w:tcW w:w="0" w:type="auto"/>
            <w:shd w:val="clear" w:color="auto" w:fill="auto"/>
            <w:hideMark/>
          </w:tcPr>
          <w:p w14:paraId="2E860BE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(43)</w:t>
            </w:r>
          </w:p>
        </w:tc>
        <w:tc>
          <w:tcPr>
            <w:tcW w:w="0" w:type="auto"/>
            <w:shd w:val="clear" w:color="auto" w:fill="auto"/>
            <w:hideMark/>
          </w:tcPr>
          <w:p w14:paraId="67833E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Similarly, financial entities which qualify as microenterprises or are subject to the simplified ICT risk management framework under this Regulation should not be required to establish a role to monitor their arrangements concluded with ICT third-party service providers on the use of ICT services; or to designate a member of senior management to be responsible for overseeing the related risk exposure and relevant documentation; to assign the responsibility for managing and overseeing ICT risk to a control function and ensure an appropriate level of independence of such control function in order to avoid conflicts of interest; to document and review at least once a year the ICT risk management framework; to subject to internal audit on a regular basis the ICT risk management framework; to perform in-depth assessments after major changes in their network and information system infrastructures and processes; to regularly conduct risk analyses on legacy ICT systems; to subject the implementation of the ICT Response and Recovery plans to independent internal audit reviews; to have a crisis management function, to expand the testing of business continuity and response and recovery plans to capture switchover scenarios between primary ICT infrastructure and redundant facilities; to report to competent authorities, upon their request, an estimation of aggregated annual costs and losses caused by major ICT-related incidents, to maintain redundant ICT capacities; to communicate to national competent authorities implemented changes following post ICT-related incident reviews; to monitor on a continuous basis relevant technological developments, to establish a comprehensive digital operational resilience testing </w:t>
            </w:r>
            <w:proofErr w:type="spellStart"/>
            <w:r w:rsidRPr="00DB72C3">
              <w:rPr>
                <w:rFonts w:ascii="Times New Roman" w:eastAsia="Times New Roman" w:hAnsi="Times New Roman" w:cs="Times New Roman"/>
                <w:sz w:val="24"/>
                <w:szCs w:val="24"/>
              </w:rPr>
              <w:t>programme</w:t>
            </w:r>
            <w:proofErr w:type="spellEnd"/>
            <w:r w:rsidRPr="00DB72C3">
              <w:rPr>
                <w:rFonts w:ascii="Times New Roman" w:eastAsia="Times New Roman" w:hAnsi="Times New Roman" w:cs="Times New Roman"/>
                <w:sz w:val="24"/>
                <w:szCs w:val="24"/>
              </w:rPr>
              <w:t xml:space="preserve"> as an integral part of the ICT risk management framework provided for in this Regulation, or to adopt and regularly review a strategy on ICT third-party risk. In addition, microenterprises should only be required to assess the need to maintain such redundant ICT capacities based on their risk profile. Microenterprises should benefit from a more flexible regime as regards digital operational resilience testing </w:t>
            </w:r>
            <w:proofErr w:type="spellStart"/>
            <w:r w:rsidRPr="00DB72C3">
              <w:rPr>
                <w:rFonts w:ascii="Times New Roman" w:eastAsia="Times New Roman" w:hAnsi="Times New Roman" w:cs="Times New Roman"/>
                <w:sz w:val="24"/>
                <w:szCs w:val="24"/>
              </w:rPr>
              <w:t>programmes</w:t>
            </w:r>
            <w:proofErr w:type="spellEnd"/>
            <w:r w:rsidRPr="00DB72C3">
              <w:rPr>
                <w:rFonts w:ascii="Times New Roman" w:eastAsia="Times New Roman" w:hAnsi="Times New Roman" w:cs="Times New Roman"/>
                <w:sz w:val="24"/>
                <w:szCs w:val="24"/>
              </w:rPr>
              <w:t>. When considering the type and frequency of testing to be performed, they should properly balance the objective of maintaining a high digital operational resilience, the available resources and their overall risk profile. Microenterprises and financial entities subject to the simplified ICT risk management framework under this Regulation should be exempted from the requirement to perform advanced testing of ICT tools, systems and processes based on threat-led penetration testing (TLPT), as only financial entities meeting the criteria set out in this Regulation should be required to carry out such testing. In light of their limited capabilities, microenterprises should be able to agree with the ICT third-party service provider to delegate the financial entity’s rights of access, inspection and audit to an independent third-party, to be appointed by the ICT third-party service provider, provided that the financial entity is able to request, at any time, all relevant information and assurance on the ICT third-party service provider’s performance from the respective independent third-party.</w:t>
            </w:r>
          </w:p>
        </w:tc>
      </w:tr>
      <w:tr w:rsidR="00DB72C3" w:rsidRPr="00DB72C3" w14:paraId="269D8F2E" w14:textId="77777777" w:rsidTr="00DB72C3">
        <w:tc>
          <w:tcPr>
            <w:tcW w:w="0" w:type="auto"/>
            <w:shd w:val="clear" w:color="auto" w:fill="auto"/>
            <w:hideMark/>
          </w:tcPr>
          <w:p w14:paraId="248DDCA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(44)</w:t>
            </w:r>
          </w:p>
        </w:tc>
        <w:tc>
          <w:tcPr>
            <w:tcW w:w="0" w:type="auto"/>
            <w:shd w:val="clear" w:color="auto" w:fill="auto"/>
            <w:hideMark/>
          </w:tcPr>
          <w:p w14:paraId="7156B6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As only those financial entities identified for the purposes of the advanced digital resilience testing should be required to conduct threat-led penetration tests, the administrative processes and financial costs entailed in the performance of such tests should be borne by a small percentage of financial entities.</w:t>
            </w:r>
          </w:p>
        </w:tc>
      </w:tr>
    </w:tbl>
    <w:p w14:paraId="058AA97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B9E0574" w14:textId="77777777" w:rsidTr="00DB72C3">
        <w:tc>
          <w:tcPr>
            <w:tcW w:w="0" w:type="auto"/>
            <w:shd w:val="clear" w:color="auto" w:fill="auto"/>
            <w:hideMark/>
          </w:tcPr>
          <w:p w14:paraId="3393CD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(45)</w:t>
            </w:r>
          </w:p>
        </w:tc>
        <w:tc>
          <w:tcPr>
            <w:tcW w:w="0" w:type="auto"/>
            <w:shd w:val="clear" w:color="auto" w:fill="auto"/>
            <w:hideMark/>
          </w:tcPr>
          <w:p w14:paraId="484D616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ensure full alignment and overall consistency between financial entities’ business strategies, on the one hand, and the conduct of ICT risk management, on the other hand, the financial entities’ management bodies should be required to maintain a pivotal and active role in steering and adapting the ICT risk management framework and the overall digital operational resilience strategy. The approach to be taken by management bodies should not only focus on the means of ensuring the resilience of the ICT systems, but should also cover people and processes through a set of policies which cultivate, at each corporate layer, and for all staff, a strong sense of awareness about cyber risks and a commitment to observe a strict cyber hygiene at all levels. The ultimate responsibility of the management body in managing a financial entity’s ICT risk should be an overarching principle of that comprehensive approach, further translated into the continuous engagement of the management body in the control of the monitoring of the ICT risk management.</w:t>
            </w:r>
          </w:p>
        </w:tc>
      </w:tr>
      <w:tr w:rsidR="00DB72C3" w:rsidRPr="00DB72C3" w14:paraId="1420DE56" w14:textId="77777777" w:rsidTr="00DB72C3">
        <w:tc>
          <w:tcPr>
            <w:tcW w:w="0" w:type="auto"/>
            <w:shd w:val="clear" w:color="auto" w:fill="auto"/>
            <w:hideMark/>
          </w:tcPr>
          <w:p w14:paraId="584421F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(46)</w:t>
            </w:r>
          </w:p>
        </w:tc>
        <w:tc>
          <w:tcPr>
            <w:tcW w:w="0" w:type="auto"/>
            <w:shd w:val="clear" w:color="auto" w:fill="auto"/>
            <w:hideMark/>
          </w:tcPr>
          <w:p w14:paraId="48D7A6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Moreover, the principle of the management body’s full and ultimate responsibility for the management of the ICT risk of the financial entity goes hand in hand with the need to secure a level of ICT-related investments and an overall budget for the financial entity that would enable the financial entity to achieve a high level of digital operational resilience.</w:t>
            </w:r>
          </w:p>
        </w:tc>
      </w:tr>
    </w:tbl>
    <w:p w14:paraId="4BFE4D4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61D6827" w14:textId="77777777" w:rsidTr="00DB72C3">
        <w:tc>
          <w:tcPr>
            <w:tcW w:w="0" w:type="auto"/>
            <w:shd w:val="clear" w:color="auto" w:fill="auto"/>
            <w:hideMark/>
          </w:tcPr>
          <w:p w14:paraId="75E773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(47)</w:t>
            </w:r>
          </w:p>
        </w:tc>
        <w:tc>
          <w:tcPr>
            <w:tcW w:w="0" w:type="auto"/>
            <w:shd w:val="clear" w:color="auto" w:fill="auto"/>
            <w:hideMark/>
          </w:tcPr>
          <w:p w14:paraId="4B577B2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Inspired by relevant international, national and industry best practices, guidelines, recommendations and approaches to the management of cyber risk, this Regulation promotes a set of principles that facilitate the overall structure of ICT risk management. Consequently, as long as the main capabilities which financial entities put in place address the various functions in the ICT risk management (identification, protection and prevention, detection, response and recovery, learning and evolving and communication) set out in this Regulation, financial entities should remain free to use ICT risk management models that are differently framed or </w:t>
            </w:r>
            <w:proofErr w:type="spellStart"/>
            <w:r w:rsidRPr="00DB72C3">
              <w:rPr>
                <w:rFonts w:ascii="Times New Roman" w:eastAsia="Times New Roman" w:hAnsi="Times New Roman" w:cs="Times New Roman"/>
                <w:sz w:val="24"/>
                <w:szCs w:val="24"/>
              </w:rPr>
              <w:t>categorised</w:t>
            </w:r>
            <w:proofErr w:type="spellEnd"/>
            <w:r w:rsidRPr="00DB72C3">
              <w:rPr>
                <w:rFonts w:ascii="Times New Roman" w:eastAsia="Times New Roman" w:hAnsi="Times New Roman" w:cs="Times New Roman"/>
                <w:sz w:val="24"/>
                <w:szCs w:val="24"/>
              </w:rPr>
              <w:t>.</w:t>
            </w:r>
          </w:p>
        </w:tc>
      </w:tr>
      <w:tr w:rsidR="00DB72C3" w:rsidRPr="00DB72C3" w14:paraId="1C1CB880" w14:textId="77777777" w:rsidTr="00DB72C3">
        <w:tc>
          <w:tcPr>
            <w:tcW w:w="0" w:type="auto"/>
            <w:shd w:val="clear" w:color="auto" w:fill="auto"/>
            <w:hideMark/>
          </w:tcPr>
          <w:p w14:paraId="6131953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(48)</w:t>
            </w:r>
          </w:p>
        </w:tc>
        <w:tc>
          <w:tcPr>
            <w:tcW w:w="0" w:type="auto"/>
            <w:shd w:val="clear" w:color="auto" w:fill="auto"/>
            <w:hideMark/>
          </w:tcPr>
          <w:p w14:paraId="4635E19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keep pace with an evolving cyber threat landscape, financial entities should maintain updated ICT systems that are reliable and capable, not only for guaranteeing the processing of data required for their services, but also for ensuring sufficient technological resilience to allow them to deal adequately with additional processing needs due to stressed market conditions or other adverse situations.</w:t>
            </w:r>
          </w:p>
        </w:tc>
      </w:tr>
    </w:tbl>
    <w:p w14:paraId="14DEBB0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F0C9052" w14:textId="77777777" w:rsidTr="00DB72C3">
        <w:tc>
          <w:tcPr>
            <w:tcW w:w="0" w:type="auto"/>
            <w:shd w:val="clear" w:color="auto" w:fill="auto"/>
            <w:hideMark/>
          </w:tcPr>
          <w:p w14:paraId="3FB9BBA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(49)</w:t>
            </w:r>
          </w:p>
        </w:tc>
        <w:tc>
          <w:tcPr>
            <w:tcW w:w="0" w:type="auto"/>
            <w:shd w:val="clear" w:color="auto" w:fill="auto"/>
            <w:hideMark/>
          </w:tcPr>
          <w:p w14:paraId="5361EEA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Efficient business continuity and recovery plans are necessary to allow financial entities to promptly and quickly resolve ICT-related incidents, in particular cyber-attacks, by limiting damage and giving priority to the resumption of activities and recovery actions in accordance with their back-up policies. However, such resumption should in no way </w:t>
            </w:r>
            <w:proofErr w:type="spellStart"/>
            <w:r w:rsidRPr="00DB72C3">
              <w:rPr>
                <w:rFonts w:ascii="Times New Roman" w:eastAsia="Times New Roman" w:hAnsi="Times New Roman" w:cs="Times New Roman"/>
                <w:sz w:val="24"/>
                <w:szCs w:val="24"/>
              </w:rPr>
              <w:t>jeopardise</w:t>
            </w:r>
            <w:proofErr w:type="spellEnd"/>
            <w:r w:rsidRPr="00DB72C3">
              <w:rPr>
                <w:rFonts w:ascii="Times New Roman" w:eastAsia="Times New Roman" w:hAnsi="Times New Roman" w:cs="Times New Roman"/>
                <w:sz w:val="24"/>
                <w:szCs w:val="24"/>
              </w:rPr>
              <w:t xml:space="preserve"> the integrity and security of the network and information systems or the availability, authenticity, integrity or confidentiality of data.</w:t>
            </w:r>
          </w:p>
        </w:tc>
      </w:tr>
      <w:tr w:rsidR="00DB72C3" w:rsidRPr="00DB72C3" w14:paraId="3EB5B3B1" w14:textId="77777777" w:rsidTr="00DB72C3">
        <w:tc>
          <w:tcPr>
            <w:tcW w:w="0" w:type="auto"/>
            <w:shd w:val="clear" w:color="auto" w:fill="auto"/>
            <w:hideMark/>
          </w:tcPr>
          <w:p w14:paraId="500980F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(50)</w:t>
            </w:r>
          </w:p>
        </w:tc>
        <w:tc>
          <w:tcPr>
            <w:tcW w:w="0" w:type="auto"/>
            <w:shd w:val="clear" w:color="auto" w:fill="auto"/>
            <w:hideMark/>
          </w:tcPr>
          <w:p w14:paraId="17A5623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While this Regulation allows financial entities to determine their recovery time and recovery point objectives in a flexible manner and hence to set such objectives by fully taking into account the nature and the criticality of the relevant functions and any specific business needs, </w:t>
            </w:r>
            <w:r w:rsidRPr="00DB72C3">
              <w:rPr>
                <w:rFonts w:ascii="Times New Roman" w:eastAsia="Times New Roman" w:hAnsi="Times New Roman" w:cs="Times New Roman"/>
                <w:sz w:val="24"/>
                <w:szCs w:val="24"/>
              </w:rPr>
              <w:lastRenderedPageBreak/>
              <w:t>it should nevertheless require them to carry out an assessment of the potential overall impact on market efficiency when determining such objectives.</w:t>
            </w:r>
          </w:p>
        </w:tc>
      </w:tr>
    </w:tbl>
    <w:p w14:paraId="5BBB73B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62B015E" w14:textId="77777777" w:rsidTr="00DB72C3">
        <w:tc>
          <w:tcPr>
            <w:tcW w:w="0" w:type="auto"/>
            <w:shd w:val="clear" w:color="auto" w:fill="auto"/>
            <w:hideMark/>
          </w:tcPr>
          <w:p w14:paraId="41538C0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(51)</w:t>
            </w:r>
          </w:p>
        </w:tc>
        <w:tc>
          <w:tcPr>
            <w:tcW w:w="0" w:type="auto"/>
            <w:shd w:val="clear" w:color="auto" w:fill="auto"/>
            <w:hideMark/>
          </w:tcPr>
          <w:p w14:paraId="3D2F99C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propagators of cyber-attacks tend to pursue financial gains directly at the source, thus exposing financial entities to significant consequences. To prevent ICT systems from losing integrity or becoming unavailable, and hence to avoid data breaches and damage to physical ICT infrastructure, the reporting of major ICT-related incidents by financial entities should be significantly improved and streamlined. ICT-related incident reporting should be </w:t>
            </w:r>
            <w:proofErr w:type="spellStart"/>
            <w:r w:rsidRPr="00DB72C3">
              <w:rPr>
                <w:rFonts w:ascii="Times New Roman" w:eastAsia="Times New Roman" w:hAnsi="Times New Roman" w:cs="Times New Roman"/>
                <w:sz w:val="24"/>
                <w:szCs w:val="24"/>
              </w:rPr>
              <w:t>harmonised</w:t>
            </w:r>
            <w:proofErr w:type="spellEnd"/>
            <w:r w:rsidRPr="00DB72C3">
              <w:rPr>
                <w:rFonts w:ascii="Times New Roman" w:eastAsia="Times New Roman" w:hAnsi="Times New Roman" w:cs="Times New Roman"/>
                <w:sz w:val="24"/>
                <w:szCs w:val="24"/>
              </w:rPr>
              <w:t xml:space="preserve"> through the introduction of a requirement for all financial entities to report directly to their relevant competent authorities. Where a financial entity is subject to supervision by more than one national competent authority, Member States should designate a single competent authority as the addressee of such reporting. Credit institutions classified as significant in accordance with Article 6(4) of Council Regulation (EU) No 1024/2013 </w:t>
            </w:r>
            <w:hyperlink r:id="rId22" w:anchor="ntr19-L_2022333EN.01000101-E0019"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19</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should submit such reporting to the national competent authorities, which should subsequently transmit the report to the European Central Bank (ECB).</w:t>
            </w:r>
          </w:p>
        </w:tc>
      </w:tr>
      <w:tr w:rsidR="00DB72C3" w:rsidRPr="00DB72C3" w14:paraId="703F74B5" w14:textId="77777777" w:rsidTr="00DB72C3">
        <w:tc>
          <w:tcPr>
            <w:tcW w:w="0" w:type="auto"/>
            <w:shd w:val="clear" w:color="auto" w:fill="auto"/>
            <w:hideMark/>
          </w:tcPr>
          <w:p w14:paraId="1AE0551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(52)</w:t>
            </w:r>
          </w:p>
        </w:tc>
        <w:tc>
          <w:tcPr>
            <w:tcW w:w="0" w:type="auto"/>
            <w:shd w:val="clear" w:color="auto" w:fill="auto"/>
            <w:hideMark/>
          </w:tcPr>
          <w:p w14:paraId="2B2CC9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direct reporting should enable financial supervisors to have immediate access to information about major ICT-related incidents. Financial supervisors should in turn pass on details of major ICT-related incidents to public non-financial authorities (such as competent authorities and single points of contact under Directive (EU) 2022/2555, national data protection authorities, and to law enforcement authorities for major ICT-related incidents of a criminal nature) in order to enhance such authorities awareness of such incidents and, in the case of CSIRTs, to facilitate prompt assistance that may be given to financial entities, as appropriate. Member States should, in addition, be able to determine </w:t>
            </w:r>
            <w:proofErr w:type="gramStart"/>
            <w:r w:rsidRPr="00DB72C3">
              <w:rPr>
                <w:rFonts w:ascii="Times New Roman" w:eastAsia="Times New Roman" w:hAnsi="Times New Roman" w:cs="Times New Roman"/>
                <w:sz w:val="24"/>
                <w:szCs w:val="24"/>
              </w:rPr>
              <w:t>that financial entities</w:t>
            </w:r>
            <w:proofErr w:type="gramEnd"/>
            <w:r w:rsidRPr="00DB72C3">
              <w:rPr>
                <w:rFonts w:ascii="Times New Roman" w:eastAsia="Times New Roman" w:hAnsi="Times New Roman" w:cs="Times New Roman"/>
                <w:sz w:val="24"/>
                <w:szCs w:val="24"/>
              </w:rPr>
              <w:t xml:space="preserve"> themselves should provide such information to public authorities outside the financial services area. Those information flows should allow financial entities to swiftly benefit from any relevant technical input, advice about remedies, and subsequent follow-up from such authorities. The information on major ICT-related incidents should be mutually </w:t>
            </w:r>
            <w:proofErr w:type="spellStart"/>
            <w:r w:rsidRPr="00DB72C3">
              <w:rPr>
                <w:rFonts w:ascii="Times New Roman" w:eastAsia="Times New Roman" w:hAnsi="Times New Roman" w:cs="Times New Roman"/>
                <w:sz w:val="24"/>
                <w:szCs w:val="24"/>
              </w:rPr>
              <w:t>channelled</w:t>
            </w:r>
            <w:proofErr w:type="spellEnd"/>
            <w:r w:rsidRPr="00DB72C3">
              <w:rPr>
                <w:rFonts w:ascii="Times New Roman" w:eastAsia="Times New Roman" w:hAnsi="Times New Roman" w:cs="Times New Roman"/>
                <w:sz w:val="24"/>
                <w:szCs w:val="24"/>
              </w:rPr>
              <w:t xml:space="preserve">: financial supervisors should provide all necessary feedback or guidance to the financial entity, while the ESAs should share </w:t>
            </w:r>
            <w:proofErr w:type="spellStart"/>
            <w:r w:rsidRPr="00DB72C3">
              <w:rPr>
                <w:rFonts w:ascii="Times New Roman" w:eastAsia="Times New Roman" w:hAnsi="Times New Roman" w:cs="Times New Roman"/>
                <w:sz w:val="24"/>
                <w:szCs w:val="24"/>
              </w:rPr>
              <w:t>anonymised</w:t>
            </w:r>
            <w:proofErr w:type="spellEnd"/>
            <w:r w:rsidRPr="00DB72C3">
              <w:rPr>
                <w:rFonts w:ascii="Times New Roman" w:eastAsia="Times New Roman" w:hAnsi="Times New Roman" w:cs="Times New Roman"/>
                <w:sz w:val="24"/>
                <w:szCs w:val="24"/>
              </w:rPr>
              <w:t xml:space="preserve"> data on cyber threats and vulnerabilities relating to an incident, to aid wider collective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w:t>
            </w:r>
          </w:p>
        </w:tc>
      </w:tr>
    </w:tbl>
    <w:p w14:paraId="4D6D3A7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27A2DC9" w14:textId="77777777" w:rsidTr="00DB72C3">
        <w:tc>
          <w:tcPr>
            <w:tcW w:w="0" w:type="auto"/>
            <w:shd w:val="clear" w:color="auto" w:fill="auto"/>
            <w:hideMark/>
          </w:tcPr>
          <w:p w14:paraId="7267D01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(53)</w:t>
            </w:r>
          </w:p>
        </w:tc>
        <w:tc>
          <w:tcPr>
            <w:tcW w:w="0" w:type="auto"/>
            <w:shd w:val="clear" w:color="auto" w:fill="auto"/>
            <w:hideMark/>
          </w:tcPr>
          <w:p w14:paraId="13A741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While all financial entities should be required to carry out incident reporting, that requirement is not expected to affect all of them in the same manner. Indeed, relevant materiality thresholds, as well as reporting timelines, should be duly adjusted, in the context of delegated acts based on the regulatory technical standards to be developed by the ESAs, with a view to covering only major ICT-related incidents. In addition, the specificities of financial entities should be taken into account when setting timelines for reporting obligations.</w:t>
            </w:r>
          </w:p>
        </w:tc>
      </w:tr>
      <w:tr w:rsidR="00DB72C3" w:rsidRPr="00DB72C3" w14:paraId="044C080A" w14:textId="77777777" w:rsidTr="00DB72C3">
        <w:tc>
          <w:tcPr>
            <w:tcW w:w="0" w:type="auto"/>
            <w:shd w:val="clear" w:color="auto" w:fill="auto"/>
            <w:hideMark/>
          </w:tcPr>
          <w:p w14:paraId="743B449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(54)</w:t>
            </w:r>
          </w:p>
        </w:tc>
        <w:tc>
          <w:tcPr>
            <w:tcW w:w="0" w:type="auto"/>
            <w:shd w:val="clear" w:color="auto" w:fill="auto"/>
            <w:hideMark/>
          </w:tcPr>
          <w:p w14:paraId="20C36D7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This Regulation should require credit institutions, payment institutions, account information service providers and electronic money institutions to report all operational or security payment-related incidents – previously reported under Directive (EU) 2015/2366 – irrespective of the ICT nature of the incident.</w:t>
            </w:r>
          </w:p>
        </w:tc>
      </w:tr>
    </w:tbl>
    <w:p w14:paraId="73DD20E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CB7A2A1" w14:textId="77777777" w:rsidTr="00DB72C3">
        <w:tc>
          <w:tcPr>
            <w:tcW w:w="0" w:type="auto"/>
            <w:shd w:val="clear" w:color="auto" w:fill="auto"/>
            <w:hideMark/>
          </w:tcPr>
          <w:p w14:paraId="054328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(55)</w:t>
            </w:r>
          </w:p>
        </w:tc>
        <w:tc>
          <w:tcPr>
            <w:tcW w:w="0" w:type="auto"/>
            <w:shd w:val="clear" w:color="auto" w:fill="auto"/>
            <w:hideMark/>
          </w:tcPr>
          <w:p w14:paraId="7C845B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ESAs should be tasked with assessing the feasibility and conditions for a possible </w:t>
            </w:r>
            <w:proofErr w:type="spellStart"/>
            <w:r w:rsidRPr="00DB72C3">
              <w:rPr>
                <w:rFonts w:ascii="Times New Roman" w:eastAsia="Times New Roman" w:hAnsi="Times New Roman" w:cs="Times New Roman"/>
                <w:sz w:val="24"/>
                <w:szCs w:val="24"/>
              </w:rPr>
              <w:t>centralisation</w:t>
            </w:r>
            <w:proofErr w:type="spellEnd"/>
            <w:r w:rsidRPr="00DB72C3">
              <w:rPr>
                <w:rFonts w:ascii="Times New Roman" w:eastAsia="Times New Roman" w:hAnsi="Times New Roman" w:cs="Times New Roman"/>
                <w:sz w:val="24"/>
                <w:szCs w:val="24"/>
              </w:rPr>
              <w:t xml:space="preserve"> of ICT-related incident reports at Union level. Such </w:t>
            </w:r>
            <w:proofErr w:type="spellStart"/>
            <w:r w:rsidRPr="00DB72C3">
              <w:rPr>
                <w:rFonts w:ascii="Times New Roman" w:eastAsia="Times New Roman" w:hAnsi="Times New Roman" w:cs="Times New Roman"/>
                <w:sz w:val="24"/>
                <w:szCs w:val="24"/>
              </w:rPr>
              <w:t>centralisation</w:t>
            </w:r>
            <w:proofErr w:type="spellEnd"/>
            <w:r w:rsidRPr="00DB72C3">
              <w:rPr>
                <w:rFonts w:ascii="Times New Roman" w:eastAsia="Times New Roman" w:hAnsi="Times New Roman" w:cs="Times New Roman"/>
                <w:sz w:val="24"/>
                <w:szCs w:val="24"/>
              </w:rPr>
              <w:t xml:space="preserve"> could consist of a single EU Hub for major ICT-related incident reporting either directly receiving relevant reports and automatically notifying national competent authorities, or merely </w:t>
            </w:r>
            <w:proofErr w:type="spellStart"/>
            <w:r w:rsidRPr="00DB72C3">
              <w:rPr>
                <w:rFonts w:ascii="Times New Roman" w:eastAsia="Times New Roman" w:hAnsi="Times New Roman" w:cs="Times New Roman"/>
                <w:sz w:val="24"/>
                <w:szCs w:val="24"/>
              </w:rPr>
              <w:t>centralising</w:t>
            </w:r>
            <w:proofErr w:type="spellEnd"/>
            <w:r w:rsidRPr="00DB72C3">
              <w:rPr>
                <w:rFonts w:ascii="Times New Roman" w:eastAsia="Times New Roman" w:hAnsi="Times New Roman" w:cs="Times New Roman"/>
                <w:sz w:val="24"/>
                <w:szCs w:val="24"/>
              </w:rPr>
              <w:t xml:space="preserve"> relevant reports forwarded by the national competent authorities and thus fulfilling a coordination role. The ESAs should be tasked with preparing, in consultation with the ECB and ENISA, a joint report exploring the feasibility of setting up a single EU Hub.</w:t>
            </w:r>
          </w:p>
        </w:tc>
      </w:tr>
      <w:tr w:rsidR="00DB72C3" w:rsidRPr="00DB72C3" w14:paraId="706BC4E4" w14:textId="77777777" w:rsidTr="00DB72C3">
        <w:tc>
          <w:tcPr>
            <w:tcW w:w="0" w:type="auto"/>
            <w:shd w:val="clear" w:color="auto" w:fill="auto"/>
            <w:hideMark/>
          </w:tcPr>
          <w:p w14:paraId="2BE6E60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(56)</w:t>
            </w:r>
          </w:p>
        </w:tc>
        <w:tc>
          <w:tcPr>
            <w:tcW w:w="0" w:type="auto"/>
            <w:shd w:val="clear" w:color="auto" w:fill="auto"/>
            <w:hideMark/>
          </w:tcPr>
          <w:p w14:paraId="5412CDB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order to achieve a high level of digital operational resilience, and in line with both the relevant international standards (e.g. the G7 Fundamental Elements for Threat-Led Penetration Testing) and with the frameworks applied in the Union, such as the TIBER-EU, financial entities should regularly test their ICT systems and staff having ICT-related responsibilities with regard to the effectiveness of their preventive, detection, response and recovery capabilities, to uncover and address potential ICT vulnerabilities. To reflect differences that exist across, and within, the various financial subsectors as regards financial entities’ level of cybersecurity preparedness, testing should include a wide variety of tools and actions, ranging from the assessment of basic requirements (e.g. vulnerability assessments and scans, open source analyses, network security assessments, gap analyses, physical security reviews, questionnaires and scanning software solutions, source code reviews where feasible, scenario-based tests, compatibility testing, performance testing or end-to-end testing) to more advanced testing by means of TLPT. Such advanced testing should be required only of financial entities that are mature enough from an ICT perspective to reasonably carry it out. The digital operational resilience testing required by this Regulation should thus be more demanding for those financial entities meeting the criteria set out in this Regulation (for example, large, systemic and ICT-mature credit institutions, stock exchanges, central securities depositories and central counterparties) than for other financial entities. At the same time, the digital operational resilience testing by means of TLPT should be more relevant for financial entities operating in core financial services subsectors and playing a systemic role (for example, payments, banking, and clearing and settlement), and less relevant for other subsectors (for example, asset managers and credit rating agencies).</w:t>
            </w:r>
          </w:p>
        </w:tc>
      </w:tr>
    </w:tbl>
    <w:p w14:paraId="716D5AF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F56B591" w14:textId="77777777" w:rsidTr="00DB72C3">
        <w:tc>
          <w:tcPr>
            <w:tcW w:w="0" w:type="auto"/>
            <w:shd w:val="clear" w:color="auto" w:fill="auto"/>
            <w:hideMark/>
          </w:tcPr>
          <w:p w14:paraId="0B484E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(57)</w:t>
            </w:r>
          </w:p>
        </w:tc>
        <w:tc>
          <w:tcPr>
            <w:tcW w:w="0" w:type="auto"/>
            <w:shd w:val="clear" w:color="auto" w:fill="auto"/>
            <w:hideMark/>
          </w:tcPr>
          <w:p w14:paraId="6FFD9C0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involved in cross-border activities and exercising the freedoms of establishment, or of provision of services within the Union, should comply with a single set of advanced testing requirements (</w:t>
            </w:r>
            <w:proofErr w:type="gramStart"/>
            <w:r w:rsidRPr="00DB72C3">
              <w:rPr>
                <w:rFonts w:ascii="Times New Roman" w:eastAsia="Times New Roman" w:hAnsi="Times New Roman" w:cs="Times New Roman"/>
                <w:sz w:val="24"/>
                <w:szCs w:val="24"/>
              </w:rPr>
              <w:t>i.e.</w:t>
            </w:r>
            <w:proofErr w:type="gramEnd"/>
            <w:r w:rsidRPr="00DB72C3">
              <w:rPr>
                <w:rFonts w:ascii="Times New Roman" w:eastAsia="Times New Roman" w:hAnsi="Times New Roman" w:cs="Times New Roman"/>
                <w:sz w:val="24"/>
                <w:szCs w:val="24"/>
              </w:rPr>
              <w:t xml:space="preserve"> TLPT) in their home Member State, which should include the ICT infrastructures in all jurisdictions where the cross-border financial group operates within the Union, thus allowing such cross-border financial groups to incur related ICT testing costs in one jurisdiction only.</w:t>
            </w:r>
          </w:p>
        </w:tc>
      </w:tr>
      <w:tr w:rsidR="00DB72C3" w:rsidRPr="00DB72C3" w14:paraId="348941E8" w14:textId="77777777" w:rsidTr="00DB72C3">
        <w:tc>
          <w:tcPr>
            <w:tcW w:w="0" w:type="auto"/>
            <w:shd w:val="clear" w:color="auto" w:fill="auto"/>
            <w:hideMark/>
          </w:tcPr>
          <w:p w14:paraId="6C80686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(58)</w:t>
            </w:r>
          </w:p>
        </w:tc>
        <w:tc>
          <w:tcPr>
            <w:tcW w:w="0" w:type="auto"/>
            <w:shd w:val="clear" w:color="auto" w:fill="auto"/>
            <w:hideMark/>
          </w:tcPr>
          <w:p w14:paraId="1531DA1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draw on the expertise already acquired by certain competent authorities, in particular with regard to implementing the TIBER-EU framework, this Regulation should allow Member States to designate a single public authority as responsible in the financial sector, at national level, for all TLPT matters, or competent authorities, to delegate, in the absence of such </w:t>
            </w:r>
            <w:r w:rsidRPr="00DB72C3">
              <w:rPr>
                <w:rFonts w:ascii="Times New Roman" w:eastAsia="Times New Roman" w:hAnsi="Times New Roman" w:cs="Times New Roman"/>
                <w:sz w:val="24"/>
                <w:szCs w:val="24"/>
              </w:rPr>
              <w:lastRenderedPageBreak/>
              <w:t>designation, the exercise of TLPT related tasks to another national financial competent authority.</w:t>
            </w:r>
          </w:p>
        </w:tc>
      </w:tr>
    </w:tbl>
    <w:p w14:paraId="10B2440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EDEE356" w14:textId="77777777" w:rsidTr="00DB72C3">
        <w:tc>
          <w:tcPr>
            <w:tcW w:w="0" w:type="auto"/>
            <w:shd w:val="clear" w:color="auto" w:fill="auto"/>
            <w:hideMark/>
          </w:tcPr>
          <w:p w14:paraId="21E8F68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(59)</w:t>
            </w:r>
          </w:p>
        </w:tc>
        <w:tc>
          <w:tcPr>
            <w:tcW w:w="0" w:type="auto"/>
            <w:shd w:val="clear" w:color="auto" w:fill="auto"/>
            <w:hideMark/>
          </w:tcPr>
          <w:p w14:paraId="0147143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Since this Regulation does not require financial entities to cover all critical or important functions in one single threat-led penetration test, financial entities should be free to determine which and how many critical or important functions should be included in the scope of such a test.</w:t>
            </w:r>
          </w:p>
        </w:tc>
      </w:tr>
      <w:tr w:rsidR="00DB72C3" w:rsidRPr="00DB72C3" w14:paraId="40BD8CD7" w14:textId="77777777" w:rsidTr="00DB72C3">
        <w:tc>
          <w:tcPr>
            <w:tcW w:w="0" w:type="auto"/>
            <w:shd w:val="clear" w:color="auto" w:fill="auto"/>
            <w:hideMark/>
          </w:tcPr>
          <w:p w14:paraId="67C428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(60)</w:t>
            </w:r>
          </w:p>
        </w:tc>
        <w:tc>
          <w:tcPr>
            <w:tcW w:w="0" w:type="auto"/>
            <w:shd w:val="clear" w:color="auto" w:fill="auto"/>
            <w:hideMark/>
          </w:tcPr>
          <w:p w14:paraId="6B629A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Pooled testing within the meaning of this Regulation – involving the participation of several financial entities in a TLPT and for which an ICT third-party service provider can directly enter into contractual arrangements with an external tester – should be allowed only where the quality or security of services delivered by the ICT third-party service provider to customers that are entities falling outside the scope of this Regulation, or the confidentiality of the data related to such services, are reasonably expected to be adversely impacted. Pooled testing should also be subject to safeguards (direction by one designated financial entity, calibration of the number of participating financial entities) to ensure a rigorous testing exercise for the financial entities involved which meet the objectives of the TLPT pursuant to this Regulation.</w:t>
            </w:r>
          </w:p>
        </w:tc>
      </w:tr>
    </w:tbl>
    <w:p w14:paraId="42D0E7F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CC3E11B" w14:textId="77777777" w:rsidTr="00DB72C3">
        <w:tc>
          <w:tcPr>
            <w:tcW w:w="0" w:type="auto"/>
            <w:shd w:val="clear" w:color="auto" w:fill="auto"/>
            <w:hideMark/>
          </w:tcPr>
          <w:p w14:paraId="635F38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(61)</w:t>
            </w:r>
          </w:p>
        </w:tc>
        <w:tc>
          <w:tcPr>
            <w:tcW w:w="0" w:type="auto"/>
            <w:shd w:val="clear" w:color="auto" w:fill="auto"/>
            <w:hideMark/>
          </w:tcPr>
          <w:p w14:paraId="5717F2A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order to take advantage of internal resources available at corporate level, this Regulation should allow the use of internal testers for the purposes of carrying out TLPT, provided there is supervisory approval, no conflicts of interest, and periodical alternation of the use of internal and external testers (every three tests), while also requiring the provider of the threat intelligence in the TLPT to always be external to the financial entity. The responsibility for conducting TLPT should remain fully with the financial entity. Attestations provided by authorities should be solely for the purpose of mutual recognition and should not preclude any follow-up action needed to address the ICT risk to which the financial entity is exposed, nor should they be seen as a supervisory endorsement of a financial entity’s ICT risk management and mitigation capabilities.</w:t>
            </w:r>
          </w:p>
        </w:tc>
      </w:tr>
      <w:tr w:rsidR="00DB72C3" w:rsidRPr="00DB72C3" w14:paraId="73CCD885" w14:textId="77777777" w:rsidTr="00DB72C3">
        <w:tc>
          <w:tcPr>
            <w:tcW w:w="0" w:type="auto"/>
            <w:shd w:val="clear" w:color="auto" w:fill="auto"/>
            <w:hideMark/>
          </w:tcPr>
          <w:p w14:paraId="119FA1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(62)</w:t>
            </w:r>
          </w:p>
        </w:tc>
        <w:tc>
          <w:tcPr>
            <w:tcW w:w="0" w:type="auto"/>
            <w:shd w:val="clear" w:color="auto" w:fill="auto"/>
            <w:hideMark/>
          </w:tcPr>
          <w:p w14:paraId="340D0D8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ensure a sound monitoring of ICT third-party risk in the financial sector, it is necessary to lay down a set of principle-based rules to guide financial entities’ when monitoring risk arising in the context of functions outsourced to ICT third-party service providers, particularly for ICT services supporting critical or important functions, as well as more generally in the context of all ICT third-party dependencies.</w:t>
            </w:r>
          </w:p>
        </w:tc>
      </w:tr>
    </w:tbl>
    <w:p w14:paraId="149B566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BD5C89B" w14:textId="77777777" w:rsidTr="00DB72C3">
        <w:tc>
          <w:tcPr>
            <w:tcW w:w="0" w:type="auto"/>
            <w:shd w:val="clear" w:color="auto" w:fill="auto"/>
            <w:hideMark/>
          </w:tcPr>
          <w:p w14:paraId="264EC9C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(63)</w:t>
            </w:r>
          </w:p>
        </w:tc>
        <w:tc>
          <w:tcPr>
            <w:tcW w:w="0" w:type="auto"/>
            <w:shd w:val="clear" w:color="auto" w:fill="auto"/>
            <w:hideMark/>
          </w:tcPr>
          <w:p w14:paraId="37A04DC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address the complexity of the various sources of ICT risk, while taking into account the multitude and diversity of providers of technological solutions which enable a smooth provision of financial services, this Regulation should cover a wide range of ICT third-party service providers, including providers of cloud computing services, software, data analytics services and providers of data </w:t>
            </w:r>
            <w:proofErr w:type="spellStart"/>
            <w:r w:rsidRPr="00DB72C3">
              <w:rPr>
                <w:rFonts w:ascii="Times New Roman" w:eastAsia="Times New Roman" w:hAnsi="Times New Roman" w:cs="Times New Roman"/>
                <w:sz w:val="24"/>
                <w:szCs w:val="24"/>
              </w:rPr>
              <w:t>centre</w:t>
            </w:r>
            <w:proofErr w:type="spellEnd"/>
            <w:r w:rsidRPr="00DB72C3">
              <w:rPr>
                <w:rFonts w:ascii="Times New Roman" w:eastAsia="Times New Roman" w:hAnsi="Times New Roman" w:cs="Times New Roman"/>
                <w:sz w:val="24"/>
                <w:szCs w:val="24"/>
              </w:rPr>
              <w:t xml:space="preserve"> services. Similarly, since financial entities should effectively and coherently identify and manage all types of risk, including in the context of ICT services procured within a financial group, it should be clarified that undertakings which are part of a financial group and provide ICT services predominantly to their parent undertaking, or to subsidiaries or branches of their parent undertaking, as well as financial </w:t>
            </w:r>
            <w:r w:rsidRPr="00DB72C3">
              <w:rPr>
                <w:rFonts w:ascii="Times New Roman" w:eastAsia="Times New Roman" w:hAnsi="Times New Roman" w:cs="Times New Roman"/>
                <w:sz w:val="24"/>
                <w:szCs w:val="24"/>
              </w:rPr>
              <w:lastRenderedPageBreak/>
              <w:t>entities providing ICT services to other financial entities, should also be considered as ICT third-party service providers under this Regulation. Lastly, in light of the evolving payment services market becoming increasingly dependent on complex technical solutions, and in view of emerging types of payment services and payment-related solutions, participants in the payment services ecosystem, providing payment-processing activities, or operating payment infrastructures, should also be considered to be ICT third-party service providers under this Regulation, with the exception of central banks when operating payment or securities settlement systems, and public authorities when providing ICT related services in the context of fulfilling State functions.</w:t>
            </w:r>
          </w:p>
        </w:tc>
      </w:tr>
      <w:tr w:rsidR="00DB72C3" w:rsidRPr="00DB72C3" w14:paraId="52F7BA1A" w14:textId="77777777" w:rsidTr="00DB72C3">
        <w:tc>
          <w:tcPr>
            <w:tcW w:w="0" w:type="auto"/>
            <w:shd w:val="clear" w:color="auto" w:fill="auto"/>
            <w:hideMark/>
          </w:tcPr>
          <w:p w14:paraId="737DA3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(64)</w:t>
            </w:r>
          </w:p>
        </w:tc>
        <w:tc>
          <w:tcPr>
            <w:tcW w:w="0" w:type="auto"/>
            <w:shd w:val="clear" w:color="auto" w:fill="auto"/>
            <w:hideMark/>
          </w:tcPr>
          <w:p w14:paraId="3607594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financial entity should at all times remain fully responsible for complying with its obligations set out in this Regulation. Financial entities should apply a proportionate approach to the monitoring of risks emerging at the level of the ICT third-party service providers, by duly considering the nature, scale, complexity and importance of their ICT-related dependencies, the criticality or importance of the services, processes or functions subject to the contractual arrangements and, ultimately, on the basis of a careful assessment of any potential impact on the continuity and quality of financial services at individual and at group level, as appropriate.</w:t>
            </w:r>
          </w:p>
        </w:tc>
      </w:tr>
    </w:tbl>
    <w:p w14:paraId="04AB46B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F29AD6F" w14:textId="77777777" w:rsidTr="00DB72C3">
        <w:tc>
          <w:tcPr>
            <w:tcW w:w="0" w:type="auto"/>
            <w:shd w:val="clear" w:color="auto" w:fill="auto"/>
            <w:hideMark/>
          </w:tcPr>
          <w:p w14:paraId="39C4E16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(65)</w:t>
            </w:r>
          </w:p>
        </w:tc>
        <w:tc>
          <w:tcPr>
            <w:tcW w:w="0" w:type="auto"/>
            <w:shd w:val="clear" w:color="auto" w:fill="auto"/>
            <w:hideMark/>
          </w:tcPr>
          <w:p w14:paraId="5108F1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conduct of such monitoring should follow a strategic approach to ICT third-party risk </w:t>
            </w:r>
            <w:proofErr w:type="spellStart"/>
            <w:r w:rsidRPr="00DB72C3">
              <w:rPr>
                <w:rFonts w:ascii="Times New Roman" w:eastAsia="Times New Roman" w:hAnsi="Times New Roman" w:cs="Times New Roman"/>
                <w:sz w:val="24"/>
                <w:szCs w:val="24"/>
              </w:rPr>
              <w:t>formalised</w:t>
            </w:r>
            <w:proofErr w:type="spellEnd"/>
            <w:r w:rsidRPr="00DB72C3">
              <w:rPr>
                <w:rFonts w:ascii="Times New Roman" w:eastAsia="Times New Roman" w:hAnsi="Times New Roman" w:cs="Times New Roman"/>
                <w:sz w:val="24"/>
                <w:szCs w:val="24"/>
              </w:rPr>
              <w:t xml:space="preserve"> through the adoption by the financial entity’s management body of a dedicated ICT third-party risk strategy, rooted in a continuous screening of all ICT third-party dependencies. To enhance supervisory awareness of ICT third-party dependencies, and with a view to further supporting the work in the context of the Oversight Framework established by this Regulation, all financial entities should be required to maintain a register of information with all contractual arrangements about the use of ICT services provided by ICT third-party service providers. Financial supervisors should be able to request the full register, or to ask for specific sections thereof, and thus to obtain essential information for acquiring a broader understanding of the ICT dependencies of financial entities.</w:t>
            </w:r>
          </w:p>
        </w:tc>
      </w:tr>
      <w:tr w:rsidR="00DB72C3" w:rsidRPr="00DB72C3" w14:paraId="6F187298" w14:textId="77777777" w:rsidTr="00DB72C3">
        <w:tc>
          <w:tcPr>
            <w:tcW w:w="0" w:type="auto"/>
            <w:shd w:val="clear" w:color="auto" w:fill="auto"/>
            <w:hideMark/>
          </w:tcPr>
          <w:p w14:paraId="5CEF6B4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(66)</w:t>
            </w:r>
          </w:p>
        </w:tc>
        <w:tc>
          <w:tcPr>
            <w:tcW w:w="0" w:type="auto"/>
            <w:shd w:val="clear" w:color="auto" w:fill="auto"/>
            <w:hideMark/>
          </w:tcPr>
          <w:p w14:paraId="67F2F7C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 thorough pre-contracting analysis should underpin and precede the formal conclusion of contractual arrangements, in particular by focusing on elements such as the criticality or importance of the services supported by the envisaged ICT contract, the necessary supervisory approvals or other conditions, the possible concentration risk entailed, as well as applying due diligence in the process of selection and assessment of ICT third-party service providers and assessing potential conflicts of interest. For contractual arrangements concerning critical or important functions, financial entities should take into consideration the use by ICT third-party service providers of the most up-to-date and highest information security standards. Termination of contractual arrangements could be prompted at least by a series of circumstances showing shortfalls at the ICT third-party service provider level, in particular significant breaches of laws or contractual terms, circumstances revealing a potential alteration of the performance of the functions provided for in the contractual arrangements, evidence of weaknesses of the ICT third-party service provider in its overall ICT risk management, or </w:t>
            </w:r>
            <w:r w:rsidRPr="00DB72C3">
              <w:rPr>
                <w:rFonts w:ascii="Times New Roman" w:eastAsia="Times New Roman" w:hAnsi="Times New Roman" w:cs="Times New Roman"/>
                <w:sz w:val="24"/>
                <w:szCs w:val="24"/>
              </w:rPr>
              <w:lastRenderedPageBreak/>
              <w:t>circumstances indicating the inability of the relevant competent authority to effectively supervise the financial entity.</w:t>
            </w:r>
          </w:p>
        </w:tc>
      </w:tr>
    </w:tbl>
    <w:p w14:paraId="17F1213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E6650CE" w14:textId="77777777" w:rsidTr="00DB72C3">
        <w:tc>
          <w:tcPr>
            <w:tcW w:w="0" w:type="auto"/>
            <w:shd w:val="clear" w:color="auto" w:fill="auto"/>
            <w:hideMark/>
          </w:tcPr>
          <w:p w14:paraId="1894E9E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(67)</w:t>
            </w:r>
          </w:p>
        </w:tc>
        <w:tc>
          <w:tcPr>
            <w:tcW w:w="0" w:type="auto"/>
            <w:shd w:val="clear" w:color="auto" w:fill="auto"/>
            <w:hideMark/>
          </w:tcPr>
          <w:p w14:paraId="23DE9E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address the systemic impact of ICT third-party concentration risk, this Regulation promotes a balanced solution by means of taking a flexible and gradual approach to such concentration risk since the imposition of any rigid caps or strict limitations might hinder the conduct of business and restrain the contractual freedom. Financial entities should thoroughly assess their envisaged contractual arrangements to identify the likelihood of such risk emerging, including by means of in-depth analyses of subcontracting arrangements, in particular when concluded with ICT third-party service providers established in a third country. At this stage, and with a view to striking a fair balance between the imperative of preserving contractual freedom and that of guaranteeing financial stability, it is not considered appropriate to set out rules on strict caps and limits to ICT third-party exposures. In the context of the Oversight Framework, a Lead Overseer, appointed pursuant to this Regulation, should, in respect to critical ICT third-party service providers, pay particular attention to fully grasp the magnitude of interdependences, discover specific instances where a high degree of concentration of critical ICT third-party service providers in the Union is likely to put a strain on the Union financial system’s stability and integrity and maintain a dialogue with critical ICT third-party service providers where that specific risk is identified.</w:t>
            </w:r>
          </w:p>
        </w:tc>
      </w:tr>
      <w:tr w:rsidR="00DB72C3" w:rsidRPr="00DB72C3" w14:paraId="2688BD57" w14:textId="77777777" w:rsidTr="00DB72C3">
        <w:tc>
          <w:tcPr>
            <w:tcW w:w="0" w:type="auto"/>
            <w:shd w:val="clear" w:color="auto" w:fill="auto"/>
            <w:hideMark/>
          </w:tcPr>
          <w:p w14:paraId="2636B4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(68)</w:t>
            </w:r>
          </w:p>
        </w:tc>
        <w:tc>
          <w:tcPr>
            <w:tcW w:w="0" w:type="auto"/>
            <w:shd w:val="clear" w:color="auto" w:fill="auto"/>
            <w:hideMark/>
          </w:tcPr>
          <w:p w14:paraId="1BB269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evaluate and monitor on a regular basis the ability of an ICT third party service provider to securely provide services to a financial entity without adverse effects on a financial entity’s digital operational resilience, several key contractual elements with ICT third-party service providers should be </w:t>
            </w:r>
            <w:proofErr w:type="spellStart"/>
            <w:r w:rsidRPr="00DB72C3">
              <w:rPr>
                <w:rFonts w:ascii="Times New Roman" w:eastAsia="Times New Roman" w:hAnsi="Times New Roman" w:cs="Times New Roman"/>
                <w:sz w:val="24"/>
                <w:szCs w:val="24"/>
              </w:rPr>
              <w:t>harmonised</w:t>
            </w:r>
            <w:proofErr w:type="spellEnd"/>
            <w:r w:rsidRPr="00DB72C3">
              <w:rPr>
                <w:rFonts w:ascii="Times New Roman" w:eastAsia="Times New Roman" w:hAnsi="Times New Roman" w:cs="Times New Roman"/>
                <w:sz w:val="24"/>
                <w:szCs w:val="24"/>
              </w:rPr>
              <w:t xml:space="preserve">. Such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should cover minimum areas which are crucial for enabling a full monitoring by the financial entity of the risks that could emerge from the ICT third-party service provider, from the perspective of a financial entity’s need to secure its digital resilience because it is deeply dependent on the stability, functionality, availability and security of the ICT services received.</w:t>
            </w:r>
          </w:p>
        </w:tc>
      </w:tr>
    </w:tbl>
    <w:p w14:paraId="66D4680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D22C75C" w14:textId="77777777" w:rsidTr="00DB72C3">
        <w:tc>
          <w:tcPr>
            <w:tcW w:w="0" w:type="auto"/>
            <w:shd w:val="clear" w:color="auto" w:fill="auto"/>
            <w:hideMark/>
          </w:tcPr>
          <w:p w14:paraId="7DA7C1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(69)</w:t>
            </w:r>
          </w:p>
        </w:tc>
        <w:tc>
          <w:tcPr>
            <w:tcW w:w="0" w:type="auto"/>
            <w:shd w:val="clear" w:color="auto" w:fill="auto"/>
            <w:hideMark/>
          </w:tcPr>
          <w:p w14:paraId="27C7F5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When renegotiating contractual arrangements to seek alignment with the requirements of this Regulation, financial entities and ICT third-party service providers should ensure the coverage of the key contractual provisions as provided for in this Regulation.</w:t>
            </w:r>
          </w:p>
        </w:tc>
      </w:tr>
      <w:tr w:rsidR="00DB72C3" w:rsidRPr="00DB72C3" w14:paraId="11D2E498" w14:textId="77777777" w:rsidTr="00DB72C3">
        <w:tc>
          <w:tcPr>
            <w:tcW w:w="0" w:type="auto"/>
            <w:shd w:val="clear" w:color="auto" w:fill="auto"/>
            <w:hideMark/>
          </w:tcPr>
          <w:p w14:paraId="7A46D84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(70)</w:t>
            </w:r>
          </w:p>
        </w:tc>
        <w:tc>
          <w:tcPr>
            <w:tcW w:w="0" w:type="auto"/>
            <w:shd w:val="clear" w:color="auto" w:fill="auto"/>
            <w:hideMark/>
          </w:tcPr>
          <w:p w14:paraId="0AE517E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definition of ‘critical or important function’ provided for in this Regulation encompasses the ‘critical functions’ as defined in Article 2(1), point (35), of Directive 2014/59/EU of the European Parliament and of the Council </w:t>
            </w:r>
            <w:hyperlink r:id="rId23" w:anchor="ntr20-L_2022333EN.01000101-E0020"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20</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Accordingly, functions deemed to be critical pursuant to Directive 2014/59/EU are included in the definition of critical functions within the meaning of this Regulation.</w:t>
            </w:r>
          </w:p>
        </w:tc>
      </w:tr>
    </w:tbl>
    <w:p w14:paraId="62984F5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306A6E8" w14:textId="77777777" w:rsidTr="00DB72C3">
        <w:tc>
          <w:tcPr>
            <w:tcW w:w="0" w:type="auto"/>
            <w:shd w:val="clear" w:color="auto" w:fill="auto"/>
            <w:hideMark/>
          </w:tcPr>
          <w:p w14:paraId="0829B32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(71)</w:t>
            </w:r>
          </w:p>
        </w:tc>
        <w:tc>
          <w:tcPr>
            <w:tcW w:w="0" w:type="auto"/>
            <w:shd w:val="clear" w:color="auto" w:fill="auto"/>
            <w:hideMark/>
          </w:tcPr>
          <w:p w14:paraId="42CB79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Irrespective of the criticality or importance of the function supported by the ICT services, contractual arrangements should, in particular, provide for a specification of the complete descriptions of functions and services, of the locations where such functions are provided and where data is to be processed, as well as an indication of service level descriptions. Other essential elements to enable a financial entity’s monitoring of ICT third party risk are: </w:t>
            </w:r>
            <w:r w:rsidRPr="00DB72C3">
              <w:rPr>
                <w:rFonts w:ascii="Times New Roman" w:eastAsia="Times New Roman" w:hAnsi="Times New Roman" w:cs="Times New Roman"/>
                <w:sz w:val="24"/>
                <w:szCs w:val="24"/>
              </w:rPr>
              <w:lastRenderedPageBreak/>
              <w:t>contractual provisions specifying how the accessibility, availability, integrity, security and protection of personal data are ensured by the ICT third-party service provider, provisions laying down the relevant guarantees for enabling the access, recovery and return of data in the case of insolvency, resolution or discontinuation of the business operations of the ICT third-party service provider, as well as provisions requiring the ICT third-party service provider to provide assistance in case of ICT incidents in connection with the services provided, at no additional cost or at a cost determined </w:t>
            </w:r>
            <w:r w:rsidRPr="00DB72C3">
              <w:rPr>
                <w:rFonts w:ascii="Times New Roman" w:eastAsia="Times New Roman" w:hAnsi="Times New Roman" w:cs="Times New Roman"/>
                <w:i/>
                <w:iCs/>
                <w:sz w:val="24"/>
                <w:szCs w:val="24"/>
              </w:rPr>
              <w:t>ex-ante</w:t>
            </w:r>
            <w:r w:rsidRPr="00DB72C3">
              <w:rPr>
                <w:rFonts w:ascii="Times New Roman" w:eastAsia="Times New Roman" w:hAnsi="Times New Roman" w:cs="Times New Roman"/>
                <w:sz w:val="24"/>
                <w:szCs w:val="24"/>
              </w:rPr>
              <w:t>; provisions on the obligation of the ICT third-party service provider to fully cooperate with the competent authorities and resolution authorities of the financial entity; and provisions on termination rights and related minimum notice periods for the termination of the contractual arrangements, in accordance with the expectations of competent authorities and resolution authorities.</w:t>
            </w:r>
          </w:p>
        </w:tc>
      </w:tr>
      <w:tr w:rsidR="00DB72C3" w:rsidRPr="00DB72C3" w14:paraId="1AD81906" w14:textId="77777777" w:rsidTr="00DB72C3">
        <w:tc>
          <w:tcPr>
            <w:tcW w:w="0" w:type="auto"/>
            <w:shd w:val="clear" w:color="auto" w:fill="auto"/>
            <w:hideMark/>
          </w:tcPr>
          <w:p w14:paraId="013DBE5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(72)</w:t>
            </w:r>
          </w:p>
        </w:tc>
        <w:tc>
          <w:tcPr>
            <w:tcW w:w="0" w:type="auto"/>
            <w:shd w:val="clear" w:color="auto" w:fill="auto"/>
            <w:hideMark/>
          </w:tcPr>
          <w:p w14:paraId="38BBE1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addition to such contractual provisions, and with a view to ensuring that financial entities remain in full control of all developments occurring at third-party level which may impair their ICT security, the contracts for the provision of ICT services supporting critical or important functions should also provide for the following: the specification of the full service level descriptions, with precise quantitative and qualitative performance targets, to enable without undue delay appropriate corrective actions when the agreed service levels are not met; the relevant notice periods and reporting obligations of the ICT third-party service provider in the event of developments with a potential material impact on the ICT third-party service provider’s ability to effectively provide their respective ICT services; a requirement upon the ICT third-party service provider to implement and test business contingency plans and have ICT security measures, tools and policies allowing for the secure provision of services, and to participate and fully cooperate in the TLPT carried out by the financial entity.</w:t>
            </w:r>
          </w:p>
        </w:tc>
      </w:tr>
    </w:tbl>
    <w:p w14:paraId="6F44AFC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0EB77CB" w14:textId="77777777" w:rsidTr="00DB72C3">
        <w:tc>
          <w:tcPr>
            <w:tcW w:w="0" w:type="auto"/>
            <w:shd w:val="clear" w:color="auto" w:fill="auto"/>
            <w:hideMark/>
          </w:tcPr>
          <w:p w14:paraId="391852C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(73)</w:t>
            </w:r>
          </w:p>
        </w:tc>
        <w:tc>
          <w:tcPr>
            <w:tcW w:w="0" w:type="auto"/>
            <w:shd w:val="clear" w:color="auto" w:fill="auto"/>
            <w:hideMark/>
          </w:tcPr>
          <w:p w14:paraId="752BEB3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Contracts for the provision of ICT services supporting critical or important functions should also contain provisions enabling the rights of access, inspection and audit by the financial entity, or an appointed third party, and the right to take copies as crucial instruments in the financial entities’ ongoing monitoring of the ICT third-party service provider’s performance, coupled with the service provider’s full cooperation during inspections. Similarly, the competent authority of the financial entity should have the right, based on notices, to inspect and audit the ICT third-party service provider, subject to the protection of confidential information.</w:t>
            </w:r>
          </w:p>
        </w:tc>
      </w:tr>
      <w:tr w:rsidR="00DB72C3" w:rsidRPr="00DB72C3" w14:paraId="3190B057" w14:textId="77777777" w:rsidTr="00DB72C3">
        <w:tc>
          <w:tcPr>
            <w:tcW w:w="0" w:type="auto"/>
            <w:shd w:val="clear" w:color="auto" w:fill="auto"/>
            <w:hideMark/>
          </w:tcPr>
          <w:p w14:paraId="545F864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(74)</w:t>
            </w:r>
          </w:p>
        </w:tc>
        <w:tc>
          <w:tcPr>
            <w:tcW w:w="0" w:type="auto"/>
            <w:shd w:val="clear" w:color="auto" w:fill="auto"/>
            <w:hideMark/>
          </w:tcPr>
          <w:p w14:paraId="6FAF42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Such contractual arrangements should also provide for dedicated exit strategies to enable, in particular, mandatory transition periods during which ICT third-party service providers should continue providing the relevant services with a view to reducing the risk of disruptions at the level of the financial entity, or to allow the latter effectively to switch to the use of other ICT third-party service providers or, alternatively, to change to in-house solutions, consistent with the complexity of the provided ICT service. Moreover, financial entities within the scope of Directive 2014/59/EU should ensure that the relevant contracts for ICT services are robust and fully enforceable in the event of resolution of those financial entities. Therefore, in line with the expectations of the resolution authorities, those financial entities should ensure that the </w:t>
            </w:r>
            <w:r w:rsidRPr="00DB72C3">
              <w:rPr>
                <w:rFonts w:ascii="Times New Roman" w:eastAsia="Times New Roman" w:hAnsi="Times New Roman" w:cs="Times New Roman"/>
                <w:sz w:val="24"/>
                <w:szCs w:val="24"/>
              </w:rPr>
              <w:lastRenderedPageBreak/>
              <w:t>relevant contracts for ICT services are resolution resilient. As long as they continue meeting their payment obligations, those financial entities should ensure, among other requirements, that the relevant contracts for ICT services contain clauses for non-termination, non-suspension and non-modification on grounds of restructuring or resolution.</w:t>
            </w:r>
          </w:p>
        </w:tc>
      </w:tr>
    </w:tbl>
    <w:p w14:paraId="16C9BE0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503D2D5" w14:textId="77777777" w:rsidTr="00DB72C3">
        <w:tc>
          <w:tcPr>
            <w:tcW w:w="0" w:type="auto"/>
            <w:shd w:val="clear" w:color="auto" w:fill="auto"/>
            <w:hideMark/>
          </w:tcPr>
          <w:p w14:paraId="548B73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(75)</w:t>
            </w:r>
          </w:p>
        </w:tc>
        <w:tc>
          <w:tcPr>
            <w:tcW w:w="0" w:type="auto"/>
            <w:shd w:val="clear" w:color="auto" w:fill="auto"/>
            <w:hideMark/>
          </w:tcPr>
          <w:p w14:paraId="04CA6EA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Moreover, the voluntary use of standard contractual clauses developed by public authorities or Union institutions, in particular the use of contractual clauses developed by the Commission for cloud computing services could provide further comfort to the financial entities and ICT third-party service providers, by enhancing their level of legal certainty regarding the use of cloud computing services in the financial sector, in full alignment with the requirements and expectations set out by the Union financial services law. The development of standard contractual clauses builds on measures already envisaged in the 2018 Fintech Action Plan that announced the Commission’s intention to encourage and facilitate the development of standard contractual clauses for the use of cloud computing services outsourcing by financial entities, drawing on cross-sectorial cloud computing services stakeholders’ efforts, which the Commission has facilitated with the help of the financial sector’s involvement.</w:t>
            </w:r>
          </w:p>
        </w:tc>
      </w:tr>
      <w:tr w:rsidR="00DB72C3" w:rsidRPr="00DB72C3" w14:paraId="1260A235" w14:textId="77777777" w:rsidTr="00DB72C3">
        <w:tc>
          <w:tcPr>
            <w:tcW w:w="0" w:type="auto"/>
            <w:shd w:val="clear" w:color="auto" w:fill="auto"/>
            <w:hideMark/>
          </w:tcPr>
          <w:p w14:paraId="5EBC313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(76)</w:t>
            </w:r>
          </w:p>
        </w:tc>
        <w:tc>
          <w:tcPr>
            <w:tcW w:w="0" w:type="auto"/>
            <w:shd w:val="clear" w:color="auto" w:fill="auto"/>
            <w:hideMark/>
          </w:tcPr>
          <w:p w14:paraId="74B9AE4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With a view to promoting convergence and efficiency in relation to supervisory approaches when addressing ICT third-party risk in the financial sector, as well as to strengthening the digital operational resilience of financial entities which rely on critical ICT third-party service providers for the provision of ICT services that support the supply of financial services, and thereby to contributing to the preservation of the Union’s financial system stability and the integrity of the internal market for financial services, critical ICT third-party service providers should be subject to a Union Oversight Framework. While the set-up of the Oversight Framework is justified by the added value of taking action at Union level and by virtue of the inherent role and specificities of the use of ICT services in the provision of financial services, it should be recalled, at the same time, that this solution appears suitable only in the context of this Regulation specifically dealing with digital operational resilience in the financial sector. However, such Oversight Framework should not be regarded as a new model for Union supervision in other areas of financial services and activities.</w:t>
            </w:r>
          </w:p>
        </w:tc>
      </w:tr>
    </w:tbl>
    <w:p w14:paraId="203B83D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ABF1B0B" w14:textId="77777777" w:rsidTr="00DB72C3">
        <w:tc>
          <w:tcPr>
            <w:tcW w:w="0" w:type="auto"/>
            <w:shd w:val="clear" w:color="auto" w:fill="auto"/>
            <w:hideMark/>
          </w:tcPr>
          <w:p w14:paraId="263D14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(77)</w:t>
            </w:r>
          </w:p>
        </w:tc>
        <w:tc>
          <w:tcPr>
            <w:tcW w:w="0" w:type="auto"/>
            <w:shd w:val="clear" w:color="auto" w:fill="auto"/>
            <w:hideMark/>
          </w:tcPr>
          <w:p w14:paraId="10543D4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Oversight Framework should apply only to critical ICT third-party service providers. There should therefore be a designation mechanism to take into account the dimension and nature of the financial sector’s reliance on such ICT third-party service providers. That mechanism should involve a set of quantitative and qualitative criteria to set the criticality parameters as a basis for inclusion in the Oversight Framework. In order to ensure the accuracy of that assessment, and regardless of the corporate structure of the ICT third-party service provider, such criteria should, in the case of a ICT third-party service provider that is part of a wider group, take into consideration the entire ICT third-party service provider’s group structure. On the one hand, critical ICT third-party service providers, which are not automatically designated by virtue of the application of those criteria, should have the possibility to opt in to the Oversight Framework on a voluntary basis, on the other hand, ICT third-party service providers, that are already subject to oversight mechanism frameworks </w:t>
            </w:r>
            <w:r w:rsidRPr="00DB72C3">
              <w:rPr>
                <w:rFonts w:ascii="Times New Roman" w:eastAsia="Times New Roman" w:hAnsi="Times New Roman" w:cs="Times New Roman"/>
                <w:sz w:val="24"/>
                <w:szCs w:val="24"/>
              </w:rPr>
              <w:lastRenderedPageBreak/>
              <w:t>supporting the fulfilment of the tasks of the European System of Central Banks as referred to in Article 127(2) TFEU, should be exempted.</w:t>
            </w:r>
          </w:p>
        </w:tc>
      </w:tr>
      <w:tr w:rsidR="00DB72C3" w:rsidRPr="00DB72C3" w14:paraId="35446303" w14:textId="77777777" w:rsidTr="00DB72C3">
        <w:tc>
          <w:tcPr>
            <w:tcW w:w="0" w:type="auto"/>
            <w:shd w:val="clear" w:color="auto" w:fill="auto"/>
            <w:hideMark/>
          </w:tcPr>
          <w:p w14:paraId="607D377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(78)</w:t>
            </w:r>
          </w:p>
        </w:tc>
        <w:tc>
          <w:tcPr>
            <w:tcW w:w="0" w:type="auto"/>
            <w:shd w:val="clear" w:color="auto" w:fill="auto"/>
            <w:hideMark/>
          </w:tcPr>
          <w:p w14:paraId="3EC561C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Similarly, financial entities providing ICT services to other financial entities, while belonging to the category of ICT third-party service providers under this Regulation, should also be exempted from the Oversight Framework since they are already subject to supervisory mechanisms established by the relevant Union financial services law. Where applicable, competent authorities should take into account, in the context of their supervisory activities, the ICT risk posed to financial entities by financial entities providing ICT services. Likewise, due to the existing risk monitoring mechanisms at group level, the same exemption should be introduced for ICT third-party service providers delivering services predominantly to the entities of their own group. ICT third-party service providers providing ICT services solely in one Member State to financial entities that are active only in that Member State should also be exempted from the designation mechanism because of their limited activities and lack of cross-border impact.</w:t>
            </w:r>
          </w:p>
        </w:tc>
      </w:tr>
    </w:tbl>
    <w:p w14:paraId="1B97368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4016AF4" w14:textId="77777777" w:rsidTr="00DB72C3">
        <w:tc>
          <w:tcPr>
            <w:tcW w:w="0" w:type="auto"/>
            <w:shd w:val="clear" w:color="auto" w:fill="auto"/>
            <w:hideMark/>
          </w:tcPr>
          <w:p w14:paraId="13134A4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(79)</w:t>
            </w:r>
          </w:p>
        </w:tc>
        <w:tc>
          <w:tcPr>
            <w:tcW w:w="0" w:type="auto"/>
            <w:shd w:val="clear" w:color="auto" w:fill="auto"/>
            <w:hideMark/>
          </w:tcPr>
          <w:p w14:paraId="66158E4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digital transformation experienced in financial services has brought about an unprecedented level of use of, and reliance upon, ICT services. Since it has become inconceivable to provide financial services without the use of cloud computing services, software solutions and data-related services, the Union financial ecosystem has become intrinsically co-dependent on certain ICT services provided by ICT service suppliers. Some of those suppliers, innovators in developing and applying ICT-based technologies, play a significant role in the delivery of financial services, or have become integrated into the financial services value chain. They have thus become critical to the stability and integrity of the Union financial system. This widespread reliance on services supplied by critical ICT third-party service providers, combined with the interdependence of the information systems of various market operators, create a direct, and potentially severe, risk to the Union financial services system and to the continuity of delivery of financial services if critical ICT third-party service providers were to be affected by operational disruptions or major cyber incidents. Cyber incidents have a distinctive ability to multiply and propagate throughout the financial system at a considerably faster pace than other types of risk monitored in the financial sector and can extend across sectors and beyond geographical borders. They have the potential to evolve into a systemic crisis, where trust in the financial system has been eroded due to the disruption of functions supporting the real economy, or to substantial financial losses, reaching a level which the financial system is unable to withstand, or which requires the deployment of heavy shock absorption measures. To prevent these scenarios from taking place and thereby endangering the financial stability and integrity of the Union, it is essential to provide the convergence of supervisory practices relating to ICT third-party risk in finance, in particular through new rules enabling the Union oversight of critical ICT third-party service providers.</w:t>
            </w:r>
          </w:p>
        </w:tc>
      </w:tr>
      <w:tr w:rsidR="00DB72C3" w:rsidRPr="00DB72C3" w14:paraId="27EDAED7" w14:textId="77777777" w:rsidTr="00DB72C3">
        <w:tc>
          <w:tcPr>
            <w:tcW w:w="0" w:type="auto"/>
            <w:shd w:val="clear" w:color="auto" w:fill="auto"/>
            <w:hideMark/>
          </w:tcPr>
          <w:p w14:paraId="2570EE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(80)</w:t>
            </w:r>
          </w:p>
        </w:tc>
        <w:tc>
          <w:tcPr>
            <w:tcW w:w="0" w:type="auto"/>
            <w:shd w:val="clear" w:color="auto" w:fill="auto"/>
            <w:hideMark/>
          </w:tcPr>
          <w:p w14:paraId="788BD8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Oversight Framework largely depends on the degree of collaboration between the Lead Overseer and the critical ICT third-party service provider delivering to financial entities services affecting the supply of financial services. Successful oversight is predicated, inter </w:t>
            </w:r>
            <w:r w:rsidRPr="00DB72C3">
              <w:rPr>
                <w:rFonts w:ascii="Times New Roman" w:eastAsia="Times New Roman" w:hAnsi="Times New Roman" w:cs="Times New Roman"/>
                <w:sz w:val="24"/>
                <w:szCs w:val="24"/>
              </w:rPr>
              <w:lastRenderedPageBreak/>
              <w:t>alia, upon the ability of the Lead Overseer to effectively conduct monitoring missions and inspections to assess the rules, controls and processes used by the critical ICT third-party service providers, as well as to assess the potential cumulative impact of their activities on financial stability and the integrity of the financial system. At the same time, it is crucial that critical ICT third-party service providers follow the Lead Overseer’s recommendations and address its concerns. Since a lack of cooperation by a critical ICT third-party service provider providing services that affect the supply of financial services, such as the refusal to grant access to its premises or to submit information, would ultimately deprive the Lead Overseer of its essential tools in appraising ICT third-party risk, and could adversely impact the financial stability and the integrity of the financial system, it is necessary to also provide for a commensurate sanctioning regime.</w:t>
            </w:r>
          </w:p>
        </w:tc>
      </w:tr>
    </w:tbl>
    <w:p w14:paraId="645948D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82A75C2" w14:textId="77777777" w:rsidTr="00DB72C3">
        <w:tc>
          <w:tcPr>
            <w:tcW w:w="0" w:type="auto"/>
            <w:shd w:val="clear" w:color="auto" w:fill="auto"/>
            <w:hideMark/>
          </w:tcPr>
          <w:p w14:paraId="504C5F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(81)</w:t>
            </w:r>
          </w:p>
        </w:tc>
        <w:tc>
          <w:tcPr>
            <w:tcW w:w="0" w:type="auto"/>
            <w:shd w:val="clear" w:color="auto" w:fill="auto"/>
            <w:hideMark/>
          </w:tcPr>
          <w:p w14:paraId="1CE6AA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Against this background, the need of the Lead Overseer to impose penalty payments to compel critical ICT third-party service providers to comply with the transparency and access-related obligations set out in this Regulation should not be </w:t>
            </w:r>
            <w:proofErr w:type="spellStart"/>
            <w:r w:rsidRPr="00DB72C3">
              <w:rPr>
                <w:rFonts w:ascii="Times New Roman" w:eastAsia="Times New Roman" w:hAnsi="Times New Roman" w:cs="Times New Roman"/>
                <w:sz w:val="24"/>
                <w:szCs w:val="24"/>
              </w:rPr>
              <w:t>jeopardised</w:t>
            </w:r>
            <w:proofErr w:type="spellEnd"/>
            <w:r w:rsidRPr="00DB72C3">
              <w:rPr>
                <w:rFonts w:ascii="Times New Roman" w:eastAsia="Times New Roman" w:hAnsi="Times New Roman" w:cs="Times New Roman"/>
                <w:sz w:val="24"/>
                <w:szCs w:val="24"/>
              </w:rPr>
              <w:t xml:space="preserve"> by difficulties raised by the enforcement of those penalty payments in relation to critical ICT third-party service providers established in third countries. In order to ensure the enforceability of such penalties, and to allow a swift roll out of procedures upholding the critical ICT third-party service providers’ rights of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 xml:space="preserve"> in the context of the designation mechanism and the issuance of recommendations, those critical ICT third-party service providers, providing services to financial entities that affect the supply of financial services, should be required to maintain an adequate business presence in the Union. Due to the nature of the oversight, and the absence of comparable arrangements in other jurisdictions, there are no suitable alternative mechanisms ensuring this objective by way of effective cooperation with financial supervisors in third countries in relation to the monitoring of the impact of digital operational risks posed by systemic ICT third-party service providers, qualifying as critical ICT third-party service providers established in third countries. Therefore, in order to continue its provision of ICT services to financial entities in the Union, an ICT third-party service provider established in a third country which has been designated as critical in accordance with this Regulation should undertake, within 12 months of such designation, all necessary arrangements to ensure its incorporation within the Union, by means of establishing a subsidiary, as defined throughout the Union </w:t>
            </w:r>
            <w:r w:rsidRPr="00DB72C3">
              <w:rPr>
                <w:rFonts w:ascii="Times New Roman" w:eastAsia="Times New Roman" w:hAnsi="Times New Roman" w:cs="Times New Roman"/>
                <w:i/>
                <w:iCs/>
                <w:sz w:val="24"/>
                <w:szCs w:val="24"/>
              </w:rPr>
              <w:t>acquis</w:t>
            </w:r>
            <w:r w:rsidRPr="00DB72C3">
              <w:rPr>
                <w:rFonts w:ascii="Times New Roman" w:eastAsia="Times New Roman" w:hAnsi="Times New Roman" w:cs="Times New Roman"/>
                <w:sz w:val="24"/>
                <w:szCs w:val="24"/>
              </w:rPr>
              <w:t>, namely in Directive 2013/34/EU of the European Parliament and of the Council </w:t>
            </w:r>
            <w:hyperlink r:id="rId24" w:anchor="ntr21-L_2022333EN.01000101-E0021"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21</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r w:rsidR="00DB72C3" w:rsidRPr="00DB72C3" w14:paraId="00B2B0E3" w14:textId="77777777" w:rsidTr="00DB72C3">
        <w:tc>
          <w:tcPr>
            <w:tcW w:w="0" w:type="auto"/>
            <w:shd w:val="clear" w:color="auto" w:fill="auto"/>
            <w:hideMark/>
          </w:tcPr>
          <w:p w14:paraId="6FF481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(82)</w:t>
            </w:r>
          </w:p>
        </w:tc>
        <w:tc>
          <w:tcPr>
            <w:tcW w:w="0" w:type="auto"/>
            <w:shd w:val="clear" w:color="auto" w:fill="auto"/>
            <w:hideMark/>
          </w:tcPr>
          <w:p w14:paraId="12206A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requirement to set up a subsidiary in the Union should not prevent the critical ICT third-party service provider from supplying ICT services and related technical support from facilities and infrastructure located outside the Union. This Regulation does not impose a data </w:t>
            </w:r>
            <w:proofErr w:type="spellStart"/>
            <w:r w:rsidRPr="00DB72C3">
              <w:rPr>
                <w:rFonts w:ascii="Times New Roman" w:eastAsia="Times New Roman" w:hAnsi="Times New Roman" w:cs="Times New Roman"/>
                <w:sz w:val="24"/>
                <w:szCs w:val="24"/>
              </w:rPr>
              <w:t>localisation</w:t>
            </w:r>
            <w:proofErr w:type="spellEnd"/>
            <w:r w:rsidRPr="00DB72C3">
              <w:rPr>
                <w:rFonts w:ascii="Times New Roman" w:eastAsia="Times New Roman" w:hAnsi="Times New Roman" w:cs="Times New Roman"/>
                <w:sz w:val="24"/>
                <w:szCs w:val="24"/>
              </w:rPr>
              <w:t xml:space="preserve"> obligation as it does not require data storage or processing to be undertaken in the Union.</w:t>
            </w:r>
          </w:p>
        </w:tc>
      </w:tr>
    </w:tbl>
    <w:p w14:paraId="62389D1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F9E2A1E" w14:textId="77777777" w:rsidTr="00DB72C3">
        <w:tc>
          <w:tcPr>
            <w:tcW w:w="0" w:type="auto"/>
            <w:shd w:val="clear" w:color="auto" w:fill="auto"/>
            <w:hideMark/>
          </w:tcPr>
          <w:p w14:paraId="30EECC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(83)</w:t>
            </w:r>
          </w:p>
        </w:tc>
        <w:tc>
          <w:tcPr>
            <w:tcW w:w="0" w:type="auto"/>
            <w:shd w:val="clear" w:color="auto" w:fill="auto"/>
            <w:hideMark/>
          </w:tcPr>
          <w:p w14:paraId="543A676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Critical ICT third-party service providers should be able to provide ICT services from anywhere in the world, not necessarily or not only from premises located in the Union. Oversight activities should be first conducted on premises located in the Union and by </w:t>
            </w:r>
            <w:r w:rsidRPr="00DB72C3">
              <w:rPr>
                <w:rFonts w:ascii="Times New Roman" w:eastAsia="Times New Roman" w:hAnsi="Times New Roman" w:cs="Times New Roman"/>
                <w:sz w:val="24"/>
                <w:szCs w:val="24"/>
              </w:rPr>
              <w:lastRenderedPageBreak/>
              <w:t>interacting with entities located in the Union, including the subsidiaries established by critical ICT third-party service providers pursuant to this Regulation. However, such actions within the Union might be insufficient to allow the Lead Overseer to fully and effectively perform its duties under this Regulation. The Lead Overseer should therefore also be able to exercise its relevant oversight powers in third countries. Exercising those powers in third countries should allow the Lead Overseer to examine the facilities from which the ICT services or the technical support services are actually provided or managed by the critical ICT third-party service provider, and should give the Lead Overseer a comprehensive and operational understanding of the ICT risk management of the critical ICT third-party service provider. The possibility for the Lead Overseer, as a Union agency, to exercise powers outside the territory of the Union should be duly framed by relevant conditions, in particular the consent of the critical ICT third-party service provider concerned. Similarly, the relevant authorities of the third country should be informed of, and not have objected to, the exercise on their own territory of the activities of the Lead Overseer. However, in order to ensure efficient implementation, and without prejudice to the respective competences of the Union institutions and the Member States, such powers also need to be fully anchored in the conclusion of administrative cooperation arrangements with the relevant authorities of the third country concerned. This Regulation should therefore enable the ESAs to conclude administrative cooperation arrangements with the relevant authorities of third countries, which should not otherwise create legal obligations in respect of the Union and its Member States.</w:t>
            </w:r>
          </w:p>
        </w:tc>
      </w:tr>
      <w:tr w:rsidR="00DB72C3" w:rsidRPr="00DB72C3" w14:paraId="57641FD7" w14:textId="77777777" w:rsidTr="00DB72C3">
        <w:tc>
          <w:tcPr>
            <w:tcW w:w="0" w:type="auto"/>
            <w:shd w:val="clear" w:color="auto" w:fill="auto"/>
            <w:hideMark/>
          </w:tcPr>
          <w:p w14:paraId="51C2AE3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(84)</w:t>
            </w:r>
          </w:p>
        </w:tc>
        <w:tc>
          <w:tcPr>
            <w:tcW w:w="0" w:type="auto"/>
            <w:shd w:val="clear" w:color="auto" w:fill="auto"/>
            <w:hideMark/>
          </w:tcPr>
          <w:p w14:paraId="34A274B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facilitate communication with the Lead Overseer and to ensure adequate representation, critical ICT third-party service providers which are part of a group should designate one legal person as their coordination point.</w:t>
            </w:r>
          </w:p>
        </w:tc>
      </w:tr>
    </w:tbl>
    <w:p w14:paraId="37265E0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6D1DCDD" w14:textId="77777777" w:rsidTr="00DB72C3">
        <w:tc>
          <w:tcPr>
            <w:tcW w:w="0" w:type="auto"/>
            <w:shd w:val="clear" w:color="auto" w:fill="auto"/>
            <w:hideMark/>
          </w:tcPr>
          <w:p w14:paraId="55F169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(85)</w:t>
            </w:r>
          </w:p>
        </w:tc>
        <w:tc>
          <w:tcPr>
            <w:tcW w:w="0" w:type="auto"/>
            <w:shd w:val="clear" w:color="auto" w:fill="auto"/>
            <w:hideMark/>
          </w:tcPr>
          <w:p w14:paraId="2979F5A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Oversight Framework should be without prejudice to Member States’ competence to conduct their own oversight or monitoring missions in respect to ICT third-party service providers which are not designated as critical under this Regulation, but which are regarded as important at national level.</w:t>
            </w:r>
          </w:p>
        </w:tc>
      </w:tr>
      <w:tr w:rsidR="00DB72C3" w:rsidRPr="00DB72C3" w14:paraId="5A1EC6A4" w14:textId="77777777" w:rsidTr="00DB72C3">
        <w:tc>
          <w:tcPr>
            <w:tcW w:w="0" w:type="auto"/>
            <w:shd w:val="clear" w:color="auto" w:fill="auto"/>
            <w:hideMark/>
          </w:tcPr>
          <w:p w14:paraId="7C12D1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(86)</w:t>
            </w:r>
          </w:p>
        </w:tc>
        <w:tc>
          <w:tcPr>
            <w:tcW w:w="0" w:type="auto"/>
            <w:shd w:val="clear" w:color="auto" w:fill="auto"/>
            <w:hideMark/>
          </w:tcPr>
          <w:p w14:paraId="790BF0B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leverage the multi-layered institutional architecture in the financial services area, the Joint Committee of the ESAs should continue to ensure overall cross-sectoral coordination in relation to all matters pertaining to ICT risk, in accordance with its tasks on cybersecurity. It should be supported by a new Subcommittee (the ‘Oversight Forum’) carrying out preparatory work both for the individual decisions addressed to critical ICT third-party service providers, and for the issuing of collective recommendations, in particular in relation to benchmarking the oversight </w:t>
            </w:r>
            <w:proofErr w:type="spellStart"/>
            <w:r w:rsidRPr="00DB72C3">
              <w:rPr>
                <w:rFonts w:ascii="Times New Roman" w:eastAsia="Times New Roman" w:hAnsi="Times New Roman" w:cs="Times New Roman"/>
                <w:sz w:val="24"/>
                <w:szCs w:val="24"/>
              </w:rPr>
              <w:t>programmes</w:t>
            </w:r>
            <w:proofErr w:type="spellEnd"/>
            <w:r w:rsidRPr="00DB72C3">
              <w:rPr>
                <w:rFonts w:ascii="Times New Roman" w:eastAsia="Times New Roman" w:hAnsi="Times New Roman" w:cs="Times New Roman"/>
                <w:sz w:val="24"/>
                <w:szCs w:val="24"/>
              </w:rPr>
              <w:t xml:space="preserve"> for critical ICT third-party service providers, and identifying best practices for addressing ICT concentration risk issues.</w:t>
            </w:r>
          </w:p>
        </w:tc>
      </w:tr>
    </w:tbl>
    <w:p w14:paraId="69B76EE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CE01168" w14:textId="77777777" w:rsidTr="00DB72C3">
        <w:tc>
          <w:tcPr>
            <w:tcW w:w="0" w:type="auto"/>
            <w:shd w:val="clear" w:color="auto" w:fill="auto"/>
            <w:hideMark/>
          </w:tcPr>
          <w:p w14:paraId="3D2647E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(87)</w:t>
            </w:r>
          </w:p>
        </w:tc>
        <w:tc>
          <w:tcPr>
            <w:tcW w:w="0" w:type="auto"/>
            <w:shd w:val="clear" w:color="auto" w:fill="auto"/>
            <w:hideMark/>
          </w:tcPr>
          <w:p w14:paraId="00A1DE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ensure that critical ICT third-party service providers are appropriately and effectively overseen on a Union level, this Regulation provides that any of the three ESAs could be designated as a Lead Overseer. The individual assignment of a critical ICT third-party service provider to one of the three ESAs should result from an assessment of the preponderance of </w:t>
            </w:r>
            <w:r w:rsidRPr="00DB72C3">
              <w:rPr>
                <w:rFonts w:ascii="Times New Roman" w:eastAsia="Times New Roman" w:hAnsi="Times New Roman" w:cs="Times New Roman"/>
                <w:sz w:val="24"/>
                <w:szCs w:val="24"/>
              </w:rPr>
              <w:lastRenderedPageBreak/>
              <w:t>financial entities operating in the financial sectors for which that ESA has responsibilities. This approach should lead to a balanced allocation of tasks and responsibilities between the three ESAs, in the context of exercising the oversight functions, and should make the best use of the human resources and technical expertise available in each of the three ESAs.</w:t>
            </w:r>
          </w:p>
        </w:tc>
      </w:tr>
      <w:tr w:rsidR="00DB72C3" w:rsidRPr="00DB72C3" w14:paraId="3E63DA11" w14:textId="77777777" w:rsidTr="00DB72C3">
        <w:tc>
          <w:tcPr>
            <w:tcW w:w="0" w:type="auto"/>
            <w:shd w:val="clear" w:color="auto" w:fill="auto"/>
            <w:hideMark/>
          </w:tcPr>
          <w:p w14:paraId="1B08B9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(88)</w:t>
            </w:r>
          </w:p>
        </w:tc>
        <w:tc>
          <w:tcPr>
            <w:tcW w:w="0" w:type="auto"/>
            <w:shd w:val="clear" w:color="auto" w:fill="auto"/>
            <w:hideMark/>
          </w:tcPr>
          <w:p w14:paraId="38D42A3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Lead Overseers should be granted the necessary powers to conduct investigations, to carry out onsite and offsite inspections at the premises and locations of critical ICT third-party service providers and to obtain complete and updated information. Those powers should enable the Lead Overseer to acquire real insight into the type, dimension and impact of the ICT third-party risk posed to financial entities and ultimately to the Union’s financial system. Entrusting the ESAs with the lead oversight role is a prerequisite for understanding and addressing the systemic dimension of ICT risk in finance. The impact of critical ICT third-party service providers on the Union financial sector and the potential issues caused by the ICT concentration risk entailed call for taking a collective approach at Union level. The simultaneous carrying out of multiple audits and access rights, performed separately by numerous competent authorities, with little or no coordination among them, would prevent financial supervisors from obtaining a complete and comprehensive overview of ICT third-party risk in the Union, while also creating redundancy, burden and complexity for critical ICT third-party service providers if they were subject to numerous monitoring and inspection requests.</w:t>
            </w:r>
          </w:p>
        </w:tc>
      </w:tr>
    </w:tbl>
    <w:p w14:paraId="17B19B7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E6ABD02" w14:textId="77777777" w:rsidTr="00DB72C3">
        <w:tc>
          <w:tcPr>
            <w:tcW w:w="0" w:type="auto"/>
            <w:shd w:val="clear" w:color="auto" w:fill="auto"/>
            <w:hideMark/>
          </w:tcPr>
          <w:p w14:paraId="13A5DD2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(89)</w:t>
            </w:r>
          </w:p>
        </w:tc>
        <w:tc>
          <w:tcPr>
            <w:tcW w:w="0" w:type="auto"/>
            <w:shd w:val="clear" w:color="auto" w:fill="auto"/>
            <w:hideMark/>
          </w:tcPr>
          <w:p w14:paraId="5D22E2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Due to the significant impact of being designated as critical, this Regulation should ensure that the rights of critical ICT third-party service providers are observed throughout the implementation of the Oversight Framework. Prior to being designated as critical, such providers should, for example, have the right to submit to the Lead Overseer a reasoned statement containing any relevant information for the purposes of the assessment related to their designation. Since the Lead Overseer should be empowered to submit recommendations on ICT risk matters and suitable remedies thereto, which include the power to oppose certain contractual arrangements ultimately affecting the stability of the financial entity or the financial system, critical ICT third-party service providers should also be given the opportunity to provide, prior to the </w:t>
            </w:r>
            <w:proofErr w:type="spellStart"/>
            <w:r w:rsidRPr="00DB72C3">
              <w:rPr>
                <w:rFonts w:ascii="Times New Roman" w:eastAsia="Times New Roman" w:hAnsi="Times New Roman" w:cs="Times New Roman"/>
                <w:sz w:val="24"/>
                <w:szCs w:val="24"/>
              </w:rPr>
              <w:t>finalisation</w:t>
            </w:r>
            <w:proofErr w:type="spellEnd"/>
            <w:r w:rsidRPr="00DB72C3">
              <w:rPr>
                <w:rFonts w:ascii="Times New Roman" w:eastAsia="Times New Roman" w:hAnsi="Times New Roman" w:cs="Times New Roman"/>
                <w:sz w:val="24"/>
                <w:szCs w:val="24"/>
              </w:rPr>
              <w:t xml:space="preserve"> of those recommendations, explanations regarding the expected impact of the solutions, envisaged in the recommendations, on customers that are entities falling outside the scope of this Regulation and to formulate solutions to mitigate risks. Critical ICT third-party service providers disagreeing with the recommendations should submit a reasoned explanation of their intention not to endorse the recommendation. Where such reasoned explanation is not submitted or where it is considered to be insufficient, the Lead Overseer should issue a public notice summarily describing the matter of non-compliance.</w:t>
            </w:r>
          </w:p>
        </w:tc>
      </w:tr>
      <w:tr w:rsidR="00DB72C3" w:rsidRPr="00DB72C3" w14:paraId="0F7CA7BF" w14:textId="77777777" w:rsidTr="00DB72C3">
        <w:tc>
          <w:tcPr>
            <w:tcW w:w="0" w:type="auto"/>
            <w:shd w:val="clear" w:color="auto" w:fill="auto"/>
            <w:hideMark/>
          </w:tcPr>
          <w:p w14:paraId="7FE1B8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(90)</w:t>
            </w:r>
          </w:p>
        </w:tc>
        <w:tc>
          <w:tcPr>
            <w:tcW w:w="0" w:type="auto"/>
            <w:shd w:val="clear" w:color="auto" w:fill="auto"/>
            <w:hideMark/>
          </w:tcPr>
          <w:p w14:paraId="1180A6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Competent authorities should duly include the task of verifying substantive compliance with recommendations issued by the Lead Overseer in their functions with regard to prudential supervision of financial entities. Competent authorities should be able to require financial entities to take additional measures to address the risks identified in the Lead Overseer’s </w:t>
            </w:r>
            <w:r w:rsidRPr="00DB72C3">
              <w:rPr>
                <w:rFonts w:ascii="Times New Roman" w:eastAsia="Times New Roman" w:hAnsi="Times New Roman" w:cs="Times New Roman"/>
                <w:sz w:val="24"/>
                <w:szCs w:val="24"/>
              </w:rPr>
              <w:lastRenderedPageBreak/>
              <w:t>recommendations, and should, in due course, issue notifications to that effect. Where the Lead Overseer addresses recommendations to critical ICT third-party service providers that are supervised under Directive (EU) 2022/2555, the competent authorities should be able, on a voluntary basis and before adopting additional measures, to consult the competent authorities under that Directive in order to foster a coordinated approach to dealing with the critical ICT third-party service providers in question.</w:t>
            </w:r>
          </w:p>
        </w:tc>
      </w:tr>
    </w:tbl>
    <w:p w14:paraId="3C3BF43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1606EC2" w14:textId="77777777" w:rsidTr="00DB72C3">
        <w:tc>
          <w:tcPr>
            <w:tcW w:w="0" w:type="auto"/>
            <w:shd w:val="clear" w:color="auto" w:fill="auto"/>
            <w:hideMark/>
          </w:tcPr>
          <w:p w14:paraId="631409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(91)</w:t>
            </w:r>
          </w:p>
        </w:tc>
        <w:tc>
          <w:tcPr>
            <w:tcW w:w="0" w:type="auto"/>
            <w:shd w:val="clear" w:color="auto" w:fill="auto"/>
            <w:hideMark/>
          </w:tcPr>
          <w:p w14:paraId="12C2AC8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exercise of the oversight should be guided by three operational principles seeking to ensure: (a) close coordination among the ESAs in their Lead Overseer roles, through a joint oversight network (JON), (b) consistency with the framework established by Directive (EU) 2022/2555 (through a voluntary consultation of bodies under that Directive to avoid duplication of measures directed at critical ICT third-party service providers), and (c) applying diligence to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 potential risk of disruption to services provided by the critical ICT third-party service providers to customers that are entities falling outside the scope of this Regulation.</w:t>
            </w:r>
          </w:p>
        </w:tc>
      </w:tr>
      <w:tr w:rsidR="00DB72C3" w:rsidRPr="00DB72C3" w14:paraId="464E8EFA" w14:textId="77777777" w:rsidTr="00DB72C3">
        <w:tc>
          <w:tcPr>
            <w:tcW w:w="0" w:type="auto"/>
            <w:shd w:val="clear" w:color="auto" w:fill="auto"/>
            <w:hideMark/>
          </w:tcPr>
          <w:p w14:paraId="7B85F4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(92)</w:t>
            </w:r>
          </w:p>
        </w:tc>
        <w:tc>
          <w:tcPr>
            <w:tcW w:w="0" w:type="auto"/>
            <w:shd w:val="clear" w:color="auto" w:fill="auto"/>
            <w:hideMark/>
          </w:tcPr>
          <w:p w14:paraId="5D028FA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Oversight Framework should not replace, or in any way or for any part substitute for, the requirement for financial entities to manage themselves the risks entailed by the use of ICT third-party service providers, including their obligation to maintain an ongoing monitoring of contractual arrangements concluded with critical ICT third-party service providers. Similarly, the Oversight Framework should not affect the full responsibility of financial entities for complying with, and discharging, all the legal obligations laid down in this Regulation and in the relevant financial services law.</w:t>
            </w:r>
          </w:p>
        </w:tc>
      </w:tr>
    </w:tbl>
    <w:p w14:paraId="4ECFF05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F302F0E" w14:textId="77777777" w:rsidTr="00DB72C3">
        <w:tc>
          <w:tcPr>
            <w:tcW w:w="0" w:type="auto"/>
            <w:shd w:val="clear" w:color="auto" w:fill="auto"/>
            <w:hideMark/>
          </w:tcPr>
          <w:p w14:paraId="1A4382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(93)</w:t>
            </w:r>
          </w:p>
        </w:tc>
        <w:tc>
          <w:tcPr>
            <w:tcW w:w="0" w:type="auto"/>
            <w:shd w:val="clear" w:color="auto" w:fill="auto"/>
            <w:hideMark/>
          </w:tcPr>
          <w:p w14:paraId="2AEDC8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avoid duplications and overlaps, competent authorities should refrain from taking individually any measures aiming to monitor the critical ICT third-party service provider’s risks and should, in that respect, rely on the relevant Lead Overseer’s assessment. Any measures should in any case be coordinated and agreed in advance with the Lead Overseer in the context of the exercise of tasks in the Oversight Framework.</w:t>
            </w:r>
          </w:p>
        </w:tc>
      </w:tr>
      <w:tr w:rsidR="00DB72C3" w:rsidRPr="00DB72C3" w14:paraId="50CBB2C0" w14:textId="77777777" w:rsidTr="00DB72C3">
        <w:tc>
          <w:tcPr>
            <w:tcW w:w="0" w:type="auto"/>
            <w:shd w:val="clear" w:color="auto" w:fill="auto"/>
            <w:hideMark/>
          </w:tcPr>
          <w:p w14:paraId="768A244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(94)</w:t>
            </w:r>
          </w:p>
        </w:tc>
        <w:tc>
          <w:tcPr>
            <w:tcW w:w="0" w:type="auto"/>
            <w:shd w:val="clear" w:color="auto" w:fill="auto"/>
            <w:hideMark/>
          </w:tcPr>
          <w:p w14:paraId="2C9E526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promote convergence at international level as regards the use of best practices in the review and monitoring of ICT third-party service providers’ digital risk-management, the ESAs should be encouraged to conclude cooperation arrangements with relevant supervisory and regulatory third-country authorities.</w:t>
            </w:r>
          </w:p>
        </w:tc>
      </w:tr>
    </w:tbl>
    <w:p w14:paraId="3195433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2B40251" w14:textId="77777777" w:rsidTr="00DB72C3">
        <w:tc>
          <w:tcPr>
            <w:tcW w:w="0" w:type="auto"/>
            <w:shd w:val="clear" w:color="auto" w:fill="auto"/>
            <w:hideMark/>
          </w:tcPr>
          <w:p w14:paraId="4640A2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(95)</w:t>
            </w:r>
          </w:p>
        </w:tc>
        <w:tc>
          <w:tcPr>
            <w:tcW w:w="0" w:type="auto"/>
            <w:shd w:val="clear" w:color="auto" w:fill="auto"/>
            <w:hideMark/>
          </w:tcPr>
          <w:p w14:paraId="38A7A6B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leverage the specific competences, technical skills and expertise of staff </w:t>
            </w:r>
            <w:proofErr w:type="spellStart"/>
            <w:r w:rsidRPr="00DB72C3">
              <w:rPr>
                <w:rFonts w:ascii="Times New Roman" w:eastAsia="Times New Roman" w:hAnsi="Times New Roman" w:cs="Times New Roman"/>
                <w:sz w:val="24"/>
                <w:szCs w:val="24"/>
              </w:rPr>
              <w:t>specialising</w:t>
            </w:r>
            <w:proofErr w:type="spellEnd"/>
            <w:r w:rsidRPr="00DB72C3">
              <w:rPr>
                <w:rFonts w:ascii="Times New Roman" w:eastAsia="Times New Roman" w:hAnsi="Times New Roman" w:cs="Times New Roman"/>
                <w:sz w:val="24"/>
                <w:szCs w:val="24"/>
              </w:rPr>
              <w:t xml:space="preserve"> in operational and ICT risk within the competent authorities, the three ESAs and, on a voluntary basis, the competent authorities under Directive (EU) 2022/2555, the Lead Overseer should draw on national supervisory capabilities and knowledge and set up dedicated examination teams for each critical ICT third-party service provider, pooling multidisciplinary teams in support of the preparation and execution of oversight activities, including general investigations and inspections of critical ICT third-party service providers, as well as for any necessary follow-up thereto.</w:t>
            </w:r>
          </w:p>
        </w:tc>
      </w:tr>
      <w:tr w:rsidR="00DB72C3" w:rsidRPr="00DB72C3" w14:paraId="00C11ADE" w14:textId="77777777" w:rsidTr="00DB72C3">
        <w:tc>
          <w:tcPr>
            <w:tcW w:w="0" w:type="auto"/>
            <w:shd w:val="clear" w:color="auto" w:fill="auto"/>
            <w:hideMark/>
          </w:tcPr>
          <w:p w14:paraId="1EC9A1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(96)</w:t>
            </w:r>
          </w:p>
        </w:tc>
        <w:tc>
          <w:tcPr>
            <w:tcW w:w="0" w:type="auto"/>
            <w:shd w:val="clear" w:color="auto" w:fill="auto"/>
            <w:hideMark/>
          </w:tcPr>
          <w:p w14:paraId="3849C2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Whereas costs resulting from oversight tasks would be fully funded from fees levied on critical ICT third-party service providers, the ESAs are. however, likely to incur, before the start of the Oversight Framework, costs for the implementation of dedicated ICT systems supporting the upcoming oversight, since dedicated ICT systems would need to be developed and deployed beforehand. This Regulation therefore provides for a hybrid funding model, whereby the Oversight Framework would, as such, be fully fee-funded, while the development of the ESAs’ ICT systems would be funded from Union and national competent authorities’ contributions.</w:t>
            </w:r>
          </w:p>
        </w:tc>
      </w:tr>
    </w:tbl>
    <w:p w14:paraId="0B30655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80D7D70" w14:textId="77777777" w:rsidTr="00DB72C3">
        <w:tc>
          <w:tcPr>
            <w:tcW w:w="0" w:type="auto"/>
            <w:shd w:val="clear" w:color="auto" w:fill="auto"/>
            <w:hideMark/>
          </w:tcPr>
          <w:p w14:paraId="5AAC27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(97)</w:t>
            </w:r>
          </w:p>
        </w:tc>
        <w:tc>
          <w:tcPr>
            <w:tcW w:w="0" w:type="auto"/>
            <w:shd w:val="clear" w:color="auto" w:fill="auto"/>
            <w:hideMark/>
          </w:tcPr>
          <w:p w14:paraId="1977128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Competent authorities should have all required supervisory, investigative and sanctioning powers to ensure the proper exercise of their duties under this Regulation. They should, in principle, publish notices of the administrative penalties they impose. Since financial entities and ICT third-party service providers can be established in different Member States and supervised by different competent authorities, the application of this Regulation should be facilitated by, on the one hand, close cooperation among relevant competent authorities, including the ECB with regard to specific tasks conferred on it by Council Regulation (EU) No 1024/2013, and, on the other hand, by consultation with the ESAs through the mutual exchange of information and the provision of assistance in the context of relevant supervisory activities.</w:t>
            </w:r>
          </w:p>
        </w:tc>
      </w:tr>
      <w:tr w:rsidR="00DB72C3" w:rsidRPr="00DB72C3" w14:paraId="324EA6BB" w14:textId="77777777" w:rsidTr="00DB72C3">
        <w:tc>
          <w:tcPr>
            <w:tcW w:w="0" w:type="auto"/>
            <w:shd w:val="clear" w:color="auto" w:fill="auto"/>
            <w:hideMark/>
          </w:tcPr>
          <w:p w14:paraId="0891E9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(98)</w:t>
            </w:r>
          </w:p>
        </w:tc>
        <w:tc>
          <w:tcPr>
            <w:tcW w:w="0" w:type="auto"/>
            <w:shd w:val="clear" w:color="auto" w:fill="auto"/>
            <w:hideMark/>
          </w:tcPr>
          <w:p w14:paraId="60B246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In order to further quantify and qualify the criteria for the designation of ICT third-party service providers as critical and to </w:t>
            </w:r>
            <w:proofErr w:type="spellStart"/>
            <w:r w:rsidRPr="00DB72C3">
              <w:rPr>
                <w:rFonts w:ascii="Times New Roman" w:eastAsia="Times New Roman" w:hAnsi="Times New Roman" w:cs="Times New Roman"/>
                <w:sz w:val="24"/>
                <w:szCs w:val="24"/>
              </w:rPr>
              <w:t>harmonise</w:t>
            </w:r>
            <w:proofErr w:type="spellEnd"/>
            <w:r w:rsidRPr="00DB72C3">
              <w:rPr>
                <w:rFonts w:ascii="Times New Roman" w:eastAsia="Times New Roman" w:hAnsi="Times New Roman" w:cs="Times New Roman"/>
                <w:sz w:val="24"/>
                <w:szCs w:val="24"/>
              </w:rPr>
              <w:t xml:space="preserve"> oversight fees, the power to adopt acts in accordance with Article 290 TFEU should be delegated to the Commission to supplement this Regulation by further specifying the systemic impact that a failure or operational outage of an ICT third-party service provider could have on the financial entities it provides ICT services to, the number of global systemically important institutions (G-SIIs), or other systemically important institutions (O-SIIs), that rely on the ICT third-party service provider in question, the number of ICT third-party service providers active on a given market, the costs of migrating data and ICT workloads to other ICT third-party service providers, as well as the amount of the oversight fees and the way in which they are to be paid.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 </w:t>
            </w:r>
            <w:hyperlink r:id="rId25" w:anchor="ntr22-L_2022333EN.01000101-E0022"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22</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In particular, to ensure equal participation in the preparation of delegated acts, the European Parliament and the Council should receive all documents at the same time as Member States’ experts, and their experts should systematically have access to meetings of Commission expert groups dealing with the preparation of delegated acts.</w:t>
            </w:r>
          </w:p>
        </w:tc>
      </w:tr>
    </w:tbl>
    <w:p w14:paraId="0E5F10C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20"/>
        <w:gridCol w:w="8840"/>
      </w:tblGrid>
      <w:tr w:rsidR="00DB72C3" w:rsidRPr="00DB72C3" w14:paraId="7FA09225" w14:textId="77777777" w:rsidTr="00DB72C3">
        <w:tc>
          <w:tcPr>
            <w:tcW w:w="0" w:type="auto"/>
            <w:shd w:val="clear" w:color="auto" w:fill="auto"/>
            <w:hideMark/>
          </w:tcPr>
          <w:p w14:paraId="701368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(99)</w:t>
            </w:r>
          </w:p>
        </w:tc>
        <w:tc>
          <w:tcPr>
            <w:tcW w:w="0" w:type="auto"/>
            <w:shd w:val="clear" w:color="auto" w:fill="auto"/>
            <w:hideMark/>
          </w:tcPr>
          <w:p w14:paraId="33A297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Regulatory technical standards should ensure the consistent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of the requirements laid down in this Regulation. In their roles as bodies endowed with highly </w:t>
            </w:r>
            <w:proofErr w:type="spellStart"/>
            <w:r w:rsidRPr="00DB72C3">
              <w:rPr>
                <w:rFonts w:ascii="Times New Roman" w:eastAsia="Times New Roman" w:hAnsi="Times New Roman" w:cs="Times New Roman"/>
                <w:sz w:val="24"/>
                <w:szCs w:val="24"/>
              </w:rPr>
              <w:t>specialised</w:t>
            </w:r>
            <w:proofErr w:type="spellEnd"/>
            <w:r w:rsidRPr="00DB72C3">
              <w:rPr>
                <w:rFonts w:ascii="Times New Roman" w:eastAsia="Times New Roman" w:hAnsi="Times New Roman" w:cs="Times New Roman"/>
                <w:sz w:val="24"/>
                <w:szCs w:val="24"/>
              </w:rPr>
              <w:t xml:space="preserve"> expertise, the ESAs should develop draft regulatory technical standards which do not involve policy choices, for submission to the Commission. Regulatory technical </w:t>
            </w:r>
            <w:r w:rsidRPr="00DB72C3">
              <w:rPr>
                <w:rFonts w:ascii="Times New Roman" w:eastAsia="Times New Roman" w:hAnsi="Times New Roman" w:cs="Times New Roman"/>
                <w:sz w:val="24"/>
                <w:szCs w:val="24"/>
              </w:rPr>
              <w:lastRenderedPageBreak/>
              <w:t>standards should be developed in the areas of ICT risk management, major ICT-related incident reporting, testing, as well as in relation to key requirements for a sound monitoring of ICT third-party risk. The Commission and the ESAs should ensure that those standards and requirements can be applied by all financial entities in a manner that is proportionate to their size and overall risk profile, and the nature, scale and complexity of their services, activities and operations. The Commission should be empowered to adopt those regulatory technical standards by means of delegated acts pursuant to Article 290 TFEU and in accordance with Articles 10 to 14 of Regulations (EU) No 1093/2010, (EU) No 1094/2010 and (EU) No 1095/2010.</w:t>
            </w:r>
          </w:p>
        </w:tc>
      </w:tr>
      <w:tr w:rsidR="00DB72C3" w:rsidRPr="00DB72C3" w14:paraId="6E6D44F3" w14:textId="77777777" w:rsidTr="00DB72C3">
        <w:tc>
          <w:tcPr>
            <w:tcW w:w="0" w:type="auto"/>
            <w:shd w:val="clear" w:color="auto" w:fill="auto"/>
            <w:hideMark/>
          </w:tcPr>
          <w:p w14:paraId="4E13834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(100)</w:t>
            </w:r>
          </w:p>
        </w:tc>
        <w:tc>
          <w:tcPr>
            <w:tcW w:w="0" w:type="auto"/>
            <w:shd w:val="clear" w:color="auto" w:fill="auto"/>
            <w:hideMark/>
          </w:tcPr>
          <w:p w14:paraId="5DA06C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To facilitate the comparability of reports on major ICT-related incidents and major operational or security payment-related incidents, as well as to ensure transparency regarding contractual arrangements for the use of ICT services provided by ICT third-party service providers, the ESAs should develop draft implementing technical standards establishing </w:t>
            </w:r>
            <w:proofErr w:type="spellStart"/>
            <w:r w:rsidRPr="00DB72C3">
              <w:rPr>
                <w:rFonts w:ascii="Times New Roman" w:eastAsia="Times New Roman" w:hAnsi="Times New Roman" w:cs="Times New Roman"/>
                <w:sz w:val="24"/>
                <w:szCs w:val="24"/>
              </w:rPr>
              <w:t>standardised</w:t>
            </w:r>
            <w:proofErr w:type="spellEnd"/>
            <w:r w:rsidRPr="00DB72C3">
              <w:rPr>
                <w:rFonts w:ascii="Times New Roman" w:eastAsia="Times New Roman" w:hAnsi="Times New Roman" w:cs="Times New Roman"/>
                <w:sz w:val="24"/>
                <w:szCs w:val="24"/>
              </w:rPr>
              <w:t xml:space="preserve"> templates, forms and procedures for financial entities to report a major ICT-related incident and a major operational or security payment-related incident, as well as </w:t>
            </w:r>
            <w:proofErr w:type="spellStart"/>
            <w:r w:rsidRPr="00DB72C3">
              <w:rPr>
                <w:rFonts w:ascii="Times New Roman" w:eastAsia="Times New Roman" w:hAnsi="Times New Roman" w:cs="Times New Roman"/>
                <w:sz w:val="24"/>
                <w:szCs w:val="24"/>
              </w:rPr>
              <w:t>standardised</w:t>
            </w:r>
            <w:proofErr w:type="spellEnd"/>
            <w:r w:rsidRPr="00DB72C3">
              <w:rPr>
                <w:rFonts w:ascii="Times New Roman" w:eastAsia="Times New Roman" w:hAnsi="Times New Roman" w:cs="Times New Roman"/>
                <w:sz w:val="24"/>
                <w:szCs w:val="24"/>
              </w:rPr>
              <w:t xml:space="preserve"> templates for the register of information. When developing those standards, the ESAs should take into account the size and the overall risk profile of the financial entity, and the nature, scale and complexity of its services, activities and operations. The Commission should be empowered to adopt those implementing technical standards by means of implementing acts pursuant to Article 291 TFEU and in accordance with Article 15 of Regulations (EU) No 1093/2010, (EU) No 1094/2010 and (EU) No 1095/2010.</w:t>
            </w:r>
          </w:p>
        </w:tc>
      </w:tr>
    </w:tbl>
    <w:p w14:paraId="70FB21E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20"/>
        <w:gridCol w:w="8840"/>
      </w:tblGrid>
      <w:tr w:rsidR="00DB72C3" w:rsidRPr="00DB72C3" w14:paraId="24459F2B" w14:textId="77777777" w:rsidTr="00DB72C3">
        <w:tc>
          <w:tcPr>
            <w:tcW w:w="0" w:type="auto"/>
            <w:shd w:val="clear" w:color="auto" w:fill="auto"/>
            <w:hideMark/>
          </w:tcPr>
          <w:p w14:paraId="6D5160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(101)</w:t>
            </w:r>
          </w:p>
        </w:tc>
        <w:tc>
          <w:tcPr>
            <w:tcW w:w="0" w:type="auto"/>
            <w:shd w:val="clear" w:color="auto" w:fill="auto"/>
            <w:hideMark/>
          </w:tcPr>
          <w:p w14:paraId="65EF31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Since further requirements have already been specified through delegated and implementing acts based on technical regulatory and implementing technical standards in Regulations (EC) No 1060/2009 </w:t>
            </w:r>
            <w:hyperlink r:id="rId26" w:anchor="ntr23-L_2022333EN.01000101-E0023"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23</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(EU) No 648/2012 </w:t>
            </w:r>
            <w:hyperlink r:id="rId27" w:anchor="ntr24-L_2022333EN.01000101-E0024"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24</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(EU) No 600/2014 </w:t>
            </w:r>
            <w:hyperlink r:id="rId28" w:anchor="ntr25-L_2022333EN.01000101-E0025"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25</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and (EU) No 909/2014 </w:t>
            </w:r>
            <w:hyperlink r:id="rId29" w:anchor="ntr26-L_2022333EN.01000101-E0026"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26</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of the European Parliament and of the Council, it is appropriate to mandate the ESAs, either individually or jointly through the Joint Committee, to submit regulatory and implementing technical standards to the Commission for adoption of delegated and implementing acts carrying over and updating existing ICT risk management rules.</w:t>
            </w:r>
          </w:p>
        </w:tc>
      </w:tr>
      <w:tr w:rsidR="00DB72C3" w:rsidRPr="00DB72C3" w14:paraId="0711E3D8" w14:textId="77777777" w:rsidTr="00DB72C3">
        <w:tc>
          <w:tcPr>
            <w:tcW w:w="0" w:type="auto"/>
            <w:shd w:val="clear" w:color="auto" w:fill="auto"/>
            <w:hideMark/>
          </w:tcPr>
          <w:p w14:paraId="1DF7FB0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(102)</w:t>
            </w:r>
          </w:p>
        </w:tc>
        <w:tc>
          <w:tcPr>
            <w:tcW w:w="0" w:type="auto"/>
            <w:shd w:val="clear" w:color="auto" w:fill="auto"/>
            <w:hideMark/>
          </w:tcPr>
          <w:p w14:paraId="4D6718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Since this Regulation, together with Directive (EU) 2022/2556 of the European Parliament and of the Council </w:t>
            </w:r>
            <w:hyperlink r:id="rId30" w:anchor="ntr27-L_2022333EN.01000101-E0027"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27</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entails a consolidation of the ICT risk management provisions across multiple regulations and directives of the Union’s financial services </w:t>
            </w:r>
            <w:r w:rsidRPr="00DB72C3">
              <w:rPr>
                <w:rFonts w:ascii="Times New Roman" w:eastAsia="Times New Roman" w:hAnsi="Times New Roman" w:cs="Times New Roman"/>
                <w:i/>
                <w:iCs/>
                <w:sz w:val="24"/>
                <w:szCs w:val="24"/>
              </w:rPr>
              <w:t>acquis</w:t>
            </w:r>
            <w:r w:rsidRPr="00DB72C3">
              <w:rPr>
                <w:rFonts w:ascii="Times New Roman" w:eastAsia="Times New Roman" w:hAnsi="Times New Roman" w:cs="Times New Roman"/>
                <w:sz w:val="24"/>
                <w:szCs w:val="24"/>
              </w:rPr>
              <w:t>, including Regulations (EC) No 1060/2009, (EU) No 648/2012, (EU) No 600/2014 and (EU) No 909/2014, and Regulation (EU) 2016/1011 of the European Parliament and of the Council </w:t>
            </w:r>
            <w:hyperlink r:id="rId31" w:anchor="ntr28-L_2022333EN.01000101-E0028"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28</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in order to ensure full consistency, those Regulations should be amended to clarify that the applicable ICT risk-related provisions are laid down in this Regulation.</w:t>
            </w:r>
          </w:p>
        </w:tc>
      </w:tr>
    </w:tbl>
    <w:p w14:paraId="545E8F6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20"/>
        <w:gridCol w:w="8840"/>
      </w:tblGrid>
      <w:tr w:rsidR="00DB72C3" w:rsidRPr="00DB72C3" w14:paraId="2A1BE9C4" w14:textId="77777777" w:rsidTr="00DB72C3">
        <w:tc>
          <w:tcPr>
            <w:tcW w:w="0" w:type="auto"/>
            <w:shd w:val="clear" w:color="auto" w:fill="auto"/>
            <w:hideMark/>
          </w:tcPr>
          <w:p w14:paraId="4AAFB2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(103)</w:t>
            </w:r>
          </w:p>
        </w:tc>
        <w:tc>
          <w:tcPr>
            <w:tcW w:w="0" w:type="auto"/>
            <w:shd w:val="clear" w:color="auto" w:fill="auto"/>
            <w:hideMark/>
          </w:tcPr>
          <w:p w14:paraId="515E4F7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Consequently, the scope of the relevant articles related to operational risk, upon which empowerments laid down in Regulations (EC) No 1060/2009, (EU) No 648/2012, (EU) No 600/2014, (EU) No 909/2014, and (EU) 2016/1011 had mandated the adoption of delegated and implementing acts, should be narrowed down with a view to carry over into </w:t>
            </w:r>
            <w:r w:rsidRPr="00DB72C3">
              <w:rPr>
                <w:rFonts w:ascii="Times New Roman" w:eastAsia="Times New Roman" w:hAnsi="Times New Roman" w:cs="Times New Roman"/>
                <w:sz w:val="24"/>
                <w:szCs w:val="24"/>
              </w:rPr>
              <w:lastRenderedPageBreak/>
              <w:t>this Regulation all provisions covering the digital operational resilience aspects which today are part of those Regulations.</w:t>
            </w:r>
          </w:p>
        </w:tc>
      </w:tr>
      <w:tr w:rsidR="00DB72C3" w:rsidRPr="00DB72C3" w14:paraId="0F05952A" w14:textId="77777777" w:rsidTr="00DB72C3">
        <w:tc>
          <w:tcPr>
            <w:tcW w:w="0" w:type="auto"/>
            <w:shd w:val="clear" w:color="auto" w:fill="auto"/>
            <w:hideMark/>
          </w:tcPr>
          <w:p w14:paraId="0BE3D40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(104)</w:t>
            </w:r>
          </w:p>
        </w:tc>
        <w:tc>
          <w:tcPr>
            <w:tcW w:w="0" w:type="auto"/>
            <w:shd w:val="clear" w:color="auto" w:fill="auto"/>
            <w:hideMark/>
          </w:tcPr>
          <w:p w14:paraId="3E48EE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potential systemic cyber risk associated with the use of ICT infrastructures that enable the operation of payment systems and the provision of payment processing activities should be duly addressed at Union level through </w:t>
            </w:r>
            <w:proofErr w:type="spellStart"/>
            <w:r w:rsidRPr="00DB72C3">
              <w:rPr>
                <w:rFonts w:ascii="Times New Roman" w:eastAsia="Times New Roman" w:hAnsi="Times New Roman" w:cs="Times New Roman"/>
                <w:sz w:val="24"/>
                <w:szCs w:val="24"/>
              </w:rPr>
              <w:t>harmonised</w:t>
            </w:r>
            <w:proofErr w:type="spellEnd"/>
            <w:r w:rsidRPr="00DB72C3">
              <w:rPr>
                <w:rFonts w:ascii="Times New Roman" w:eastAsia="Times New Roman" w:hAnsi="Times New Roman" w:cs="Times New Roman"/>
                <w:sz w:val="24"/>
                <w:szCs w:val="24"/>
              </w:rPr>
              <w:t xml:space="preserve"> digital resilience rules. To that effect, the Commission should swiftly assess the need for reviewing the scope of this Regulation while aligning such review with the outcome of the comprehensive review envisaged under Directive (EU) 2015/2366. Numerous large-scale attacks over the past decade demonstrate how payment systems have become exposed to cyber threats. Placed at the core of the payment services chain and showing strong interconnections with the overall financial system, payment systems and payment processing activities acquired a critical significance for the functioning of the Union financial markets. Cyber-attacks on such systems can cause severe operational business disruptions with direct repercussions on key economic functions, such as the facilitation of payments, and indirect effects on related economic processes. Until a </w:t>
            </w:r>
            <w:proofErr w:type="spellStart"/>
            <w:r w:rsidRPr="00DB72C3">
              <w:rPr>
                <w:rFonts w:ascii="Times New Roman" w:eastAsia="Times New Roman" w:hAnsi="Times New Roman" w:cs="Times New Roman"/>
                <w:sz w:val="24"/>
                <w:szCs w:val="24"/>
              </w:rPr>
              <w:t>harmonised</w:t>
            </w:r>
            <w:proofErr w:type="spellEnd"/>
            <w:r w:rsidRPr="00DB72C3">
              <w:rPr>
                <w:rFonts w:ascii="Times New Roman" w:eastAsia="Times New Roman" w:hAnsi="Times New Roman" w:cs="Times New Roman"/>
                <w:sz w:val="24"/>
                <w:szCs w:val="24"/>
              </w:rPr>
              <w:t xml:space="preserve"> regime and the supervision of operators of payment systems and processing entities are put in place at Union level, Member States may, with a view to applying similar market practices, draw inspiration from the digital operational resilience requirements laid down by this Regulation, when applying rules to operators of payment systems and processing entities supervised under their own jurisdictions.</w:t>
            </w:r>
          </w:p>
        </w:tc>
      </w:tr>
    </w:tbl>
    <w:p w14:paraId="64382EA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20"/>
        <w:gridCol w:w="8840"/>
      </w:tblGrid>
      <w:tr w:rsidR="00DB72C3" w:rsidRPr="00DB72C3" w14:paraId="2C5712A0" w14:textId="77777777" w:rsidTr="00DB72C3">
        <w:tc>
          <w:tcPr>
            <w:tcW w:w="0" w:type="auto"/>
            <w:shd w:val="clear" w:color="auto" w:fill="auto"/>
            <w:hideMark/>
          </w:tcPr>
          <w:p w14:paraId="5A62473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(105)</w:t>
            </w:r>
          </w:p>
        </w:tc>
        <w:tc>
          <w:tcPr>
            <w:tcW w:w="0" w:type="auto"/>
            <w:shd w:val="clear" w:color="auto" w:fill="auto"/>
            <w:hideMark/>
          </w:tcPr>
          <w:p w14:paraId="075393B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Since the objective of this Regulation, namely to achieve a high level of digital operational resilience for regulated financial entities, cannot be sufficiently achieved by the Member States because it requires </w:t>
            </w:r>
            <w:proofErr w:type="spellStart"/>
            <w:r w:rsidRPr="00DB72C3">
              <w:rPr>
                <w:rFonts w:ascii="Times New Roman" w:eastAsia="Times New Roman" w:hAnsi="Times New Roman" w:cs="Times New Roman"/>
                <w:sz w:val="24"/>
                <w:szCs w:val="24"/>
              </w:rPr>
              <w:t>harmonisation</w:t>
            </w:r>
            <w:proofErr w:type="spellEnd"/>
            <w:r w:rsidRPr="00DB72C3">
              <w:rPr>
                <w:rFonts w:ascii="Times New Roman" w:eastAsia="Times New Roman" w:hAnsi="Times New Roman" w:cs="Times New Roman"/>
                <w:sz w:val="24"/>
                <w:szCs w:val="24"/>
              </w:rPr>
              <w:t xml:space="preserve"> of various different rules in Union and national law, but can rather, by reason of its scale and effects,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that objective.</w:t>
            </w:r>
          </w:p>
        </w:tc>
      </w:tr>
      <w:tr w:rsidR="00DB72C3" w:rsidRPr="00DB72C3" w14:paraId="08E44058" w14:textId="77777777" w:rsidTr="00DB72C3">
        <w:tc>
          <w:tcPr>
            <w:tcW w:w="0" w:type="auto"/>
            <w:shd w:val="clear" w:color="auto" w:fill="auto"/>
            <w:hideMark/>
          </w:tcPr>
          <w:p w14:paraId="237245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(106)</w:t>
            </w:r>
          </w:p>
        </w:tc>
        <w:tc>
          <w:tcPr>
            <w:tcW w:w="0" w:type="auto"/>
            <w:shd w:val="clear" w:color="auto" w:fill="auto"/>
            <w:hideMark/>
          </w:tcPr>
          <w:p w14:paraId="71E5686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European Data Protection Supervisor was consulted in accordance with Article 42(1) of Regulation (EU) 2018/1725 of the European Parliament and of the Council </w:t>
            </w:r>
            <w:hyperlink r:id="rId32" w:anchor="ntr29-L_2022333EN.01000101-E0029"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29</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and delivered an opinion on 10 May 2021 </w:t>
            </w:r>
            <w:hyperlink r:id="rId33" w:anchor="ntr30-L_2022333EN.01000101-E0030"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30</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3785378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HAVE ADOPTED THIS REGULATION:</w:t>
      </w:r>
    </w:p>
    <w:p w14:paraId="0CAFFB6E"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I</w:t>
      </w:r>
    </w:p>
    <w:p w14:paraId="564D6614"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General provisions</w:t>
      </w:r>
    </w:p>
    <w:p w14:paraId="7251F32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w:t>
      </w:r>
    </w:p>
    <w:p w14:paraId="4CEA93A9"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Subject matter</w:t>
      </w:r>
    </w:p>
    <w:p w14:paraId="5E2F888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1.   In order to achieve a high common level of digital operational resilience, this Regulation lays down uniform requirements concerning the security of network and information systems supporting the business processes of financial entities as follows: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6D2F974" w14:textId="77777777" w:rsidTr="00DB72C3">
        <w:tc>
          <w:tcPr>
            <w:tcW w:w="0" w:type="auto"/>
            <w:shd w:val="clear" w:color="auto" w:fill="auto"/>
            <w:hideMark/>
          </w:tcPr>
          <w:p w14:paraId="609627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B7BB5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requirements applicable to financial entities in relation to:</w:t>
            </w:r>
          </w:p>
          <w:tbl>
            <w:tblPr>
              <w:tblW w:w="5000" w:type="pct"/>
              <w:tblCellMar>
                <w:left w:w="0" w:type="dxa"/>
                <w:right w:w="0" w:type="dxa"/>
              </w:tblCellMar>
              <w:tblLook w:val="04A0" w:firstRow="1" w:lastRow="0" w:firstColumn="1" w:lastColumn="0" w:noHBand="0" w:noVBand="1"/>
            </w:tblPr>
            <w:tblGrid>
              <w:gridCol w:w="302"/>
              <w:gridCol w:w="8791"/>
            </w:tblGrid>
            <w:tr w:rsidR="00DB72C3" w:rsidRPr="00DB72C3" w14:paraId="5EBB7B25" w14:textId="77777777">
              <w:tc>
                <w:tcPr>
                  <w:tcW w:w="0" w:type="auto"/>
                  <w:shd w:val="clear" w:color="auto" w:fill="auto"/>
                  <w:hideMark/>
                </w:tcPr>
                <w:p w14:paraId="53DD212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654D3A1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information and communication technology (ICT) risk management;</w:t>
                  </w:r>
                </w:p>
              </w:tc>
            </w:tr>
          </w:tbl>
          <w:p w14:paraId="59702A02"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99"/>
            </w:tblGrid>
            <w:tr w:rsidR="00DB72C3" w:rsidRPr="00DB72C3" w14:paraId="7900BBCE" w14:textId="77777777">
              <w:tc>
                <w:tcPr>
                  <w:tcW w:w="0" w:type="auto"/>
                  <w:shd w:val="clear" w:color="auto" w:fill="auto"/>
                  <w:hideMark/>
                </w:tcPr>
                <w:p w14:paraId="3F087A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434995B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reporting of major ICT-related incidents and notifying, on a voluntary basis, significant cyber threats to the competent authorities;</w:t>
                  </w:r>
                </w:p>
              </w:tc>
            </w:tr>
          </w:tbl>
          <w:p w14:paraId="2C31CE7D"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60"/>
              <w:gridCol w:w="8733"/>
            </w:tblGrid>
            <w:tr w:rsidR="00DB72C3" w:rsidRPr="00DB72C3" w14:paraId="686C5CE7" w14:textId="77777777">
              <w:tc>
                <w:tcPr>
                  <w:tcW w:w="0" w:type="auto"/>
                  <w:shd w:val="clear" w:color="auto" w:fill="auto"/>
                  <w:hideMark/>
                </w:tcPr>
                <w:p w14:paraId="0DCB66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4F2C0F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reporting of major operational or security payment-related incidents to the competent authorities by financial entities referred to in Article 2(1), points (a) to (d);</w:t>
                  </w:r>
                </w:p>
              </w:tc>
            </w:tr>
          </w:tbl>
          <w:p w14:paraId="2034E748"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820"/>
              <w:gridCol w:w="8273"/>
            </w:tblGrid>
            <w:tr w:rsidR="00DB72C3" w:rsidRPr="00DB72C3" w14:paraId="350DF7EC" w14:textId="77777777">
              <w:tc>
                <w:tcPr>
                  <w:tcW w:w="0" w:type="auto"/>
                  <w:shd w:val="clear" w:color="auto" w:fill="auto"/>
                  <w:hideMark/>
                </w:tcPr>
                <w:p w14:paraId="289975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(iv)</w:t>
                  </w:r>
                </w:p>
              </w:tc>
              <w:tc>
                <w:tcPr>
                  <w:tcW w:w="0" w:type="auto"/>
                  <w:shd w:val="clear" w:color="auto" w:fill="auto"/>
                  <w:hideMark/>
                </w:tcPr>
                <w:p w14:paraId="222D0B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digital operational resilience testing;</w:t>
                  </w:r>
                </w:p>
              </w:tc>
            </w:tr>
          </w:tbl>
          <w:p w14:paraId="73ECD86C"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09"/>
              <w:gridCol w:w="8784"/>
            </w:tblGrid>
            <w:tr w:rsidR="00DB72C3" w:rsidRPr="00DB72C3" w14:paraId="0B735994" w14:textId="77777777">
              <w:tc>
                <w:tcPr>
                  <w:tcW w:w="0" w:type="auto"/>
                  <w:shd w:val="clear" w:color="auto" w:fill="auto"/>
                  <w:hideMark/>
                </w:tcPr>
                <w:p w14:paraId="6037903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(v)</w:t>
                  </w:r>
                </w:p>
              </w:tc>
              <w:tc>
                <w:tcPr>
                  <w:tcW w:w="0" w:type="auto"/>
                  <w:shd w:val="clear" w:color="auto" w:fill="auto"/>
                  <w:hideMark/>
                </w:tcPr>
                <w:p w14:paraId="4EA42D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information and intelligence sharing in relation to cyber threats and vulnerabilities;</w:t>
                  </w:r>
                </w:p>
              </w:tc>
            </w:tr>
          </w:tbl>
          <w:p w14:paraId="63404BD2"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514"/>
              <w:gridCol w:w="8579"/>
            </w:tblGrid>
            <w:tr w:rsidR="00DB72C3" w:rsidRPr="00DB72C3" w14:paraId="43C2F535" w14:textId="77777777">
              <w:tc>
                <w:tcPr>
                  <w:tcW w:w="0" w:type="auto"/>
                  <w:shd w:val="clear" w:color="auto" w:fill="auto"/>
                  <w:hideMark/>
                </w:tcPr>
                <w:p w14:paraId="34A994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(vi)</w:t>
                  </w:r>
                </w:p>
              </w:tc>
              <w:tc>
                <w:tcPr>
                  <w:tcW w:w="0" w:type="auto"/>
                  <w:shd w:val="clear" w:color="auto" w:fill="auto"/>
                  <w:hideMark/>
                </w:tcPr>
                <w:p w14:paraId="68C40A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measures for the sound management of ICT third-party risk;</w:t>
                  </w:r>
                </w:p>
              </w:tc>
            </w:tr>
          </w:tbl>
          <w:p w14:paraId="2945D396"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16B8E0C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B6413C2" w14:textId="77777777" w:rsidTr="00DB72C3">
        <w:tc>
          <w:tcPr>
            <w:tcW w:w="0" w:type="auto"/>
            <w:shd w:val="clear" w:color="auto" w:fill="auto"/>
            <w:hideMark/>
          </w:tcPr>
          <w:p w14:paraId="4D944C6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4D4497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requirements in relation to the contractual arrangements concluded between ICT third-party service providers and financial entities;</w:t>
            </w:r>
          </w:p>
        </w:tc>
      </w:tr>
    </w:tbl>
    <w:p w14:paraId="2956D63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259DC16" w14:textId="77777777" w:rsidTr="00DB72C3">
        <w:tc>
          <w:tcPr>
            <w:tcW w:w="0" w:type="auto"/>
            <w:shd w:val="clear" w:color="auto" w:fill="auto"/>
            <w:hideMark/>
          </w:tcPr>
          <w:p w14:paraId="0365B7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02C663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rules for the establishment and conduct of the Oversight Framework for critical ICT third-party service providers when providing services to financial entities;</w:t>
            </w:r>
          </w:p>
        </w:tc>
      </w:tr>
    </w:tbl>
    <w:p w14:paraId="7C5D3A4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BBE7405" w14:textId="77777777" w:rsidTr="00DB72C3">
        <w:tc>
          <w:tcPr>
            <w:tcW w:w="0" w:type="auto"/>
            <w:shd w:val="clear" w:color="auto" w:fill="auto"/>
            <w:hideMark/>
          </w:tcPr>
          <w:p w14:paraId="1F92244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4870B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rules on cooperation among competent authorities, and rules on supervision and enforcement by competent authorities in relation to all matters covered by this Regulation.</w:t>
            </w:r>
          </w:p>
        </w:tc>
      </w:tr>
    </w:tbl>
    <w:p w14:paraId="247595F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In relation to financial entities identified as essential or important entities pursuant to national rules transposing Article 3 of Directive (EU) 2022/2555, this Regulation shall be considered a sector-specific Union legal act for the purposes of Article 4 of that Directive.</w:t>
      </w:r>
    </w:p>
    <w:p w14:paraId="4E062C3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This Regulation is without prejudice to the responsibility of Member States’ regarding essential State functions concerning public security, </w:t>
      </w:r>
      <w:proofErr w:type="spellStart"/>
      <w:r w:rsidRPr="00DB72C3">
        <w:rPr>
          <w:rFonts w:ascii="Times New Roman" w:eastAsia="Times New Roman" w:hAnsi="Times New Roman" w:cs="Times New Roman"/>
          <w:color w:val="333333"/>
          <w:sz w:val="27"/>
          <w:szCs w:val="27"/>
        </w:rPr>
        <w:t>defence</w:t>
      </w:r>
      <w:proofErr w:type="spellEnd"/>
      <w:r w:rsidRPr="00DB72C3">
        <w:rPr>
          <w:rFonts w:ascii="Times New Roman" w:eastAsia="Times New Roman" w:hAnsi="Times New Roman" w:cs="Times New Roman"/>
          <w:color w:val="333333"/>
          <w:sz w:val="27"/>
          <w:szCs w:val="27"/>
        </w:rPr>
        <w:t xml:space="preserve"> and national security in accordance with Union law.</w:t>
      </w:r>
    </w:p>
    <w:p w14:paraId="5DDC43B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w:t>
      </w:r>
    </w:p>
    <w:p w14:paraId="661F246A"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Scope</w:t>
      </w:r>
    </w:p>
    <w:p w14:paraId="53C4DB4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Without prejudice to paragraphs 3 and 4, this Regulation applies to the following entities:</w:t>
      </w:r>
    </w:p>
    <w:tbl>
      <w:tblPr>
        <w:tblW w:w="5000" w:type="pct"/>
        <w:tblCellMar>
          <w:left w:w="0" w:type="dxa"/>
          <w:right w:w="0" w:type="dxa"/>
        </w:tblCellMar>
        <w:tblLook w:val="04A0" w:firstRow="1" w:lastRow="0" w:firstColumn="1" w:lastColumn="0" w:noHBand="0" w:noVBand="1"/>
      </w:tblPr>
      <w:tblGrid>
        <w:gridCol w:w="1245"/>
        <w:gridCol w:w="8115"/>
      </w:tblGrid>
      <w:tr w:rsidR="00DB72C3" w:rsidRPr="00DB72C3" w14:paraId="02AB92F2" w14:textId="77777777" w:rsidTr="00DB72C3">
        <w:tc>
          <w:tcPr>
            <w:tcW w:w="0" w:type="auto"/>
            <w:shd w:val="clear" w:color="auto" w:fill="auto"/>
            <w:hideMark/>
          </w:tcPr>
          <w:p w14:paraId="421D65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CBD3B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credit institutions;</w:t>
            </w:r>
          </w:p>
        </w:tc>
      </w:tr>
    </w:tbl>
    <w:p w14:paraId="0B310A6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BDC1752" w14:textId="77777777" w:rsidTr="00DB72C3">
        <w:tc>
          <w:tcPr>
            <w:tcW w:w="0" w:type="auto"/>
            <w:shd w:val="clear" w:color="auto" w:fill="auto"/>
            <w:hideMark/>
          </w:tcPr>
          <w:p w14:paraId="73681B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BF332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payment institutions, including payment institutions exempted pursuant to Directive (EU) 2015/2366;</w:t>
            </w:r>
          </w:p>
        </w:tc>
      </w:tr>
    </w:tbl>
    <w:p w14:paraId="05777CA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28"/>
        <w:gridCol w:w="8732"/>
      </w:tblGrid>
      <w:tr w:rsidR="00DB72C3" w:rsidRPr="00DB72C3" w14:paraId="61635779" w14:textId="77777777" w:rsidTr="00DB72C3">
        <w:tc>
          <w:tcPr>
            <w:tcW w:w="0" w:type="auto"/>
            <w:shd w:val="clear" w:color="auto" w:fill="auto"/>
            <w:hideMark/>
          </w:tcPr>
          <w:p w14:paraId="53F6FB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451C15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account information service providers;</w:t>
            </w:r>
          </w:p>
        </w:tc>
      </w:tr>
    </w:tbl>
    <w:p w14:paraId="3B1F978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6B9AF9D" w14:textId="77777777" w:rsidTr="00DB72C3">
        <w:tc>
          <w:tcPr>
            <w:tcW w:w="0" w:type="auto"/>
            <w:shd w:val="clear" w:color="auto" w:fill="auto"/>
            <w:hideMark/>
          </w:tcPr>
          <w:p w14:paraId="4605A07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(d)</w:t>
            </w:r>
          </w:p>
        </w:tc>
        <w:tc>
          <w:tcPr>
            <w:tcW w:w="0" w:type="auto"/>
            <w:shd w:val="clear" w:color="auto" w:fill="auto"/>
            <w:hideMark/>
          </w:tcPr>
          <w:p w14:paraId="60EAB1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electronic money institutions, including electronic money institutions exempted pursuant to Directive 2009/110/EC;</w:t>
            </w:r>
          </w:p>
        </w:tc>
      </w:tr>
    </w:tbl>
    <w:p w14:paraId="3C92E8E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279"/>
        <w:gridCol w:w="8081"/>
      </w:tblGrid>
      <w:tr w:rsidR="00DB72C3" w:rsidRPr="00DB72C3" w14:paraId="73AD4171" w14:textId="77777777" w:rsidTr="00DB72C3">
        <w:tc>
          <w:tcPr>
            <w:tcW w:w="0" w:type="auto"/>
            <w:shd w:val="clear" w:color="auto" w:fill="auto"/>
            <w:hideMark/>
          </w:tcPr>
          <w:p w14:paraId="6AFEFC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33A03B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investment firms;</w:t>
            </w:r>
          </w:p>
        </w:tc>
      </w:tr>
    </w:tbl>
    <w:p w14:paraId="58B4949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F7D5B29" w14:textId="77777777" w:rsidTr="00DB72C3">
        <w:tc>
          <w:tcPr>
            <w:tcW w:w="0" w:type="auto"/>
            <w:shd w:val="clear" w:color="auto" w:fill="auto"/>
            <w:hideMark/>
          </w:tcPr>
          <w:p w14:paraId="22B47D1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012F52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crypto-asset service providers as </w:t>
            </w:r>
            <w:proofErr w:type="spellStart"/>
            <w:r w:rsidRPr="00DB72C3">
              <w:rPr>
                <w:rFonts w:ascii="Times New Roman" w:eastAsia="Times New Roman" w:hAnsi="Times New Roman" w:cs="Times New Roman"/>
                <w:sz w:val="24"/>
                <w:szCs w:val="24"/>
              </w:rPr>
              <w:t>authorised</w:t>
            </w:r>
            <w:proofErr w:type="spellEnd"/>
            <w:r w:rsidRPr="00DB72C3">
              <w:rPr>
                <w:rFonts w:ascii="Times New Roman" w:eastAsia="Times New Roman" w:hAnsi="Times New Roman" w:cs="Times New Roman"/>
                <w:sz w:val="24"/>
                <w:szCs w:val="24"/>
              </w:rPr>
              <w:t xml:space="preserve"> under a Regulation of the European Parliament and of the Council on markets in crypto-assets, and amending Regulations (EU) No 1093/2010 and (EU) No 1095/2010 and Directives 2013/36/EU and (EU) 2019/1937 (‘the Regulation on markets in crypto-assets’) and issuers of asset-referenced tokens;</w:t>
            </w:r>
          </w:p>
        </w:tc>
      </w:tr>
    </w:tbl>
    <w:p w14:paraId="571EF92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823"/>
        <w:gridCol w:w="8537"/>
      </w:tblGrid>
      <w:tr w:rsidR="00DB72C3" w:rsidRPr="00DB72C3" w14:paraId="02B726AB" w14:textId="77777777" w:rsidTr="00DB72C3">
        <w:tc>
          <w:tcPr>
            <w:tcW w:w="0" w:type="auto"/>
            <w:shd w:val="clear" w:color="auto" w:fill="auto"/>
            <w:hideMark/>
          </w:tcPr>
          <w:p w14:paraId="5A4846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21B39DB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central securities depositories;</w:t>
            </w:r>
          </w:p>
        </w:tc>
      </w:tr>
    </w:tbl>
    <w:p w14:paraId="47531AC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083"/>
        <w:gridCol w:w="8277"/>
      </w:tblGrid>
      <w:tr w:rsidR="00DB72C3" w:rsidRPr="00DB72C3" w14:paraId="6179616F" w14:textId="77777777" w:rsidTr="00DB72C3">
        <w:tc>
          <w:tcPr>
            <w:tcW w:w="0" w:type="auto"/>
            <w:shd w:val="clear" w:color="auto" w:fill="auto"/>
            <w:hideMark/>
          </w:tcPr>
          <w:p w14:paraId="5A37280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110755F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central counterparties;</w:t>
            </w:r>
          </w:p>
        </w:tc>
      </w:tr>
    </w:tbl>
    <w:p w14:paraId="089BB97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250"/>
        <w:gridCol w:w="8110"/>
      </w:tblGrid>
      <w:tr w:rsidR="00DB72C3" w:rsidRPr="00DB72C3" w14:paraId="4CAFEA3B" w14:textId="77777777" w:rsidTr="00DB72C3">
        <w:tc>
          <w:tcPr>
            <w:tcW w:w="0" w:type="auto"/>
            <w:shd w:val="clear" w:color="auto" w:fill="auto"/>
            <w:hideMark/>
          </w:tcPr>
          <w:p w14:paraId="5926D16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413C986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trading venues;</w:t>
            </w:r>
          </w:p>
        </w:tc>
      </w:tr>
    </w:tbl>
    <w:p w14:paraId="13B9BD7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087"/>
        <w:gridCol w:w="8273"/>
      </w:tblGrid>
      <w:tr w:rsidR="00DB72C3" w:rsidRPr="00DB72C3" w14:paraId="1819078C" w14:textId="77777777" w:rsidTr="00DB72C3">
        <w:tc>
          <w:tcPr>
            <w:tcW w:w="0" w:type="auto"/>
            <w:shd w:val="clear" w:color="auto" w:fill="auto"/>
            <w:hideMark/>
          </w:tcPr>
          <w:p w14:paraId="57A644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(j)</w:t>
            </w:r>
          </w:p>
        </w:tc>
        <w:tc>
          <w:tcPr>
            <w:tcW w:w="0" w:type="auto"/>
            <w:shd w:val="clear" w:color="auto" w:fill="auto"/>
            <w:hideMark/>
          </w:tcPr>
          <w:p w14:paraId="209F3DF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trade repositories;</w:t>
            </w:r>
          </w:p>
        </w:tc>
      </w:tr>
    </w:tbl>
    <w:p w14:paraId="13433F0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09"/>
        <w:gridCol w:w="8751"/>
      </w:tblGrid>
      <w:tr w:rsidR="00DB72C3" w:rsidRPr="00DB72C3" w14:paraId="7FD259B0" w14:textId="77777777" w:rsidTr="00DB72C3">
        <w:tc>
          <w:tcPr>
            <w:tcW w:w="0" w:type="auto"/>
            <w:shd w:val="clear" w:color="auto" w:fill="auto"/>
            <w:hideMark/>
          </w:tcPr>
          <w:p w14:paraId="15D5E01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(k)</w:t>
            </w:r>
          </w:p>
        </w:tc>
        <w:tc>
          <w:tcPr>
            <w:tcW w:w="0" w:type="auto"/>
            <w:shd w:val="clear" w:color="auto" w:fill="auto"/>
            <w:hideMark/>
          </w:tcPr>
          <w:p w14:paraId="49027F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managers of alternative investment funds;</w:t>
            </w:r>
          </w:p>
        </w:tc>
      </w:tr>
    </w:tbl>
    <w:p w14:paraId="43C7A7F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815"/>
        <w:gridCol w:w="8545"/>
      </w:tblGrid>
      <w:tr w:rsidR="00DB72C3" w:rsidRPr="00DB72C3" w14:paraId="55132B82" w14:textId="77777777" w:rsidTr="00DB72C3">
        <w:tc>
          <w:tcPr>
            <w:tcW w:w="0" w:type="auto"/>
            <w:shd w:val="clear" w:color="auto" w:fill="auto"/>
            <w:hideMark/>
          </w:tcPr>
          <w:p w14:paraId="5D830E9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w:t>
            </w:r>
          </w:p>
        </w:tc>
        <w:tc>
          <w:tcPr>
            <w:tcW w:w="0" w:type="auto"/>
            <w:shd w:val="clear" w:color="auto" w:fill="auto"/>
            <w:hideMark/>
          </w:tcPr>
          <w:p w14:paraId="07D36D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management companies;</w:t>
            </w:r>
          </w:p>
        </w:tc>
      </w:tr>
    </w:tbl>
    <w:p w14:paraId="5B78EC5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939"/>
        <w:gridCol w:w="8421"/>
      </w:tblGrid>
      <w:tr w:rsidR="00DB72C3" w:rsidRPr="00DB72C3" w14:paraId="4086030C" w14:textId="77777777" w:rsidTr="00DB72C3">
        <w:tc>
          <w:tcPr>
            <w:tcW w:w="0" w:type="auto"/>
            <w:shd w:val="clear" w:color="auto" w:fill="auto"/>
            <w:hideMark/>
          </w:tcPr>
          <w:p w14:paraId="490FEF2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w:t>
            </w:r>
          </w:p>
        </w:tc>
        <w:tc>
          <w:tcPr>
            <w:tcW w:w="0" w:type="auto"/>
            <w:shd w:val="clear" w:color="auto" w:fill="auto"/>
            <w:hideMark/>
          </w:tcPr>
          <w:p w14:paraId="0357207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data reporting service providers;</w:t>
            </w:r>
          </w:p>
        </w:tc>
      </w:tr>
    </w:tbl>
    <w:p w14:paraId="702FC09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33"/>
        <w:gridCol w:w="8727"/>
      </w:tblGrid>
      <w:tr w:rsidR="00DB72C3" w:rsidRPr="00DB72C3" w14:paraId="3C61BEAB" w14:textId="77777777" w:rsidTr="00DB72C3">
        <w:tc>
          <w:tcPr>
            <w:tcW w:w="0" w:type="auto"/>
            <w:shd w:val="clear" w:color="auto" w:fill="auto"/>
            <w:hideMark/>
          </w:tcPr>
          <w:p w14:paraId="72FB796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(n)</w:t>
            </w:r>
          </w:p>
        </w:tc>
        <w:tc>
          <w:tcPr>
            <w:tcW w:w="0" w:type="auto"/>
            <w:shd w:val="clear" w:color="auto" w:fill="auto"/>
            <w:hideMark/>
          </w:tcPr>
          <w:p w14:paraId="346C5E1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insurance and reinsurance undertakings;</w:t>
            </w:r>
          </w:p>
        </w:tc>
      </w:tr>
    </w:tbl>
    <w:p w14:paraId="0CDC6FB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9"/>
        <w:gridCol w:w="9071"/>
      </w:tblGrid>
      <w:tr w:rsidR="00DB72C3" w:rsidRPr="00DB72C3" w14:paraId="0E85EF68" w14:textId="77777777" w:rsidTr="00DB72C3">
        <w:tc>
          <w:tcPr>
            <w:tcW w:w="0" w:type="auto"/>
            <w:shd w:val="clear" w:color="auto" w:fill="auto"/>
            <w:hideMark/>
          </w:tcPr>
          <w:p w14:paraId="7FB60E1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w:t>
            </w:r>
          </w:p>
        </w:tc>
        <w:tc>
          <w:tcPr>
            <w:tcW w:w="0" w:type="auto"/>
            <w:shd w:val="clear" w:color="auto" w:fill="auto"/>
            <w:hideMark/>
          </w:tcPr>
          <w:p w14:paraId="0647E0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insurance intermediaries, reinsurance intermediaries and ancillary insurance intermediaries;</w:t>
            </w:r>
          </w:p>
        </w:tc>
      </w:tr>
    </w:tbl>
    <w:p w14:paraId="433E317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19"/>
        <w:gridCol w:w="8841"/>
      </w:tblGrid>
      <w:tr w:rsidR="00DB72C3" w:rsidRPr="00DB72C3" w14:paraId="343A0246" w14:textId="77777777" w:rsidTr="00DB72C3">
        <w:tc>
          <w:tcPr>
            <w:tcW w:w="0" w:type="auto"/>
            <w:shd w:val="clear" w:color="auto" w:fill="auto"/>
            <w:hideMark/>
          </w:tcPr>
          <w:p w14:paraId="43FC5D0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w:t>
            </w:r>
          </w:p>
        </w:tc>
        <w:tc>
          <w:tcPr>
            <w:tcW w:w="0" w:type="auto"/>
            <w:shd w:val="clear" w:color="auto" w:fill="auto"/>
            <w:hideMark/>
          </w:tcPr>
          <w:p w14:paraId="438A85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institutions for occupational retirement provision;</w:t>
            </w:r>
          </w:p>
        </w:tc>
      </w:tr>
    </w:tbl>
    <w:p w14:paraId="3076040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092"/>
        <w:gridCol w:w="8268"/>
      </w:tblGrid>
      <w:tr w:rsidR="00DB72C3" w:rsidRPr="00DB72C3" w14:paraId="3615060F" w14:textId="77777777" w:rsidTr="00DB72C3">
        <w:tc>
          <w:tcPr>
            <w:tcW w:w="0" w:type="auto"/>
            <w:shd w:val="clear" w:color="auto" w:fill="auto"/>
            <w:hideMark/>
          </w:tcPr>
          <w:p w14:paraId="3A848CA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(q)</w:t>
            </w:r>
          </w:p>
        </w:tc>
        <w:tc>
          <w:tcPr>
            <w:tcW w:w="0" w:type="auto"/>
            <w:shd w:val="clear" w:color="auto" w:fill="auto"/>
            <w:hideMark/>
          </w:tcPr>
          <w:p w14:paraId="0A13D6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credit rating agencies;</w:t>
            </w:r>
          </w:p>
        </w:tc>
      </w:tr>
    </w:tbl>
    <w:p w14:paraId="5F9642B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78"/>
        <w:gridCol w:w="8782"/>
      </w:tblGrid>
      <w:tr w:rsidR="00DB72C3" w:rsidRPr="00DB72C3" w14:paraId="0C9D53AE" w14:textId="77777777" w:rsidTr="00DB72C3">
        <w:tc>
          <w:tcPr>
            <w:tcW w:w="0" w:type="auto"/>
            <w:shd w:val="clear" w:color="auto" w:fill="auto"/>
            <w:hideMark/>
          </w:tcPr>
          <w:p w14:paraId="228A5B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w:t>
            </w:r>
          </w:p>
        </w:tc>
        <w:tc>
          <w:tcPr>
            <w:tcW w:w="0" w:type="auto"/>
            <w:shd w:val="clear" w:color="auto" w:fill="auto"/>
            <w:hideMark/>
          </w:tcPr>
          <w:p w14:paraId="30E2EC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administrators of critical benchmarks;</w:t>
            </w:r>
          </w:p>
        </w:tc>
      </w:tr>
    </w:tbl>
    <w:p w14:paraId="0A9FF69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705"/>
        <w:gridCol w:w="8655"/>
      </w:tblGrid>
      <w:tr w:rsidR="00DB72C3" w:rsidRPr="00DB72C3" w14:paraId="2D87A82B" w14:textId="77777777" w:rsidTr="00DB72C3">
        <w:tc>
          <w:tcPr>
            <w:tcW w:w="0" w:type="auto"/>
            <w:shd w:val="clear" w:color="auto" w:fill="auto"/>
            <w:hideMark/>
          </w:tcPr>
          <w:p w14:paraId="35C45B3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w:t>
            </w:r>
          </w:p>
        </w:tc>
        <w:tc>
          <w:tcPr>
            <w:tcW w:w="0" w:type="auto"/>
            <w:shd w:val="clear" w:color="auto" w:fill="auto"/>
            <w:hideMark/>
          </w:tcPr>
          <w:p w14:paraId="48EC550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crowdfunding service providers;</w:t>
            </w:r>
          </w:p>
        </w:tc>
      </w:tr>
    </w:tbl>
    <w:p w14:paraId="484B484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772"/>
        <w:gridCol w:w="8588"/>
      </w:tblGrid>
      <w:tr w:rsidR="00DB72C3" w:rsidRPr="00DB72C3" w14:paraId="7FB15EB0" w14:textId="77777777" w:rsidTr="00DB72C3">
        <w:tc>
          <w:tcPr>
            <w:tcW w:w="0" w:type="auto"/>
            <w:shd w:val="clear" w:color="auto" w:fill="auto"/>
            <w:hideMark/>
          </w:tcPr>
          <w:p w14:paraId="0B215A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w:t>
            </w:r>
          </w:p>
        </w:tc>
        <w:tc>
          <w:tcPr>
            <w:tcW w:w="0" w:type="auto"/>
            <w:shd w:val="clear" w:color="auto" w:fill="auto"/>
            <w:hideMark/>
          </w:tcPr>
          <w:p w14:paraId="19A590D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proofErr w:type="spellStart"/>
            <w:r w:rsidRPr="00DB72C3">
              <w:rPr>
                <w:rFonts w:ascii="Times New Roman" w:eastAsia="Times New Roman" w:hAnsi="Times New Roman" w:cs="Times New Roman"/>
                <w:sz w:val="24"/>
                <w:szCs w:val="24"/>
              </w:rPr>
              <w:t>securitisation</w:t>
            </w:r>
            <w:proofErr w:type="spellEnd"/>
            <w:r w:rsidRPr="00DB72C3">
              <w:rPr>
                <w:rFonts w:ascii="Times New Roman" w:eastAsia="Times New Roman" w:hAnsi="Times New Roman" w:cs="Times New Roman"/>
                <w:sz w:val="24"/>
                <w:szCs w:val="24"/>
              </w:rPr>
              <w:t xml:space="preserve"> repositories;</w:t>
            </w:r>
          </w:p>
        </w:tc>
      </w:tr>
    </w:tbl>
    <w:p w14:paraId="528A920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745"/>
        <w:gridCol w:w="8615"/>
      </w:tblGrid>
      <w:tr w:rsidR="00DB72C3" w:rsidRPr="00DB72C3" w14:paraId="544C9E53" w14:textId="77777777" w:rsidTr="00DB72C3">
        <w:tc>
          <w:tcPr>
            <w:tcW w:w="0" w:type="auto"/>
            <w:shd w:val="clear" w:color="auto" w:fill="auto"/>
            <w:hideMark/>
          </w:tcPr>
          <w:p w14:paraId="2911F05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(u)</w:t>
            </w:r>
          </w:p>
        </w:tc>
        <w:tc>
          <w:tcPr>
            <w:tcW w:w="0" w:type="auto"/>
            <w:shd w:val="clear" w:color="auto" w:fill="auto"/>
            <w:hideMark/>
          </w:tcPr>
          <w:p w14:paraId="303DF7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providers.</w:t>
            </w:r>
          </w:p>
        </w:tc>
      </w:tr>
    </w:tbl>
    <w:p w14:paraId="1A62B22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For the purposes of this Regulation, entities referred to in paragraph 1, points (a) to (t), shall collectively be referred to as ‘financial </w:t>
      </w:r>
      <w:proofErr w:type="gramStart"/>
      <w:r w:rsidRPr="00DB72C3">
        <w:rPr>
          <w:rFonts w:ascii="Times New Roman" w:eastAsia="Times New Roman" w:hAnsi="Times New Roman" w:cs="Times New Roman"/>
          <w:color w:val="333333"/>
          <w:sz w:val="27"/>
          <w:szCs w:val="27"/>
        </w:rPr>
        <w:t>entities’</w:t>
      </w:r>
      <w:proofErr w:type="gramEnd"/>
      <w:r w:rsidRPr="00DB72C3">
        <w:rPr>
          <w:rFonts w:ascii="Times New Roman" w:eastAsia="Times New Roman" w:hAnsi="Times New Roman" w:cs="Times New Roman"/>
          <w:color w:val="333333"/>
          <w:sz w:val="27"/>
          <w:szCs w:val="27"/>
        </w:rPr>
        <w:t>.</w:t>
      </w:r>
    </w:p>
    <w:p w14:paraId="5759D13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This Regulation does not apply to:</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EAD94C3" w14:textId="77777777" w:rsidTr="00DB72C3">
        <w:tc>
          <w:tcPr>
            <w:tcW w:w="0" w:type="auto"/>
            <w:shd w:val="clear" w:color="auto" w:fill="auto"/>
            <w:hideMark/>
          </w:tcPr>
          <w:p w14:paraId="2BBB402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99831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managers of alternative investment funds as referred to in Article 3(2) of Directive 2011/61/EU;</w:t>
            </w:r>
          </w:p>
        </w:tc>
      </w:tr>
    </w:tbl>
    <w:p w14:paraId="1430FF7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6"/>
        <w:gridCol w:w="9074"/>
      </w:tblGrid>
      <w:tr w:rsidR="00DB72C3" w:rsidRPr="00DB72C3" w14:paraId="6CB43531" w14:textId="77777777" w:rsidTr="00DB72C3">
        <w:tc>
          <w:tcPr>
            <w:tcW w:w="0" w:type="auto"/>
            <w:shd w:val="clear" w:color="auto" w:fill="auto"/>
            <w:hideMark/>
          </w:tcPr>
          <w:p w14:paraId="36C45C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62175E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insurance and reinsurance undertakings as referred to in Article 4 of Directive 2009/138/EC;</w:t>
            </w:r>
          </w:p>
        </w:tc>
      </w:tr>
    </w:tbl>
    <w:p w14:paraId="58698DB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595B200" w14:textId="77777777" w:rsidTr="00DB72C3">
        <w:tc>
          <w:tcPr>
            <w:tcW w:w="0" w:type="auto"/>
            <w:shd w:val="clear" w:color="auto" w:fill="auto"/>
            <w:hideMark/>
          </w:tcPr>
          <w:p w14:paraId="646D809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57E9F62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institutions for occupational retirement provision which operate pension schemes which together do not have more than 15 members in total;</w:t>
            </w:r>
          </w:p>
        </w:tc>
      </w:tr>
    </w:tbl>
    <w:p w14:paraId="1ADA96C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99"/>
        <w:gridCol w:w="9061"/>
      </w:tblGrid>
      <w:tr w:rsidR="00DB72C3" w:rsidRPr="00DB72C3" w14:paraId="14120A1A" w14:textId="77777777" w:rsidTr="00DB72C3">
        <w:tc>
          <w:tcPr>
            <w:tcW w:w="0" w:type="auto"/>
            <w:shd w:val="clear" w:color="auto" w:fill="auto"/>
            <w:hideMark/>
          </w:tcPr>
          <w:p w14:paraId="4ED7E0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ABB720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natural or legal persons exempted pursuant to Articles 2 and 3 of Directive 2014/65/EU;</w:t>
            </w:r>
          </w:p>
        </w:tc>
      </w:tr>
    </w:tbl>
    <w:p w14:paraId="131A4A9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58A3CBE" w14:textId="77777777" w:rsidTr="00DB72C3">
        <w:tc>
          <w:tcPr>
            <w:tcW w:w="0" w:type="auto"/>
            <w:shd w:val="clear" w:color="auto" w:fill="auto"/>
            <w:hideMark/>
          </w:tcPr>
          <w:p w14:paraId="72AC066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(e)</w:t>
            </w:r>
          </w:p>
        </w:tc>
        <w:tc>
          <w:tcPr>
            <w:tcW w:w="0" w:type="auto"/>
            <w:shd w:val="clear" w:color="auto" w:fill="auto"/>
            <w:hideMark/>
          </w:tcPr>
          <w:p w14:paraId="4C7D7F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insurance intermediaries, reinsurance intermediaries and ancillary insurance intermediaries which are microenterprises or small or medium-sized enterprises;</w:t>
            </w:r>
          </w:p>
        </w:tc>
      </w:tr>
    </w:tbl>
    <w:p w14:paraId="2348F13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7"/>
        <w:gridCol w:w="9113"/>
      </w:tblGrid>
      <w:tr w:rsidR="00DB72C3" w:rsidRPr="00DB72C3" w14:paraId="1A53B26F" w14:textId="77777777" w:rsidTr="00DB72C3">
        <w:tc>
          <w:tcPr>
            <w:tcW w:w="0" w:type="auto"/>
            <w:shd w:val="clear" w:color="auto" w:fill="auto"/>
            <w:hideMark/>
          </w:tcPr>
          <w:p w14:paraId="405B44B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086809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post office </w:t>
            </w:r>
            <w:proofErr w:type="spellStart"/>
            <w:r w:rsidRPr="00DB72C3">
              <w:rPr>
                <w:rFonts w:ascii="Times New Roman" w:eastAsia="Times New Roman" w:hAnsi="Times New Roman" w:cs="Times New Roman"/>
                <w:sz w:val="24"/>
                <w:szCs w:val="24"/>
              </w:rPr>
              <w:t>giro</w:t>
            </w:r>
            <w:proofErr w:type="spellEnd"/>
            <w:r w:rsidRPr="00DB72C3">
              <w:rPr>
                <w:rFonts w:ascii="Times New Roman" w:eastAsia="Times New Roman" w:hAnsi="Times New Roman" w:cs="Times New Roman"/>
                <w:sz w:val="24"/>
                <w:szCs w:val="24"/>
              </w:rPr>
              <w:t xml:space="preserve"> institutions as referred to in Article 2(5), point (3), of Directive 2013/36/EU.</w:t>
            </w:r>
          </w:p>
        </w:tc>
      </w:tr>
    </w:tbl>
    <w:p w14:paraId="17F1146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Member States may exclude from the scope of this Regulation entities referred to in Article 2(5), points (4) to (23), of Directive 2013/36/EU that are located within their respective territories. Where a Member State makes use of such option, it shall inform the Commission thereof as well as of any subsequent changes thereto. The Commission shall make that information publicly available on its website or other easily accessible means.</w:t>
      </w:r>
    </w:p>
    <w:p w14:paraId="16A8A995"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w:t>
      </w:r>
    </w:p>
    <w:p w14:paraId="5F7E7DC3"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Definitions</w:t>
      </w:r>
    </w:p>
    <w:p w14:paraId="12AB8A5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this Regulation, the following definitions shall apply:</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AFDFDBE" w14:textId="77777777" w:rsidTr="00DB72C3">
        <w:tc>
          <w:tcPr>
            <w:tcW w:w="0" w:type="auto"/>
            <w:shd w:val="clear" w:color="auto" w:fill="auto"/>
            <w:hideMark/>
          </w:tcPr>
          <w:p w14:paraId="59E7FA8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338331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‘digital operational resilience’ means the ability of a financial entity to build, assure and review its operational integrity and reliability by ensuring, either directly or indirectly through the use of services provided by ICT third-party service providers, the full range of ICT-related capabilities needed to address the security of the network and information systems which a financial entity uses, and which support the continued provision of financial services and their quality, including throughout disruptions;</w:t>
            </w:r>
          </w:p>
        </w:tc>
      </w:tr>
    </w:tbl>
    <w:p w14:paraId="0CFC2E1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A2C699B" w14:textId="77777777" w:rsidTr="00DB72C3">
        <w:tc>
          <w:tcPr>
            <w:tcW w:w="0" w:type="auto"/>
            <w:shd w:val="clear" w:color="auto" w:fill="auto"/>
            <w:hideMark/>
          </w:tcPr>
          <w:p w14:paraId="418076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w:t>
            </w:r>
          </w:p>
        </w:tc>
        <w:tc>
          <w:tcPr>
            <w:tcW w:w="0" w:type="auto"/>
            <w:shd w:val="clear" w:color="auto" w:fill="auto"/>
            <w:hideMark/>
          </w:tcPr>
          <w:p w14:paraId="78589A8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network</w:t>
            </w:r>
            <w:proofErr w:type="gramEnd"/>
            <w:r w:rsidRPr="00DB72C3">
              <w:rPr>
                <w:rFonts w:ascii="Times New Roman" w:eastAsia="Times New Roman" w:hAnsi="Times New Roman" w:cs="Times New Roman"/>
                <w:sz w:val="24"/>
                <w:szCs w:val="24"/>
              </w:rPr>
              <w:t xml:space="preserve"> and information system’ means a network and information system as defined in Article 6, point 1, of Directive (EU) 2022/2555;</w:t>
            </w:r>
          </w:p>
        </w:tc>
      </w:tr>
    </w:tbl>
    <w:p w14:paraId="14DC4D3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F9C6994" w14:textId="77777777" w:rsidTr="00DB72C3">
        <w:tc>
          <w:tcPr>
            <w:tcW w:w="0" w:type="auto"/>
            <w:shd w:val="clear" w:color="auto" w:fill="auto"/>
            <w:hideMark/>
          </w:tcPr>
          <w:p w14:paraId="628B95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w:t>
            </w:r>
          </w:p>
        </w:tc>
        <w:tc>
          <w:tcPr>
            <w:tcW w:w="0" w:type="auto"/>
            <w:shd w:val="clear" w:color="auto" w:fill="auto"/>
            <w:hideMark/>
          </w:tcPr>
          <w:p w14:paraId="200234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legacy</w:t>
            </w:r>
            <w:proofErr w:type="gramEnd"/>
            <w:r w:rsidRPr="00DB72C3">
              <w:rPr>
                <w:rFonts w:ascii="Times New Roman" w:eastAsia="Times New Roman" w:hAnsi="Times New Roman" w:cs="Times New Roman"/>
                <w:sz w:val="24"/>
                <w:szCs w:val="24"/>
              </w:rPr>
              <w:t xml:space="preserve"> ICT system’ means an ICT system that has reached the end of its lifecycle (end-of-life), that is not suitable for upgrades or fixes, for technological or commercial reasons, or is no longer supported by its supplier or by an ICT third-party service provider, but that is still in use and supports the functions of the financial entity;</w:t>
            </w:r>
          </w:p>
        </w:tc>
      </w:tr>
    </w:tbl>
    <w:p w14:paraId="7E8B07D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E243EF1" w14:textId="77777777" w:rsidTr="00DB72C3">
        <w:tc>
          <w:tcPr>
            <w:tcW w:w="0" w:type="auto"/>
            <w:shd w:val="clear" w:color="auto" w:fill="auto"/>
            <w:hideMark/>
          </w:tcPr>
          <w:p w14:paraId="36B7A7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w:t>
            </w:r>
          </w:p>
        </w:tc>
        <w:tc>
          <w:tcPr>
            <w:tcW w:w="0" w:type="auto"/>
            <w:shd w:val="clear" w:color="auto" w:fill="auto"/>
            <w:hideMark/>
          </w:tcPr>
          <w:p w14:paraId="3EA0E9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security</w:t>
            </w:r>
            <w:proofErr w:type="gramEnd"/>
            <w:r w:rsidRPr="00DB72C3">
              <w:rPr>
                <w:rFonts w:ascii="Times New Roman" w:eastAsia="Times New Roman" w:hAnsi="Times New Roman" w:cs="Times New Roman"/>
                <w:sz w:val="24"/>
                <w:szCs w:val="24"/>
              </w:rPr>
              <w:t xml:space="preserve"> of network and information systems’ means security of network and information systems as defined in Article 6, point 2, of Directive (EU) 2022/2555;</w:t>
            </w:r>
          </w:p>
        </w:tc>
      </w:tr>
    </w:tbl>
    <w:p w14:paraId="0F8F6DF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FF444C9" w14:textId="77777777" w:rsidTr="00DB72C3">
        <w:tc>
          <w:tcPr>
            <w:tcW w:w="0" w:type="auto"/>
            <w:shd w:val="clear" w:color="auto" w:fill="auto"/>
            <w:hideMark/>
          </w:tcPr>
          <w:p w14:paraId="0C7A11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w:t>
            </w:r>
          </w:p>
        </w:tc>
        <w:tc>
          <w:tcPr>
            <w:tcW w:w="0" w:type="auto"/>
            <w:shd w:val="clear" w:color="auto" w:fill="auto"/>
            <w:hideMark/>
          </w:tcPr>
          <w:p w14:paraId="42039E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‘ICT risk’ means any reasonably identifiable circumstance in relation to the use of network and information systems which, if </w:t>
            </w:r>
            <w:proofErr w:type="spellStart"/>
            <w:r w:rsidRPr="00DB72C3">
              <w:rPr>
                <w:rFonts w:ascii="Times New Roman" w:eastAsia="Times New Roman" w:hAnsi="Times New Roman" w:cs="Times New Roman"/>
                <w:sz w:val="24"/>
                <w:szCs w:val="24"/>
              </w:rPr>
              <w:t>materialised</w:t>
            </w:r>
            <w:proofErr w:type="spellEnd"/>
            <w:r w:rsidRPr="00DB72C3">
              <w:rPr>
                <w:rFonts w:ascii="Times New Roman" w:eastAsia="Times New Roman" w:hAnsi="Times New Roman" w:cs="Times New Roman"/>
                <w:sz w:val="24"/>
                <w:szCs w:val="24"/>
              </w:rPr>
              <w:t>, may compromise the security of the network and information systems, of any technology dependent tool or process, of operations and processes, or of the provision of services by producing adverse effects in the digital or physical environment;</w:t>
            </w:r>
          </w:p>
        </w:tc>
      </w:tr>
    </w:tbl>
    <w:p w14:paraId="78FF9B5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7CA2C74" w14:textId="77777777" w:rsidTr="00DB72C3">
        <w:tc>
          <w:tcPr>
            <w:tcW w:w="0" w:type="auto"/>
            <w:shd w:val="clear" w:color="auto" w:fill="auto"/>
            <w:hideMark/>
          </w:tcPr>
          <w:p w14:paraId="00F6A3D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w:t>
            </w:r>
          </w:p>
        </w:tc>
        <w:tc>
          <w:tcPr>
            <w:tcW w:w="0" w:type="auto"/>
            <w:shd w:val="clear" w:color="auto" w:fill="auto"/>
            <w:hideMark/>
          </w:tcPr>
          <w:p w14:paraId="10F8E7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information</w:t>
            </w:r>
            <w:proofErr w:type="gramEnd"/>
            <w:r w:rsidRPr="00DB72C3">
              <w:rPr>
                <w:rFonts w:ascii="Times New Roman" w:eastAsia="Times New Roman" w:hAnsi="Times New Roman" w:cs="Times New Roman"/>
                <w:sz w:val="24"/>
                <w:szCs w:val="24"/>
              </w:rPr>
              <w:t xml:space="preserve"> asset’ means a collection of information, either tangible or intangible, that is worth protecting;</w:t>
            </w:r>
          </w:p>
        </w:tc>
      </w:tr>
    </w:tbl>
    <w:p w14:paraId="6218217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C527B85" w14:textId="77777777" w:rsidTr="00DB72C3">
        <w:tc>
          <w:tcPr>
            <w:tcW w:w="0" w:type="auto"/>
            <w:shd w:val="clear" w:color="auto" w:fill="auto"/>
            <w:hideMark/>
          </w:tcPr>
          <w:p w14:paraId="52C8A0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w:t>
            </w:r>
          </w:p>
        </w:tc>
        <w:tc>
          <w:tcPr>
            <w:tcW w:w="0" w:type="auto"/>
            <w:shd w:val="clear" w:color="auto" w:fill="auto"/>
            <w:hideMark/>
          </w:tcPr>
          <w:p w14:paraId="75CBF3B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asset’ means a software or hardware asset in the network and information systems used by the financial entity;</w:t>
            </w:r>
          </w:p>
        </w:tc>
      </w:tr>
    </w:tbl>
    <w:p w14:paraId="7359597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7F57ED3" w14:textId="77777777" w:rsidTr="00DB72C3">
        <w:tc>
          <w:tcPr>
            <w:tcW w:w="0" w:type="auto"/>
            <w:shd w:val="clear" w:color="auto" w:fill="auto"/>
            <w:hideMark/>
          </w:tcPr>
          <w:p w14:paraId="45CABE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(8)</w:t>
            </w:r>
          </w:p>
        </w:tc>
        <w:tc>
          <w:tcPr>
            <w:tcW w:w="0" w:type="auto"/>
            <w:shd w:val="clear" w:color="auto" w:fill="auto"/>
            <w:hideMark/>
          </w:tcPr>
          <w:p w14:paraId="0DF7D6B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‘ICT-related incident’ means a single event or a series of linked events unplanned by the financial entity that compromises the security of the network and information systems, and have an adverse impact on the availability, authenticity, integrity or confidentiality of data, or on the services provided by the financial entity;</w:t>
            </w:r>
          </w:p>
        </w:tc>
      </w:tr>
    </w:tbl>
    <w:p w14:paraId="200F5C0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ADFBDD7" w14:textId="77777777" w:rsidTr="00DB72C3">
        <w:tc>
          <w:tcPr>
            <w:tcW w:w="0" w:type="auto"/>
            <w:shd w:val="clear" w:color="auto" w:fill="auto"/>
            <w:hideMark/>
          </w:tcPr>
          <w:p w14:paraId="0849C6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(9)</w:t>
            </w:r>
          </w:p>
        </w:tc>
        <w:tc>
          <w:tcPr>
            <w:tcW w:w="0" w:type="auto"/>
            <w:shd w:val="clear" w:color="auto" w:fill="auto"/>
            <w:hideMark/>
          </w:tcPr>
          <w:p w14:paraId="11537C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operational</w:t>
            </w:r>
            <w:proofErr w:type="gramEnd"/>
            <w:r w:rsidRPr="00DB72C3">
              <w:rPr>
                <w:rFonts w:ascii="Times New Roman" w:eastAsia="Times New Roman" w:hAnsi="Times New Roman" w:cs="Times New Roman"/>
                <w:sz w:val="24"/>
                <w:szCs w:val="24"/>
              </w:rPr>
              <w:t xml:space="preserve"> or security payment-related incident’ means a single event or a series of linked events unplanned by the financial entities referred to in Article 2(1), points (a) to (d), whether ICT-related or not, that has an adverse impact on the availability, authenticity, integrity or confidentiality of payment-related data, or on the payment-related services provided by the financial entity;</w:t>
            </w:r>
          </w:p>
        </w:tc>
      </w:tr>
    </w:tbl>
    <w:p w14:paraId="0482CD2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DAE139A" w14:textId="77777777" w:rsidTr="00DB72C3">
        <w:tc>
          <w:tcPr>
            <w:tcW w:w="0" w:type="auto"/>
            <w:shd w:val="clear" w:color="auto" w:fill="auto"/>
            <w:hideMark/>
          </w:tcPr>
          <w:p w14:paraId="290528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(10)</w:t>
            </w:r>
          </w:p>
        </w:tc>
        <w:tc>
          <w:tcPr>
            <w:tcW w:w="0" w:type="auto"/>
            <w:shd w:val="clear" w:color="auto" w:fill="auto"/>
            <w:hideMark/>
          </w:tcPr>
          <w:p w14:paraId="45E282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major</w:t>
            </w:r>
            <w:proofErr w:type="gramEnd"/>
            <w:r w:rsidRPr="00DB72C3">
              <w:rPr>
                <w:rFonts w:ascii="Times New Roman" w:eastAsia="Times New Roman" w:hAnsi="Times New Roman" w:cs="Times New Roman"/>
                <w:sz w:val="24"/>
                <w:szCs w:val="24"/>
              </w:rPr>
              <w:t xml:space="preserve"> ICT-related incident’ means an ICT-related incident that has a high adverse impact on the network and information systems that support critical or important functions of the financial entity;</w:t>
            </w:r>
          </w:p>
        </w:tc>
      </w:tr>
    </w:tbl>
    <w:p w14:paraId="3A32BAE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B3B5593" w14:textId="77777777" w:rsidTr="00DB72C3">
        <w:tc>
          <w:tcPr>
            <w:tcW w:w="0" w:type="auto"/>
            <w:shd w:val="clear" w:color="auto" w:fill="auto"/>
            <w:hideMark/>
          </w:tcPr>
          <w:p w14:paraId="473A414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(11)</w:t>
            </w:r>
          </w:p>
        </w:tc>
        <w:tc>
          <w:tcPr>
            <w:tcW w:w="0" w:type="auto"/>
            <w:shd w:val="clear" w:color="auto" w:fill="auto"/>
            <w:hideMark/>
          </w:tcPr>
          <w:p w14:paraId="20E84F6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major</w:t>
            </w:r>
            <w:proofErr w:type="gramEnd"/>
            <w:r w:rsidRPr="00DB72C3">
              <w:rPr>
                <w:rFonts w:ascii="Times New Roman" w:eastAsia="Times New Roman" w:hAnsi="Times New Roman" w:cs="Times New Roman"/>
                <w:sz w:val="24"/>
                <w:szCs w:val="24"/>
              </w:rPr>
              <w:t xml:space="preserve"> operational or security payment-related incident’ means an operational or security payment-related incident that has a high adverse impact on the payment-related services provided;</w:t>
            </w:r>
          </w:p>
        </w:tc>
      </w:tr>
    </w:tbl>
    <w:p w14:paraId="7E4EA77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D287E4B" w14:textId="77777777" w:rsidTr="00DB72C3">
        <w:tc>
          <w:tcPr>
            <w:tcW w:w="0" w:type="auto"/>
            <w:shd w:val="clear" w:color="auto" w:fill="auto"/>
            <w:hideMark/>
          </w:tcPr>
          <w:p w14:paraId="2A7C645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(12)</w:t>
            </w:r>
          </w:p>
        </w:tc>
        <w:tc>
          <w:tcPr>
            <w:tcW w:w="0" w:type="auto"/>
            <w:shd w:val="clear" w:color="auto" w:fill="auto"/>
            <w:hideMark/>
          </w:tcPr>
          <w:p w14:paraId="01232A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cyber</w:t>
            </w:r>
            <w:proofErr w:type="gramEnd"/>
            <w:r w:rsidRPr="00DB72C3">
              <w:rPr>
                <w:rFonts w:ascii="Times New Roman" w:eastAsia="Times New Roman" w:hAnsi="Times New Roman" w:cs="Times New Roman"/>
                <w:sz w:val="24"/>
                <w:szCs w:val="24"/>
              </w:rPr>
              <w:t xml:space="preserve"> threat’ means ‘cyber threat’ as defined in Article 2, point (8), of Regulation (EU) 2019/881;</w:t>
            </w:r>
          </w:p>
        </w:tc>
      </w:tr>
    </w:tbl>
    <w:p w14:paraId="5581E87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4F6A546" w14:textId="77777777" w:rsidTr="00DB72C3">
        <w:tc>
          <w:tcPr>
            <w:tcW w:w="0" w:type="auto"/>
            <w:shd w:val="clear" w:color="auto" w:fill="auto"/>
            <w:hideMark/>
          </w:tcPr>
          <w:p w14:paraId="73C05E7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(13)</w:t>
            </w:r>
          </w:p>
        </w:tc>
        <w:tc>
          <w:tcPr>
            <w:tcW w:w="0" w:type="auto"/>
            <w:shd w:val="clear" w:color="auto" w:fill="auto"/>
            <w:hideMark/>
          </w:tcPr>
          <w:p w14:paraId="35F50CB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significant</w:t>
            </w:r>
            <w:proofErr w:type="gramEnd"/>
            <w:r w:rsidRPr="00DB72C3">
              <w:rPr>
                <w:rFonts w:ascii="Times New Roman" w:eastAsia="Times New Roman" w:hAnsi="Times New Roman" w:cs="Times New Roman"/>
                <w:sz w:val="24"/>
                <w:szCs w:val="24"/>
              </w:rPr>
              <w:t xml:space="preserve"> cyber threat’ means a cyber threat the technical characteristics of which indicate that it could have the potential to result in a major ICT-related incident or a major operational or security payment-related incident;</w:t>
            </w:r>
          </w:p>
        </w:tc>
      </w:tr>
    </w:tbl>
    <w:p w14:paraId="552F368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FC84CE5" w14:textId="77777777" w:rsidTr="00DB72C3">
        <w:tc>
          <w:tcPr>
            <w:tcW w:w="0" w:type="auto"/>
            <w:shd w:val="clear" w:color="auto" w:fill="auto"/>
            <w:hideMark/>
          </w:tcPr>
          <w:p w14:paraId="0F4B0F6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(14)</w:t>
            </w:r>
          </w:p>
        </w:tc>
        <w:tc>
          <w:tcPr>
            <w:tcW w:w="0" w:type="auto"/>
            <w:shd w:val="clear" w:color="auto" w:fill="auto"/>
            <w:hideMark/>
          </w:tcPr>
          <w:p w14:paraId="4D9A33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‘cyber-attack’ means a malicious ICT-related incident caused by means of an attempt perpetrated by any threat actor to destroy, expose, alter, disable, steal or gain </w:t>
            </w:r>
            <w:proofErr w:type="spellStart"/>
            <w:r w:rsidRPr="00DB72C3">
              <w:rPr>
                <w:rFonts w:ascii="Times New Roman" w:eastAsia="Times New Roman" w:hAnsi="Times New Roman" w:cs="Times New Roman"/>
                <w:sz w:val="24"/>
                <w:szCs w:val="24"/>
              </w:rPr>
              <w:t>unauthorised</w:t>
            </w:r>
            <w:proofErr w:type="spellEnd"/>
            <w:r w:rsidRPr="00DB72C3">
              <w:rPr>
                <w:rFonts w:ascii="Times New Roman" w:eastAsia="Times New Roman" w:hAnsi="Times New Roman" w:cs="Times New Roman"/>
                <w:sz w:val="24"/>
                <w:szCs w:val="24"/>
              </w:rPr>
              <w:t xml:space="preserve"> access to, or make </w:t>
            </w:r>
            <w:proofErr w:type="spellStart"/>
            <w:r w:rsidRPr="00DB72C3">
              <w:rPr>
                <w:rFonts w:ascii="Times New Roman" w:eastAsia="Times New Roman" w:hAnsi="Times New Roman" w:cs="Times New Roman"/>
                <w:sz w:val="24"/>
                <w:szCs w:val="24"/>
              </w:rPr>
              <w:t>unauthorised</w:t>
            </w:r>
            <w:proofErr w:type="spellEnd"/>
            <w:r w:rsidRPr="00DB72C3">
              <w:rPr>
                <w:rFonts w:ascii="Times New Roman" w:eastAsia="Times New Roman" w:hAnsi="Times New Roman" w:cs="Times New Roman"/>
                <w:sz w:val="24"/>
                <w:szCs w:val="24"/>
              </w:rPr>
              <w:t xml:space="preserve"> use of, an asset;</w:t>
            </w:r>
          </w:p>
        </w:tc>
      </w:tr>
    </w:tbl>
    <w:p w14:paraId="323AAF9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01B4F4B" w14:textId="77777777" w:rsidTr="00DB72C3">
        <w:tc>
          <w:tcPr>
            <w:tcW w:w="0" w:type="auto"/>
            <w:shd w:val="clear" w:color="auto" w:fill="auto"/>
            <w:hideMark/>
          </w:tcPr>
          <w:p w14:paraId="106E98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(15)</w:t>
            </w:r>
          </w:p>
        </w:tc>
        <w:tc>
          <w:tcPr>
            <w:tcW w:w="0" w:type="auto"/>
            <w:shd w:val="clear" w:color="auto" w:fill="auto"/>
            <w:hideMark/>
          </w:tcPr>
          <w:p w14:paraId="7DCC426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threat</w:t>
            </w:r>
            <w:proofErr w:type="gramEnd"/>
            <w:r w:rsidRPr="00DB72C3">
              <w:rPr>
                <w:rFonts w:ascii="Times New Roman" w:eastAsia="Times New Roman" w:hAnsi="Times New Roman" w:cs="Times New Roman"/>
                <w:sz w:val="24"/>
                <w:szCs w:val="24"/>
              </w:rPr>
              <w:t xml:space="preserve"> intelligence’ means information that has been aggregated, transformed, </w:t>
            </w:r>
            <w:proofErr w:type="spellStart"/>
            <w:r w:rsidRPr="00DB72C3">
              <w:rPr>
                <w:rFonts w:ascii="Times New Roman" w:eastAsia="Times New Roman" w:hAnsi="Times New Roman" w:cs="Times New Roman"/>
                <w:sz w:val="24"/>
                <w:szCs w:val="24"/>
              </w:rPr>
              <w:t>analysed</w:t>
            </w:r>
            <w:proofErr w:type="spellEnd"/>
            <w:r w:rsidRPr="00DB72C3">
              <w:rPr>
                <w:rFonts w:ascii="Times New Roman" w:eastAsia="Times New Roman" w:hAnsi="Times New Roman" w:cs="Times New Roman"/>
                <w:sz w:val="24"/>
                <w:szCs w:val="24"/>
              </w:rPr>
              <w:t>, interpreted or enriched to provide the necessary context for decision-making and to enable relevant and sufficient understanding in order to mitigate the impact of an ICT-related incident or of a cyber threat, including the technical details of a cyber-attack, those responsible for the attack and their modus operandi and motivations;</w:t>
            </w:r>
          </w:p>
        </w:tc>
      </w:tr>
    </w:tbl>
    <w:p w14:paraId="52BDB1C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54FDC56" w14:textId="77777777" w:rsidTr="00DB72C3">
        <w:tc>
          <w:tcPr>
            <w:tcW w:w="0" w:type="auto"/>
            <w:shd w:val="clear" w:color="auto" w:fill="auto"/>
            <w:hideMark/>
          </w:tcPr>
          <w:p w14:paraId="525B29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(16)</w:t>
            </w:r>
          </w:p>
        </w:tc>
        <w:tc>
          <w:tcPr>
            <w:tcW w:w="0" w:type="auto"/>
            <w:shd w:val="clear" w:color="auto" w:fill="auto"/>
            <w:hideMark/>
          </w:tcPr>
          <w:p w14:paraId="0E5671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‘vulnerability’ means a weakness, susceptibility or flaw of an asset, system, process or control that can be exploited;</w:t>
            </w:r>
          </w:p>
        </w:tc>
      </w:tr>
    </w:tbl>
    <w:p w14:paraId="03C4911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607B020" w14:textId="77777777" w:rsidTr="00DB72C3">
        <w:tc>
          <w:tcPr>
            <w:tcW w:w="0" w:type="auto"/>
            <w:shd w:val="clear" w:color="auto" w:fill="auto"/>
            <w:hideMark/>
          </w:tcPr>
          <w:p w14:paraId="26FF85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(17)</w:t>
            </w:r>
          </w:p>
        </w:tc>
        <w:tc>
          <w:tcPr>
            <w:tcW w:w="0" w:type="auto"/>
            <w:shd w:val="clear" w:color="auto" w:fill="auto"/>
            <w:hideMark/>
          </w:tcPr>
          <w:p w14:paraId="33B872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threat</w:t>
            </w:r>
            <w:proofErr w:type="gramEnd"/>
            <w:r w:rsidRPr="00DB72C3">
              <w:rPr>
                <w:rFonts w:ascii="Times New Roman" w:eastAsia="Times New Roman" w:hAnsi="Times New Roman" w:cs="Times New Roman"/>
                <w:sz w:val="24"/>
                <w:szCs w:val="24"/>
              </w:rPr>
              <w:t>-led penetration testing (TLPT)’ means a framework that mimics the tactics, techniques and procedures of real-life threat actors perceived as posing a genuine cyber threat, that delivers a controlled, bespoke, intelligence-led (red team) test of the financial entity’s critical live production systems;</w:t>
            </w:r>
          </w:p>
        </w:tc>
      </w:tr>
    </w:tbl>
    <w:p w14:paraId="2FFC95C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D275FBC" w14:textId="77777777" w:rsidTr="00DB72C3">
        <w:tc>
          <w:tcPr>
            <w:tcW w:w="0" w:type="auto"/>
            <w:shd w:val="clear" w:color="auto" w:fill="auto"/>
            <w:hideMark/>
          </w:tcPr>
          <w:p w14:paraId="080A476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(18)</w:t>
            </w:r>
          </w:p>
        </w:tc>
        <w:tc>
          <w:tcPr>
            <w:tcW w:w="0" w:type="auto"/>
            <w:shd w:val="clear" w:color="auto" w:fill="auto"/>
            <w:hideMark/>
          </w:tcPr>
          <w:p w14:paraId="0D6169E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risk’ means an ICT risk that may arise for a financial entity in relation to its use of ICT services provided by ICT third-party service providers or by subcontractors of the latter, including through outsourcing arrangements;</w:t>
            </w:r>
          </w:p>
        </w:tc>
      </w:tr>
    </w:tbl>
    <w:p w14:paraId="1A90935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59"/>
        <w:gridCol w:w="8901"/>
      </w:tblGrid>
      <w:tr w:rsidR="00DB72C3" w:rsidRPr="00DB72C3" w14:paraId="20CD46C1" w14:textId="77777777" w:rsidTr="00DB72C3">
        <w:tc>
          <w:tcPr>
            <w:tcW w:w="0" w:type="auto"/>
            <w:shd w:val="clear" w:color="auto" w:fill="auto"/>
            <w:hideMark/>
          </w:tcPr>
          <w:p w14:paraId="3770C3E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(19)</w:t>
            </w:r>
          </w:p>
        </w:tc>
        <w:tc>
          <w:tcPr>
            <w:tcW w:w="0" w:type="auto"/>
            <w:shd w:val="clear" w:color="auto" w:fill="auto"/>
            <w:hideMark/>
          </w:tcPr>
          <w:p w14:paraId="7C1731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 means an undertaking providing ICT services;</w:t>
            </w:r>
          </w:p>
        </w:tc>
      </w:tr>
    </w:tbl>
    <w:p w14:paraId="7E2013B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D52282D" w14:textId="77777777" w:rsidTr="00DB72C3">
        <w:tc>
          <w:tcPr>
            <w:tcW w:w="0" w:type="auto"/>
            <w:shd w:val="clear" w:color="auto" w:fill="auto"/>
            <w:hideMark/>
          </w:tcPr>
          <w:p w14:paraId="2FA1E0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(20)</w:t>
            </w:r>
          </w:p>
        </w:tc>
        <w:tc>
          <w:tcPr>
            <w:tcW w:w="0" w:type="auto"/>
            <w:shd w:val="clear" w:color="auto" w:fill="auto"/>
            <w:hideMark/>
          </w:tcPr>
          <w:p w14:paraId="703E9E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intra-group service provider’ means an undertaking that is part of a financial group and that provides predominantly ICT services to financial entities within the same group or to financial entities belonging to the same institutional protection scheme, including to their parent undertakings, subsidiaries, branches or other entities that are under common ownership or control;</w:t>
            </w:r>
          </w:p>
        </w:tc>
      </w:tr>
    </w:tbl>
    <w:p w14:paraId="43DC246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2E0E7F8" w14:textId="77777777" w:rsidTr="00DB72C3">
        <w:tc>
          <w:tcPr>
            <w:tcW w:w="0" w:type="auto"/>
            <w:shd w:val="clear" w:color="auto" w:fill="auto"/>
            <w:hideMark/>
          </w:tcPr>
          <w:p w14:paraId="6F6C9B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(21)</w:t>
            </w:r>
          </w:p>
        </w:tc>
        <w:tc>
          <w:tcPr>
            <w:tcW w:w="0" w:type="auto"/>
            <w:shd w:val="clear" w:color="auto" w:fill="auto"/>
            <w:hideMark/>
          </w:tcPr>
          <w:p w14:paraId="34A46C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services’ means digital and data services provided through ICT systems to one or more internal or external users on an ongoing basis, including hardware as a service and hardware services which includes the provision of technical support via software or firmware updates by the hardware provider, excluding traditional analogue telephone services;</w:t>
            </w:r>
          </w:p>
        </w:tc>
      </w:tr>
    </w:tbl>
    <w:p w14:paraId="292FE26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2FC4C69" w14:textId="77777777" w:rsidTr="00DB72C3">
        <w:tc>
          <w:tcPr>
            <w:tcW w:w="0" w:type="auto"/>
            <w:shd w:val="clear" w:color="auto" w:fill="auto"/>
            <w:hideMark/>
          </w:tcPr>
          <w:p w14:paraId="2D0E0E1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(22)</w:t>
            </w:r>
          </w:p>
        </w:tc>
        <w:tc>
          <w:tcPr>
            <w:tcW w:w="0" w:type="auto"/>
            <w:shd w:val="clear" w:color="auto" w:fill="auto"/>
            <w:hideMark/>
          </w:tcPr>
          <w:p w14:paraId="0F3F85C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critical</w:t>
            </w:r>
            <w:proofErr w:type="gramEnd"/>
            <w:r w:rsidRPr="00DB72C3">
              <w:rPr>
                <w:rFonts w:ascii="Times New Roman" w:eastAsia="Times New Roman" w:hAnsi="Times New Roman" w:cs="Times New Roman"/>
                <w:sz w:val="24"/>
                <w:szCs w:val="24"/>
              </w:rPr>
              <w:t xml:space="preserve"> or important function’ means a function, the disruption of which would materially impair the financial performance of a financial entity, or the soundness or continuity of its services and activities, or the discontinued, defective or failed performance of that function would materially impair the continuing compliance of a financial entity with the conditions and obligations of its </w:t>
            </w:r>
            <w:proofErr w:type="spellStart"/>
            <w:r w:rsidRPr="00DB72C3">
              <w:rPr>
                <w:rFonts w:ascii="Times New Roman" w:eastAsia="Times New Roman" w:hAnsi="Times New Roman" w:cs="Times New Roman"/>
                <w:sz w:val="24"/>
                <w:szCs w:val="24"/>
              </w:rPr>
              <w:t>authorisation</w:t>
            </w:r>
            <w:proofErr w:type="spellEnd"/>
            <w:r w:rsidRPr="00DB72C3">
              <w:rPr>
                <w:rFonts w:ascii="Times New Roman" w:eastAsia="Times New Roman" w:hAnsi="Times New Roman" w:cs="Times New Roman"/>
                <w:sz w:val="24"/>
                <w:szCs w:val="24"/>
              </w:rPr>
              <w:t>, or with its other obligations under applicable financial services law;</w:t>
            </w:r>
          </w:p>
        </w:tc>
      </w:tr>
    </w:tbl>
    <w:p w14:paraId="740C0A3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CE399B9" w14:textId="77777777" w:rsidTr="00DB72C3">
        <w:tc>
          <w:tcPr>
            <w:tcW w:w="0" w:type="auto"/>
            <w:shd w:val="clear" w:color="auto" w:fill="auto"/>
            <w:hideMark/>
          </w:tcPr>
          <w:p w14:paraId="0CF006E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(23)</w:t>
            </w:r>
          </w:p>
        </w:tc>
        <w:tc>
          <w:tcPr>
            <w:tcW w:w="0" w:type="auto"/>
            <w:shd w:val="clear" w:color="auto" w:fill="auto"/>
            <w:hideMark/>
          </w:tcPr>
          <w:p w14:paraId="6F4533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critical</w:t>
            </w:r>
            <w:proofErr w:type="gramEnd"/>
            <w:r w:rsidRPr="00DB72C3">
              <w:rPr>
                <w:rFonts w:ascii="Times New Roman" w:eastAsia="Times New Roman" w:hAnsi="Times New Roman" w:cs="Times New Roman"/>
                <w:sz w:val="24"/>
                <w:szCs w:val="24"/>
              </w:rPr>
              <w:t xml:space="preserve"> ICT third-party service provider’ means an ICT third-party service provider designated as critical in accordance with Article 31;</w:t>
            </w:r>
          </w:p>
        </w:tc>
      </w:tr>
    </w:tbl>
    <w:p w14:paraId="528D328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9D84039" w14:textId="77777777" w:rsidTr="00DB72C3">
        <w:tc>
          <w:tcPr>
            <w:tcW w:w="0" w:type="auto"/>
            <w:shd w:val="clear" w:color="auto" w:fill="auto"/>
            <w:hideMark/>
          </w:tcPr>
          <w:p w14:paraId="0DD893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(24)</w:t>
            </w:r>
          </w:p>
        </w:tc>
        <w:tc>
          <w:tcPr>
            <w:tcW w:w="0" w:type="auto"/>
            <w:shd w:val="clear" w:color="auto" w:fill="auto"/>
            <w:hideMark/>
          </w:tcPr>
          <w:p w14:paraId="48AFC2F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 established in a third country’ means an ICT third-party service provider that is a legal person established in a third-country and that has entered into a contractual arrangement with a financial entity for the provision of ICT services;</w:t>
            </w:r>
          </w:p>
        </w:tc>
      </w:tr>
    </w:tbl>
    <w:p w14:paraId="18249C2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D72BBA0" w14:textId="77777777" w:rsidTr="00DB72C3">
        <w:tc>
          <w:tcPr>
            <w:tcW w:w="0" w:type="auto"/>
            <w:shd w:val="clear" w:color="auto" w:fill="auto"/>
            <w:hideMark/>
          </w:tcPr>
          <w:p w14:paraId="4F876F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(25)</w:t>
            </w:r>
          </w:p>
        </w:tc>
        <w:tc>
          <w:tcPr>
            <w:tcW w:w="0" w:type="auto"/>
            <w:shd w:val="clear" w:color="auto" w:fill="auto"/>
            <w:hideMark/>
          </w:tcPr>
          <w:p w14:paraId="19BAC70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‘subsidiary’ means a subsidiary undertaking within the meaning of Article 2, point (10), and Article 22 of Directive 2013/34/EU;</w:t>
            </w:r>
          </w:p>
        </w:tc>
      </w:tr>
    </w:tbl>
    <w:p w14:paraId="2594BFA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45"/>
        <w:gridCol w:w="8915"/>
      </w:tblGrid>
      <w:tr w:rsidR="00DB72C3" w:rsidRPr="00DB72C3" w14:paraId="7EDD3980" w14:textId="77777777" w:rsidTr="00DB72C3">
        <w:tc>
          <w:tcPr>
            <w:tcW w:w="0" w:type="auto"/>
            <w:shd w:val="clear" w:color="auto" w:fill="auto"/>
            <w:hideMark/>
          </w:tcPr>
          <w:p w14:paraId="5689D51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(26)</w:t>
            </w:r>
          </w:p>
        </w:tc>
        <w:tc>
          <w:tcPr>
            <w:tcW w:w="0" w:type="auto"/>
            <w:shd w:val="clear" w:color="auto" w:fill="auto"/>
            <w:hideMark/>
          </w:tcPr>
          <w:p w14:paraId="00C0C89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‘group’ means a group as defined in Article 2, point (11), of Directive 2013/34/EU;</w:t>
            </w:r>
          </w:p>
        </w:tc>
      </w:tr>
    </w:tbl>
    <w:p w14:paraId="07F3D71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FBEC91B" w14:textId="77777777" w:rsidTr="00DB72C3">
        <w:tc>
          <w:tcPr>
            <w:tcW w:w="0" w:type="auto"/>
            <w:shd w:val="clear" w:color="auto" w:fill="auto"/>
            <w:hideMark/>
          </w:tcPr>
          <w:p w14:paraId="309063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(27)</w:t>
            </w:r>
          </w:p>
        </w:tc>
        <w:tc>
          <w:tcPr>
            <w:tcW w:w="0" w:type="auto"/>
            <w:shd w:val="clear" w:color="auto" w:fill="auto"/>
            <w:hideMark/>
          </w:tcPr>
          <w:p w14:paraId="2E42478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parent</w:t>
            </w:r>
            <w:proofErr w:type="gramEnd"/>
            <w:r w:rsidRPr="00DB72C3">
              <w:rPr>
                <w:rFonts w:ascii="Times New Roman" w:eastAsia="Times New Roman" w:hAnsi="Times New Roman" w:cs="Times New Roman"/>
                <w:sz w:val="24"/>
                <w:szCs w:val="24"/>
              </w:rPr>
              <w:t xml:space="preserve"> undertaking’ means a parent undertaking within the meaning of Article 2, point (9), and Article 22 of Directive 2013/34/EU;</w:t>
            </w:r>
          </w:p>
        </w:tc>
      </w:tr>
    </w:tbl>
    <w:p w14:paraId="1535DA1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57D4408" w14:textId="77777777" w:rsidTr="00DB72C3">
        <w:tc>
          <w:tcPr>
            <w:tcW w:w="0" w:type="auto"/>
            <w:shd w:val="clear" w:color="auto" w:fill="auto"/>
            <w:hideMark/>
          </w:tcPr>
          <w:p w14:paraId="4DFC708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(28)</w:t>
            </w:r>
          </w:p>
        </w:tc>
        <w:tc>
          <w:tcPr>
            <w:tcW w:w="0" w:type="auto"/>
            <w:shd w:val="clear" w:color="auto" w:fill="auto"/>
            <w:hideMark/>
          </w:tcPr>
          <w:p w14:paraId="6876ED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subcontractor established in a third country’ means an ICT subcontractor that is a legal person established in a third-country and that has entered into a contractual arrangement either with an ICT third-party service provider, or with an ICT third-party service provider established in a third country;</w:t>
            </w:r>
          </w:p>
        </w:tc>
      </w:tr>
    </w:tbl>
    <w:p w14:paraId="21A7BDA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73D5F04" w14:textId="77777777" w:rsidTr="00DB72C3">
        <w:tc>
          <w:tcPr>
            <w:tcW w:w="0" w:type="auto"/>
            <w:shd w:val="clear" w:color="auto" w:fill="auto"/>
            <w:hideMark/>
          </w:tcPr>
          <w:p w14:paraId="3B2456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(29)</w:t>
            </w:r>
          </w:p>
        </w:tc>
        <w:tc>
          <w:tcPr>
            <w:tcW w:w="0" w:type="auto"/>
            <w:shd w:val="clear" w:color="auto" w:fill="auto"/>
            <w:hideMark/>
          </w:tcPr>
          <w:p w14:paraId="7C11F05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concentration risk’ means an exposure to individual or multiple related critical ICT third-party service providers creating a degree of dependency on such providers so that the unavailability, failure or other type of shortfall of such provider may potentially endanger the ability of a financial entity to deliver critical or important functions, or cause it to suffer other types of adverse effects, including large losses, or endanger the financial stability of the Union as a whole;</w:t>
            </w:r>
          </w:p>
        </w:tc>
      </w:tr>
    </w:tbl>
    <w:p w14:paraId="6873059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5778C6E" w14:textId="77777777" w:rsidTr="00DB72C3">
        <w:tc>
          <w:tcPr>
            <w:tcW w:w="0" w:type="auto"/>
            <w:shd w:val="clear" w:color="auto" w:fill="auto"/>
            <w:hideMark/>
          </w:tcPr>
          <w:p w14:paraId="1FA9D28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(30)</w:t>
            </w:r>
          </w:p>
        </w:tc>
        <w:tc>
          <w:tcPr>
            <w:tcW w:w="0" w:type="auto"/>
            <w:shd w:val="clear" w:color="auto" w:fill="auto"/>
            <w:hideMark/>
          </w:tcPr>
          <w:p w14:paraId="50FEAE7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‘management body’ means a management body as defined in Article 4(1), point (36), of Directive 2014/65/EU, Article 3(1), point (7), of Directive 2013/36/EU, Article 2(1), point (s), of Directive 2009/65/EC of the European Parliament and of the Council </w:t>
            </w:r>
            <w:hyperlink r:id="rId34" w:anchor="ntr31-L_2022333EN.01000101-E0031"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31</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Article 2(1), point (45), of Regulation (EU) No 909/2014, Article 3(1), point (20), of Regulation (EU) 2016/1011, and in the relevant provision of the Regulation on markets in crypto-assets, or the equivalent persons who effectively run the entity or have key functions in accordance with relevant Union or national law;</w:t>
            </w:r>
          </w:p>
        </w:tc>
      </w:tr>
    </w:tbl>
    <w:p w14:paraId="66532E3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E5D52DF" w14:textId="77777777" w:rsidTr="00DB72C3">
        <w:tc>
          <w:tcPr>
            <w:tcW w:w="0" w:type="auto"/>
            <w:shd w:val="clear" w:color="auto" w:fill="auto"/>
            <w:hideMark/>
          </w:tcPr>
          <w:p w14:paraId="20205D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(31)</w:t>
            </w:r>
          </w:p>
        </w:tc>
        <w:tc>
          <w:tcPr>
            <w:tcW w:w="0" w:type="auto"/>
            <w:shd w:val="clear" w:color="auto" w:fill="auto"/>
            <w:hideMark/>
          </w:tcPr>
          <w:p w14:paraId="14AA251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credit</w:t>
            </w:r>
            <w:proofErr w:type="gramEnd"/>
            <w:r w:rsidRPr="00DB72C3">
              <w:rPr>
                <w:rFonts w:ascii="Times New Roman" w:eastAsia="Times New Roman" w:hAnsi="Times New Roman" w:cs="Times New Roman"/>
                <w:sz w:val="24"/>
                <w:szCs w:val="24"/>
              </w:rPr>
              <w:t xml:space="preserve"> institution’ means a credit institution as defined in Article 4(1), point (1), of Regulation (EU) No 575/2013 of the European Parliament and of the Council </w:t>
            </w:r>
            <w:hyperlink r:id="rId35" w:anchor="ntr32-L_2022333EN.01000101-E0032"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32</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3D41105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3B119EB" w14:textId="77777777" w:rsidTr="00DB72C3">
        <w:tc>
          <w:tcPr>
            <w:tcW w:w="0" w:type="auto"/>
            <w:shd w:val="clear" w:color="auto" w:fill="auto"/>
            <w:hideMark/>
          </w:tcPr>
          <w:p w14:paraId="041D104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(32)</w:t>
            </w:r>
          </w:p>
        </w:tc>
        <w:tc>
          <w:tcPr>
            <w:tcW w:w="0" w:type="auto"/>
            <w:shd w:val="clear" w:color="auto" w:fill="auto"/>
            <w:hideMark/>
          </w:tcPr>
          <w:p w14:paraId="6A066DD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institution</w:t>
            </w:r>
            <w:proofErr w:type="gramEnd"/>
            <w:r w:rsidRPr="00DB72C3">
              <w:rPr>
                <w:rFonts w:ascii="Times New Roman" w:eastAsia="Times New Roman" w:hAnsi="Times New Roman" w:cs="Times New Roman"/>
                <w:sz w:val="24"/>
                <w:szCs w:val="24"/>
              </w:rPr>
              <w:t xml:space="preserve"> exempted pursuant to Directive 2013/36/EU’ means an entity as referred to in Article 2(5), points (4) to (23), of Directive 2013/36/EU;</w:t>
            </w:r>
          </w:p>
        </w:tc>
      </w:tr>
    </w:tbl>
    <w:p w14:paraId="0C3BF80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8152DD4" w14:textId="77777777" w:rsidTr="00DB72C3">
        <w:tc>
          <w:tcPr>
            <w:tcW w:w="0" w:type="auto"/>
            <w:shd w:val="clear" w:color="auto" w:fill="auto"/>
            <w:hideMark/>
          </w:tcPr>
          <w:p w14:paraId="73A806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(33)</w:t>
            </w:r>
          </w:p>
        </w:tc>
        <w:tc>
          <w:tcPr>
            <w:tcW w:w="0" w:type="auto"/>
            <w:shd w:val="clear" w:color="auto" w:fill="auto"/>
            <w:hideMark/>
          </w:tcPr>
          <w:p w14:paraId="101F9EA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investment</w:t>
            </w:r>
            <w:proofErr w:type="gramEnd"/>
            <w:r w:rsidRPr="00DB72C3">
              <w:rPr>
                <w:rFonts w:ascii="Times New Roman" w:eastAsia="Times New Roman" w:hAnsi="Times New Roman" w:cs="Times New Roman"/>
                <w:sz w:val="24"/>
                <w:szCs w:val="24"/>
              </w:rPr>
              <w:t xml:space="preserve"> firm’ means an investment firm as defined in Article 4(1), point (1), of Directive 2014/65/EU;</w:t>
            </w:r>
          </w:p>
        </w:tc>
      </w:tr>
    </w:tbl>
    <w:p w14:paraId="4F8BDF5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492B893" w14:textId="77777777" w:rsidTr="00DB72C3">
        <w:tc>
          <w:tcPr>
            <w:tcW w:w="0" w:type="auto"/>
            <w:shd w:val="clear" w:color="auto" w:fill="auto"/>
            <w:hideMark/>
          </w:tcPr>
          <w:p w14:paraId="440468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(34)</w:t>
            </w:r>
          </w:p>
        </w:tc>
        <w:tc>
          <w:tcPr>
            <w:tcW w:w="0" w:type="auto"/>
            <w:shd w:val="clear" w:color="auto" w:fill="auto"/>
            <w:hideMark/>
          </w:tcPr>
          <w:p w14:paraId="782A94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small</w:t>
            </w:r>
            <w:proofErr w:type="gramEnd"/>
            <w:r w:rsidRPr="00DB72C3">
              <w:rPr>
                <w:rFonts w:ascii="Times New Roman" w:eastAsia="Times New Roman" w:hAnsi="Times New Roman" w:cs="Times New Roman"/>
                <w:sz w:val="24"/>
                <w:szCs w:val="24"/>
              </w:rPr>
              <w:t xml:space="preserve"> and non-interconnected investment firm’ means an investment firm that meets the conditions laid out in Article 12(1) of Regulation (EU) 2019/2033 of the European Parliament and of the Council </w:t>
            </w:r>
            <w:hyperlink r:id="rId36" w:anchor="ntr33-L_2022333EN.01000101-E0033"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33</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5BBFABE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4AE85B8" w14:textId="77777777" w:rsidTr="00DB72C3">
        <w:tc>
          <w:tcPr>
            <w:tcW w:w="0" w:type="auto"/>
            <w:shd w:val="clear" w:color="auto" w:fill="auto"/>
            <w:hideMark/>
          </w:tcPr>
          <w:p w14:paraId="6332A83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(35)</w:t>
            </w:r>
          </w:p>
        </w:tc>
        <w:tc>
          <w:tcPr>
            <w:tcW w:w="0" w:type="auto"/>
            <w:shd w:val="clear" w:color="auto" w:fill="auto"/>
            <w:hideMark/>
          </w:tcPr>
          <w:p w14:paraId="296C24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payment</w:t>
            </w:r>
            <w:proofErr w:type="gramEnd"/>
            <w:r w:rsidRPr="00DB72C3">
              <w:rPr>
                <w:rFonts w:ascii="Times New Roman" w:eastAsia="Times New Roman" w:hAnsi="Times New Roman" w:cs="Times New Roman"/>
                <w:sz w:val="24"/>
                <w:szCs w:val="24"/>
              </w:rPr>
              <w:t xml:space="preserve"> institution’ means a payment institution as defined in Article 4, point (4), of Directive (EU) 2015/2366;</w:t>
            </w:r>
          </w:p>
        </w:tc>
      </w:tr>
    </w:tbl>
    <w:p w14:paraId="264CBCA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6EE452D" w14:textId="77777777" w:rsidTr="00DB72C3">
        <w:tc>
          <w:tcPr>
            <w:tcW w:w="0" w:type="auto"/>
            <w:shd w:val="clear" w:color="auto" w:fill="auto"/>
            <w:hideMark/>
          </w:tcPr>
          <w:p w14:paraId="68ED760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(36)</w:t>
            </w:r>
          </w:p>
        </w:tc>
        <w:tc>
          <w:tcPr>
            <w:tcW w:w="0" w:type="auto"/>
            <w:shd w:val="clear" w:color="auto" w:fill="auto"/>
            <w:hideMark/>
          </w:tcPr>
          <w:p w14:paraId="78D6E3C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payment</w:t>
            </w:r>
            <w:proofErr w:type="gramEnd"/>
            <w:r w:rsidRPr="00DB72C3">
              <w:rPr>
                <w:rFonts w:ascii="Times New Roman" w:eastAsia="Times New Roman" w:hAnsi="Times New Roman" w:cs="Times New Roman"/>
                <w:sz w:val="24"/>
                <w:szCs w:val="24"/>
              </w:rPr>
              <w:t xml:space="preserve"> institution exempted pursuant to Directive (EU) 2015/2366’ means a payment institution exempted pursuant to Article 32(1) of Directive (EU) 2015/2366;</w:t>
            </w:r>
          </w:p>
        </w:tc>
      </w:tr>
    </w:tbl>
    <w:p w14:paraId="5DE0CC8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701E93E" w14:textId="77777777" w:rsidTr="00DB72C3">
        <w:tc>
          <w:tcPr>
            <w:tcW w:w="0" w:type="auto"/>
            <w:shd w:val="clear" w:color="auto" w:fill="auto"/>
            <w:hideMark/>
          </w:tcPr>
          <w:p w14:paraId="14142B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(37)</w:t>
            </w:r>
          </w:p>
        </w:tc>
        <w:tc>
          <w:tcPr>
            <w:tcW w:w="0" w:type="auto"/>
            <w:shd w:val="clear" w:color="auto" w:fill="auto"/>
            <w:hideMark/>
          </w:tcPr>
          <w:p w14:paraId="64C50F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account</w:t>
            </w:r>
            <w:proofErr w:type="gramEnd"/>
            <w:r w:rsidRPr="00DB72C3">
              <w:rPr>
                <w:rFonts w:ascii="Times New Roman" w:eastAsia="Times New Roman" w:hAnsi="Times New Roman" w:cs="Times New Roman"/>
                <w:sz w:val="24"/>
                <w:szCs w:val="24"/>
              </w:rPr>
              <w:t xml:space="preserve"> information service provider’ means an account information service provider as referred to in Article 33(1) of Directive (EU) 2015/2366;</w:t>
            </w:r>
          </w:p>
        </w:tc>
      </w:tr>
    </w:tbl>
    <w:p w14:paraId="1F5DD50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CC11C16" w14:textId="77777777" w:rsidTr="00DB72C3">
        <w:tc>
          <w:tcPr>
            <w:tcW w:w="0" w:type="auto"/>
            <w:shd w:val="clear" w:color="auto" w:fill="auto"/>
            <w:hideMark/>
          </w:tcPr>
          <w:p w14:paraId="6DC332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(38)</w:t>
            </w:r>
          </w:p>
        </w:tc>
        <w:tc>
          <w:tcPr>
            <w:tcW w:w="0" w:type="auto"/>
            <w:shd w:val="clear" w:color="auto" w:fill="auto"/>
            <w:hideMark/>
          </w:tcPr>
          <w:p w14:paraId="746FB6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electronic</w:t>
            </w:r>
            <w:proofErr w:type="gramEnd"/>
            <w:r w:rsidRPr="00DB72C3">
              <w:rPr>
                <w:rFonts w:ascii="Times New Roman" w:eastAsia="Times New Roman" w:hAnsi="Times New Roman" w:cs="Times New Roman"/>
                <w:sz w:val="24"/>
                <w:szCs w:val="24"/>
              </w:rPr>
              <w:t xml:space="preserve"> money institution’ means an electronic money institution as defined in Article 2, point (1), of Directive 2009/110/EC of the European Parliament and of the Council;</w:t>
            </w:r>
          </w:p>
        </w:tc>
      </w:tr>
    </w:tbl>
    <w:p w14:paraId="175F6C3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8BBEE07" w14:textId="77777777" w:rsidTr="00DB72C3">
        <w:tc>
          <w:tcPr>
            <w:tcW w:w="0" w:type="auto"/>
            <w:shd w:val="clear" w:color="auto" w:fill="auto"/>
            <w:hideMark/>
          </w:tcPr>
          <w:p w14:paraId="42C6FC9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(39)</w:t>
            </w:r>
          </w:p>
        </w:tc>
        <w:tc>
          <w:tcPr>
            <w:tcW w:w="0" w:type="auto"/>
            <w:shd w:val="clear" w:color="auto" w:fill="auto"/>
            <w:hideMark/>
          </w:tcPr>
          <w:p w14:paraId="66D587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electronic</w:t>
            </w:r>
            <w:proofErr w:type="gramEnd"/>
            <w:r w:rsidRPr="00DB72C3">
              <w:rPr>
                <w:rFonts w:ascii="Times New Roman" w:eastAsia="Times New Roman" w:hAnsi="Times New Roman" w:cs="Times New Roman"/>
                <w:sz w:val="24"/>
                <w:szCs w:val="24"/>
              </w:rPr>
              <w:t xml:space="preserve"> money institution exempted pursuant to Directive 2009/110/EC’ means an electronic money institution benefitting from a waiver as referred to in Article 9(1) of Directive 2009/110/EC;</w:t>
            </w:r>
          </w:p>
        </w:tc>
      </w:tr>
    </w:tbl>
    <w:p w14:paraId="4CA742A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72523F7" w14:textId="77777777" w:rsidTr="00DB72C3">
        <w:tc>
          <w:tcPr>
            <w:tcW w:w="0" w:type="auto"/>
            <w:shd w:val="clear" w:color="auto" w:fill="auto"/>
            <w:hideMark/>
          </w:tcPr>
          <w:p w14:paraId="47B5F9A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(40)</w:t>
            </w:r>
          </w:p>
        </w:tc>
        <w:tc>
          <w:tcPr>
            <w:tcW w:w="0" w:type="auto"/>
            <w:shd w:val="clear" w:color="auto" w:fill="auto"/>
            <w:hideMark/>
          </w:tcPr>
          <w:p w14:paraId="2B368F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central</w:t>
            </w:r>
            <w:proofErr w:type="gramEnd"/>
            <w:r w:rsidRPr="00DB72C3">
              <w:rPr>
                <w:rFonts w:ascii="Times New Roman" w:eastAsia="Times New Roman" w:hAnsi="Times New Roman" w:cs="Times New Roman"/>
                <w:sz w:val="24"/>
                <w:szCs w:val="24"/>
              </w:rPr>
              <w:t xml:space="preserve"> counterparty’ means a central counterparty as defined in Article 2, point (1), of Regulation (EU) No 648/2012;</w:t>
            </w:r>
          </w:p>
        </w:tc>
      </w:tr>
    </w:tbl>
    <w:p w14:paraId="16E1992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A2C4ED3" w14:textId="77777777" w:rsidTr="00DB72C3">
        <w:tc>
          <w:tcPr>
            <w:tcW w:w="0" w:type="auto"/>
            <w:shd w:val="clear" w:color="auto" w:fill="auto"/>
            <w:hideMark/>
          </w:tcPr>
          <w:p w14:paraId="67BCCED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(41)</w:t>
            </w:r>
          </w:p>
        </w:tc>
        <w:tc>
          <w:tcPr>
            <w:tcW w:w="0" w:type="auto"/>
            <w:shd w:val="clear" w:color="auto" w:fill="auto"/>
            <w:hideMark/>
          </w:tcPr>
          <w:p w14:paraId="515738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trade</w:t>
            </w:r>
            <w:proofErr w:type="gramEnd"/>
            <w:r w:rsidRPr="00DB72C3">
              <w:rPr>
                <w:rFonts w:ascii="Times New Roman" w:eastAsia="Times New Roman" w:hAnsi="Times New Roman" w:cs="Times New Roman"/>
                <w:sz w:val="24"/>
                <w:szCs w:val="24"/>
              </w:rPr>
              <w:t xml:space="preserve"> repository’ means a trade repository as defined in Article 2, point (2), of Regulation (EU) No 648/2012;</w:t>
            </w:r>
          </w:p>
        </w:tc>
      </w:tr>
    </w:tbl>
    <w:p w14:paraId="30D8A96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5069FB1" w14:textId="77777777" w:rsidTr="00DB72C3">
        <w:tc>
          <w:tcPr>
            <w:tcW w:w="0" w:type="auto"/>
            <w:shd w:val="clear" w:color="auto" w:fill="auto"/>
            <w:hideMark/>
          </w:tcPr>
          <w:p w14:paraId="02E7A9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(42)</w:t>
            </w:r>
          </w:p>
        </w:tc>
        <w:tc>
          <w:tcPr>
            <w:tcW w:w="0" w:type="auto"/>
            <w:shd w:val="clear" w:color="auto" w:fill="auto"/>
            <w:hideMark/>
          </w:tcPr>
          <w:p w14:paraId="0C5CF3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central</w:t>
            </w:r>
            <w:proofErr w:type="gramEnd"/>
            <w:r w:rsidRPr="00DB72C3">
              <w:rPr>
                <w:rFonts w:ascii="Times New Roman" w:eastAsia="Times New Roman" w:hAnsi="Times New Roman" w:cs="Times New Roman"/>
                <w:sz w:val="24"/>
                <w:szCs w:val="24"/>
              </w:rPr>
              <w:t xml:space="preserve"> securities depository’ means a central securities depository as defined in Article 2(1), point (1), of Regulation (EU) No 909/2014;</w:t>
            </w:r>
          </w:p>
        </w:tc>
      </w:tr>
    </w:tbl>
    <w:p w14:paraId="4A293CE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7E2DF53" w14:textId="77777777" w:rsidTr="00DB72C3">
        <w:tc>
          <w:tcPr>
            <w:tcW w:w="0" w:type="auto"/>
            <w:shd w:val="clear" w:color="auto" w:fill="auto"/>
            <w:hideMark/>
          </w:tcPr>
          <w:p w14:paraId="2B12654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(43)</w:t>
            </w:r>
          </w:p>
        </w:tc>
        <w:tc>
          <w:tcPr>
            <w:tcW w:w="0" w:type="auto"/>
            <w:shd w:val="clear" w:color="auto" w:fill="auto"/>
            <w:hideMark/>
          </w:tcPr>
          <w:p w14:paraId="7BC321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trading</w:t>
            </w:r>
            <w:proofErr w:type="gramEnd"/>
            <w:r w:rsidRPr="00DB72C3">
              <w:rPr>
                <w:rFonts w:ascii="Times New Roman" w:eastAsia="Times New Roman" w:hAnsi="Times New Roman" w:cs="Times New Roman"/>
                <w:sz w:val="24"/>
                <w:szCs w:val="24"/>
              </w:rPr>
              <w:t xml:space="preserve"> venue’ means a trading venue as defined in Article 4(1), point (24), of Directive 2014/65/EU;</w:t>
            </w:r>
          </w:p>
        </w:tc>
      </w:tr>
    </w:tbl>
    <w:p w14:paraId="259E290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CAECB3B" w14:textId="77777777" w:rsidTr="00DB72C3">
        <w:tc>
          <w:tcPr>
            <w:tcW w:w="0" w:type="auto"/>
            <w:shd w:val="clear" w:color="auto" w:fill="auto"/>
            <w:hideMark/>
          </w:tcPr>
          <w:p w14:paraId="3F98BC0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(44)</w:t>
            </w:r>
          </w:p>
        </w:tc>
        <w:tc>
          <w:tcPr>
            <w:tcW w:w="0" w:type="auto"/>
            <w:shd w:val="clear" w:color="auto" w:fill="auto"/>
            <w:hideMark/>
          </w:tcPr>
          <w:p w14:paraId="6171FA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manager</w:t>
            </w:r>
            <w:proofErr w:type="gramEnd"/>
            <w:r w:rsidRPr="00DB72C3">
              <w:rPr>
                <w:rFonts w:ascii="Times New Roman" w:eastAsia="Times New Roman" w:hAnsi="Times New Roman" w:cs="Times New Roman"/>
                <w:sz w:val="24"/>
                <w:szCs w:val="24"/>
              </w:rPr>
              <w:t xml:space="preserve"> of alternative investment funds’ means a manager of alternative investment funds as defined in Article 4(1), point (b), of Directive 2011/61/EU;</w:t>
            </w:r>
          </w:p>
        </w:tc>
      </w:tr>
    </w:tbl>
    <w:p w14:paraId="08B78AF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7910F0B" w14:textId="77777777" w:rsidTr="00DB72C3">
        <w:tc>
          <w:tcPr>
            <w:tcW w:w="0" w:type="auto"/>
            <w:shd w:val="clear" w:color="auto" w:fill="auto"/>
            <w:hideMark/>
          </w:tcPr>
          <w:p w14:paraId="045A512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(45)</w:t>
            </w:r>
          </w:p>
        </w:tc>
        <w:tc>
          <w:tcPr>
            <w:tcW w:w="0" w:type="auto"/>
            <w:shd w:val="clear" w:color="auto" w:fill="auto"/>
            <w:hideMark/>
          </w:tcPr>
          <w:p w14:paraId="17E782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management</w:t>
            </w:r>
            <w:proofErr w:type="gramEnd"/>
            <w:r w:rsidRPr="00DB72C3">
              <w:rPr>
                <w:rFonts w:ascii="Times New Roman" w:eastAsia="Times New Roman" w:hAnsi="Times New Roman" w:cs="Times New Roman"/>
                <w:sz w:val="24"/>
                <w:szCs w:val="24"/>
              </w:rPr>
              <w:t xml:space="preserve"> company’ means a management company as defined in Article 2(1), point (b), of Directive 2009/65/EC;</w:t>
            </w:r>
          </w:p>
        </w:tc>
      </w:tr>
    </w:tbl>
    <w:p w14:paraId="02FAF16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2834D01" w14:textId="77777777" w:rsidTr="00DB72C3">
        <w:tc>
          <w:tcPr>
            <w:tcW w:w="0" w:type="auto"/>
            <w:shd w:val="clear" w:color="auto" w:fill="auto"/>
            <w:hideMark/>
          </w:tcPr>
          <w:p w14:paraId="700C2FD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(46)</w:t>
            </w:r>
          </w:p>
        </w:tc>
        <w:tc>
          <w:tcPr>
            <w:tcW w:w="0" w:type="auto"/>
            <w:shd w:val="clear" w:color="auto" w:fill="auto"/>
            <w:hideMark/>
          </w:tcPr>
          <w:p w14:paraId="1E9558F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data</w:t>
            </w:r>
            <w:proofErr w:type="gramEnd"/>
            <w:r w:rsidRPr="00DB72C3">
              <w:rPr>
                <w:rFonts w:ascii="Times New Roman" w:eastAsia="Times New Roman" w:hAnsi="Times New Roman" w:cs="Times New Roman"/>
                <w:sz w:val="24"/>
                <w:szCs w:val="24"/>
              </w:rPr>
              <w:t xml:space="preserve"> reporting service provider’ means a data reporting service provider within the meaning of Regulation (EU) No 600/2014, as referred to in Article 2(1), points (34) to (36) thereof;</w:t>
            </w:r>
          </w:p>
        </w:tc>
      </w:tr>
    </w:tbl>
    <w:p w14:paraId="622E059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1CF6B13" w14:textId="77777777" w:rsidTr="00DB72C3">
        <w:tc>
          <w:tcPr>
            <w:tcW w:w="0" w:type="auto"/>
            <w:shd w:val="clear" w:color="auto" w:fill="auto"/>
            <w:hideMark/>
          </w:tcPr>
          <w:p w14:paraId="1A985C3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(47)</w:t>
            </w:r>
          </w:p>
        </w:tc>
        <w:tc>
          <w:tcPr>
            <w:tcW w:w="0" w:type="auto"/>
            <w:shd w:val="clear" w:color="auto" w:fill="auto"/>
            <w:hideMark/>
          </w:tcPr>
          <w:p w14:paraId="6216DAA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insurance</w:t>
            </w:r>
            <w:proofErr w:type="gramEnd"/>
            <w:r w:rsidRPr="00DB72C3">
              <w:rPr>
                <w:rFonts w:ascii="Times New Roman" w:eastAsia="Times New Roman" w:hAnsi="Times New Roman" w:cs="Times New Roman"/>
                <w:sz w:val="24"/>
                <w:szCs w:val="24"/>
              </w:rPr>
              <w:t xml:space="preserve"> undertaking’ means an insurance undertaking as defined in Article 13, point (1), of Directive 2009/138/EC;</w:t>
            </w:r>
          </w:p>
        </w:tc>
      </w:tr>
    </w:tbl>
    <w:p w14:paraId="2D4B7E0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6B71EFB" w14:textId="77777777" w:rsidTr="00DB72C3">
        <w:tc>
          <w:tcPr>
            <w:tcW w:w="0" w:type="auto"/>
            <w:shd w:val="clear" w:color="auto" w:fill="auto"/>
            <w:hideMark/>
          </w:tcPr>
          <w:p w14:paraId="442EF9B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(48)</w:t>
            </w:r>
          </w:p>
        </w:tc>
        <w:tc>
          <w:tcPr>
            <w:tcW w:w="0" w:type="auto"/>
            <w:shd w:val="clear" w:color="auto" w:fill="auto"/>
            <w:hideMark/>
          </w:tcPr>
          <w:p w14:paraId="592E77C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reinsurance</w:t>
            </w:r>
            <w:proofErr w:type="gramEnd"/>
            <w:r w:rsidRPr="00DB72C3">
              <w:rPr>
                <w:rFonts w:ascii="Times New Roman" w:eastAsia="Times New Roman" w:hAnsi="Times New Roman" w:cs="Times New Roman"/>
                <w:sz w:val="24"/>
                <w:szCs w:val="24"/>
              </w:rPr>
              <w:t xml:space="preserve"> undertaking’ means a reinsurance undertaking as defined in Article 13, point (4), of Directive 2009/138/EC;</w:t>
            </w:r>
          </w:p>
        </w:tc>
      </w:tr>
    </w:tbl>
    <w:p w14:paraId="1A2C7AC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3021D38" w14:textId="77777777" w:rsidTr="00DB72C3">
        <w:tc>
          <w:tcPr>
            <w:tcW w:w="0" w:type="auto"/>
            <w:shd w:val="clear" w:color="auto" w:fill="auto"/>
            <w:hideMark/>
          </w:tcPr>
          <w:p w14:paraId="376EAD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(49)</w:t>
            </w:r>
          </w:p>
        </w:tc>
        <w:tc>
          <w:tcPr>
            <w:tcW w:w="0" w:type="auto"/>
            <w:shd w:val="clear" w:color="auto" w:fill="auto"/>
            <w:hideMark/>
          </w:tcPr>
          <w:p w14:paraId="2C033B2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insurance</w:t>
            </w:r>
            <w:proofErr w:type="gramEnd"/>
            <w:r w:rsidRPr="00DB72C3">
              <w:rPr>
                <w:rFonts w:ascii="Times New Roman" w:eastAsia="Times New Roman" w:hAnsi="Times New Roman" w:cs="Times New Roman"/>
                <w:sz w:val="24"/>
                <w:szCs w:val="24"/>
              </w:rPr>
              <w:t xml:space="preserve"> intermediary’ means an insurance intermediary as defined in Article 2(1), point (3), of Directive (EU) 2016/97 of the European Parliament and of the Council </w:t>
            </w:r>
            <w:hyperlink r:id="rId37" w:anchor="ntr34-L_2022333EN.01000101-E0034"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34</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5327A81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1097D360" w14:textId="77777777" w:rsidTr="00DB72C3">
        <w:tc>
          <w:tcPr>
            <w:tcW w:w="0" w:type="auto"/>
            <w:shd w:val="clear" w:color="auto" w:fill="auto"/>
            <w:hideMark/>
          </w:tcPr>
          <w:p w14:paraId="33683D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(50)</w:t>
            </w:r>
          </w:p>
        </w:tc>
        <w:tc>
          <w:tcPr>
            <w:tcW w:w="0" w:type="auto"/>
            <w:shd w:val="clear" w:color="auto" w:fill="auto"/>
            <w:hideMark/>
          </w:tcPr>
          <w:p w14:paraId="4108FB2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ancillary</w:t>
            </w:r>
            <w:proofErr w:type="gramEnd"/>
            <w:r w:rsidRPr="00DB72C3">
              <w:rPr>
                <w:rFonts w:ascii="Times New Roman" w:eastAsia="Times New Roman" w:hAnsi="Times New Roman" w:cs="Times New Roman"/>
                <w:sz w:val="24"/>
                <w:szCs w:val="24"/>
              </w:rPr>
              <w:t xml:space="preserve"> insurance intermediary’ means an ancillary insurance intermediary as defined in Article 2(1), point (4), of Directive (EU) 2016/97;</w:t>
            </w:r>
          </w:p>
        </w:tc>
      </w:tr>
    </w:tbl>
    <w:p w14:paraId="2B94B2F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2C1B22D" w14:textId="77777777" w:rsidTr="00DB72C3">
        <w:tc>
          <w:tcPr>
            <w:tcW w:w="0" w:type="auto"/>
            <w:shd w:val="clear" w:color="auto" w:fill="auto"/>
            <w:hideMark/>
          </w:tcPr>
          <w:p w14:paraId="02A1695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(51)</w:t>
            </w:r>
          </w:p>
        </w:tc>
        <w:tc>
          <w:tcPr>
            <w:tcW w:w="0" w:type="auto"/>
            <w:shd w:val="clear" w:color="auto" w:fill="auto"/>
            <w:hideMark/>
          </w:tcPr>
          <w:p w14:paraId="05532BB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reinsurance</w:t>
            </w:r>
            <w:proofErr w:type="gramEnd"/>
            <w:r w:rsidRPr="00DB72C3">
              <w:rPr>
                <w:rFonts w:ascii="Times New Roman" w:eastAsia="Times New Roman" w:hAnsi="Times New Roman" w:cs="Times New Roman"/>
                <w:sz w:val="24"/>
                <w:szCs w:val="24"/>
              </w:rPr>
              <w:t xml:space="preserve"> intermediary’ means a reinsurance intermediary as defined in Article 2(1), point (5), of Directive (EU) 2016/97;</w:t>
            </w:r>
          </w:p>
        </w:tc>
      </w:tr>
    </w:tbl>
    <w:p w14:paraId="3BDD41E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3CFD3FF" w14:textId="77777777" w:rsidTr="00DB72C3">
        <w:tc>
          <w:tcPr>
            <w:tcW w:w="0" w:type="auto"/>
            <w:shd w:val="clear" w:color="auto" w:fill="auto"/>
            <w:hideMark/>
          </w:tcPr>
          <w:p w14:paraId="323521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(52)</w:t>
            </w:r>
          </w:p>
        </w:tc>
        <w:tc>
          <w:tcPr>
            <w:tcW w:w="0" w:type="auto"/>
            <w:shd w:val="clear" w:color="auto" w:fill="auto"/>
            <w:hideMark/>
          </w:tcPr>
          <w:p w14:paraId="3B576B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institution</w:t>
            </w:r>
            <w:proofErr w:type="gramEnd"/>
            <w:r w:rsidRPr="00DB72C3">
              <w:rPr>
                <w:rFonts w:ascii="Times New Roman" w:eastAsia="Times New Roman" w:hAnsi="Times New Roman" w:cs="Times New Roman"/>
                <w:sz w:val="24"/>
                <w:szCs w:val="24"/>
              </w:rPr>
              <w:t xml:space="preserve"> for occupational retirement provision’ means an institution for occupational retirement provision as defined in Article 6, point (1), of Directive (EU) 2016/2341;</w:t>
            </w:r>
          </w:p>
        </w:tc>
      </w:tr>
    </w:tbl>
    <w:p w14:paraId="7704916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EC0B9B8" w14:textId="77777777" w:rsidTr="00DB72C3">
        <w:tc>
          <w:tcPr>
            <w:tcW w:w="0" w:type="auto"/>
            <w:shd w:val="clear" w:color="auto" w:fill="auto"/>
            <w:hideMark/>
          </w:tcPr>
          <w:p w14:paraId="054B56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(53)</w:t>
            </w:r>
          </w:p>
        </w:tc>
        <w:tc>
          <w:tcPr>
            <w:tcW w:w="0" w:type="auto"/>
            <w:shd w:val="clear" w:color="auto" w:fill="auto"/>
            <w:hideMark/>
          </w:tcPr>
          <w:p w14:paraId="36498D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small</w:t>
            </w:r>
            <w:proofErr w:type="gramEnd"/>
            <w:r w:rsidRPr="00DB72C3">
              <w:rPr>
                <w:rFonts w:ascii="Times New Roman" w:eastAsia="Times New Roman" w:hAnsi="Times New Roman" w:cs="Times New Roman"/>
                <w:sz w:val="24"/>
                <w:szCs w:val="24"/>
              </w:rPr>
              <w:t xml:space="preserve"> institution for occupational retirement provision’ means an institution for occupational retirement provision which operates pension schemes which together have less than 100 members in total;</w:t>
            </w:r>
          </w:p>
        </w:tc>
      </w:tr>
    </w:tbl>
    <w:p w14:paraId="02A1A3A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6A3584A" w14:textId="77777777" w:rsidTr="00DB72C3">
        <w:tc>
          <w:tcPr>
            <w:tcW w:w="0" w:type="auto"/>
            <w:shd w:val="clear" w:color="auto" w:fill="auto"/>
            <w:hideMark/>
          </w:tcPr>
          <w:p w14:paraId="0E0F44E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(54)</w:t>
            </w:r>
          </w:p>
        </w:tc>
        <w:tc>
          <w:tcPr>
            <w:tcW w:w="0" w:type="auto"/>
            <w:shd w:val="clear" w:color="auto" w:fill="auto"/>
            <w:hideMark/>
          </w:tcPr>
          <w:p w14:paraId="7AD2736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credit</w:t>
            </w:r>
            <w:proofErr w:type="gramEnd"/>
            <w:r w:rsidRPr="00DB72C3">
              <w:rPr>
                <w:rFonts w:ascii="Times New Roman" w:eastAsia="Times New Roman" w:hAnsi="Times New Roman" w:cs="Times New Roman"/>
                <w:sz w:val="24"/>
                <w:szCs w:val="24"/>
              </w:rPr>
              <w:t xml:space="preserve"> rating agency’ means a credit rating agency as defined in Article 3(1), point (b), of Regulation (EC) No 1060/2009;</w:t>
            </w:r>
          </w:p>
        </w:tc>
      </w:tr>
    </w:tbl>
    <w:p w14:paraId="737F0F8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54A6E215" w14:textId="77777777" w:rsidTr="00DB72C3">
        <w:tc>
          <w:tcPr>
            <w:tcW w:w="0" w:type="auto"/>
            <w:shd w:val="clear" w:color="auto" w:fill="auto"/>
            <w:hideMark/>
          </w:tcPr>
          <w:p w14:paraId="6C83CF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(55)</w:t>
            </w:r>
          </w:p>
        </w:tc>
        <w:tc>
          <w:tcPr>
            <w:tcW w:w="0" w:type="auto"/>
            <w:shd w:val="clear" w:color="auto" w:fill="auto"/>
            <w:hideMark/>
          </w:tcPr>
          <w:p w14:paraId="17CDFE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crypto</w:t>
            </w:r>
            <w:proofErr w:type="gramEnd"/>
            <w:r w:rsidRPr="00DB72C3">
              <w:rPr>
                <w:rFonts w:ascii="Times New Roman" w:eastAsia="Times New Roman" w:hAnsi="Times New Roman" w:cs="Times New Roman"/>
                <w:sz w:val="24"/>
                <w:szCs w:val="24"/>
              </w:rPr>
              <w:t>-asset service provider’ means a crypto-asset service provider as defined in the relevant provision of the Regulation on markets in crypto-assets;</w:t>
            </w:r>
          </w:p>
        </w:tc>
      </w:tr>
    </w:tbl>
    <w:p w14:paraId="213C1FD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67E1C2E" w14:textId="77777777" w:rsidTr="00DB72C3">
        <w:tc>
          <w:tcPr>
            <w:tcW w:w="0" w:type="auto"/>
            <w:shd w:val="clear" w:color="auto" w:fill="auto"/>
            <w:hideMark/>
          </w:tcPr>
          <w:p w14:paraId="1A9E374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(56)</w:t>
            </w:r>
          </w:p>
        </w:tc>
        <w:tc>
          <w:tcPr>
            <w:tcW w:w="0" w:type="auto"/>
            <w:shd w:val="clear" w:color="auto" w:fill="auto"/>
            <w:hideMark/>
          </w:tcPr>
          <w:p w14:paraId="42BB4CC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issuer</w:t>
            </w:r>
            <w:proofErr w:type="gramEnd"/>
            <w:r w:rsidRPr="00DB72C3">
              <w:rPr>
                <w:rFonts w:ascii="Times New Roman" w:eastAsia="Times New Roman" w:hAnsi="Times New Roman" w:cs="Times New Roman"/>
                <w:sz w:val="24"/>
                <w:szCs w:val="24"/>
              </w:rPr>
              <w:t xml:space="preserve"> of asset-referenced tokens’ means an issuer of asset-referenced tokens as defined in the relevant provision of the Regulation on markets in crypto-assets;</w:t>
            </w:r>
          </w:p>
        </w:tc>
      </w:tr>
    </w:tbl>
    <w:p w14:paraId="4F0BE40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FEEB6B6" w14:textId="77777777" w:rsidTr="00DB72C3">
        <w:tc>
          <w:tcPr>
            <w:tcW w:w="0" w:type="auto"/>
            <w:shd w:val="clear" w:color="auto" w:fill="auto"/>
            <w:hideMark/>
          </w:tcPr>
          <w:p w14:paraId="1637E0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(57)</w:t>
            </w:r>
          </w:p>
        </w:tc>
        <w:tc>
          <w:tcPr>
            <w:tcW w:w="0" w:type="auto"/>
            <w:shd w:val="clear" w:color="auto" w:fill="auto"/>
            <w:hideMark/>
          </w:tcPr>
          <w:p w14:paraId="789ED21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administrator</w:t>
            </w:r>
            <w:proofErr w:type="gramEnd"/>
            <w:r w:rsidRPr="00DB72C3">
              <w:rPr>
                <w:rFonts w:ascii="Times New Roman" w:eastAsia="Times New Roman" w:hAnsi="Times New Roman" w:cs="Times New Roman"/>
                <w:sz w:val="24"/>
                <w:szCs w:val="24"/>
              </w:rPr>
              <w:t xml:space="preserve"> of critical benchmarks’ means an administrator of ‘critical benchmarks’ as defined in Article 3(1), point (25), of Regulation (EU) 2016/1011;</w:t>
            </w:r>
          </w:p>
        </w:tc>
      </w:tr>
    </w:tbl>
    <w:p w14:paraId="03E455C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4E0AE3C1" w14:textId="77777777" w:rsidTr="00DB72C3">
        <w:tc>
          <w:tcPr>
            <w:tcW w:w="0" w:type="auto"/>
            <w:shd w:val="clear" w:color="auto" w:fill="auto"/>
            <w:hideMark/>
          </w:tcPr>
          <w:p w14:paraId="69BBC89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(58)</w:t>
            </w:r>
          </w:p>
        </w:tc>
        <w:tc>
          <w:tcPr>
            <w:tcW w:w="0" w:type="auto"/>
            <w:shd w:val="clear" w:color="auto" w:fill="auto"/>
            <w:hideMark/>
          </w:tcPr>
          <w:p w14:paraId="640C7C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crowdfunding</w:t>
            </w:r>
            <w:proofErr w:type="gramEnd"/>
            <w:r w:rsidRPr="00DB72C3">
              <w:rPr>
                <w:rFonts w:ascii="Times New Roman" w:eastAsia="Times New Roman" w:hAnsi="Times New Roman" w:cs="Times New Roman"/>
                <w:sz w:val="24"/>
                <w:szCs w:val="24"/>
              </w:rPr>
              <w:t xml:space="preserve"> service provider’ means a crowdfunding service provider as defined in Article 2(1), point (e), of Regulation (EU) 2020/1503 of the European Parliament and of the Council </w:t>
            </w:r>
            <w:hyperlink r:id="rId38" w:anchor="ntr35-L_2022333EN.01000101-E0035"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35</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12D04E4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0AD56B35" w14:textId="77777777" w:rsidTr="00DB72C3">
        <w:tc>
          <w:tcPr>
            <w:tcW w:w="0" w:type="auto"/>
            <w:shd w:val="clear" w:color="auto" w:fill="auto"/>
            <w:hideMark/>
          </w:tcPr>
          <w:p w14:paraId="5C57307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(59)</w:t>
            </w:r>
          </w:p>
        </w:tc>
        <w:tc>
          <w:tcPr>
            <w:tcW w:w="0" w:type="auto"/>
            <w:shd w:val="clear" w:color="auto" w:fill="auto"/>
            <w:hideMark/>
          </w:tcPr>
          <w:p w14:paraId="17EA193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proofErr w:type="gramStart"/>
            <w:r w:rsidRPr="00DB72C3">
              <w:rPr>
                <w:rFonts w:ascii="Times New Roman" w:eastAsia="Times New Roman" w:hAnsi="Times New Roman" w:cs="Times New Roman"/>
                <w:sz w:val="24"/>
                <w:szCs w:val="24"/>
              </w:rPr>
              <w:t>securitisation</w:t>
            </w:r>
            <w:proofErr w:type="spellEnd"/>
            <w:proofErr w:type="gramEnd"/>
            <w:r w:rsidRPr="00DB72C3">
              <w:rPr>
                <w:rFonts w:ascii="Times New Roman" w:eastAsia="Times New Roman" w:hAnsi="Times New Roman" w:cs="Times New Roman"/>
                <w:sz w:val="24"/>
                <w:szCs w:val="24"/>
              </w:rPr>
              <w:t xml:space="preserve"> repository’ means a </w:t>
            </w:r>
            <w:proofErr w:type="spellStart"/>
            <w:r w:rsidRPr="00DB72C3">
              <w:rPr>
                <w:rFonts w:ascii="Times New Roman" w:eastAsia="Times New Roman" w:hAnsi="Times New Roman" w:cs="Times New Roman"/>
                <w:sz w:val="24"/>
                <w:szCs w:val="24"/>
              </w:rPr>
              <w:t>securitisation</w:t>
            </w:r>
            <w:proofErr w:type="spellEnd"/>
            <w:r w:rsidRPr="00DB72C3">
              <w:rPr>
                <w:rFonts w:ascii="Times New Roman" w:eastAsia="Times New Roman" w:hAnsi="Times New Roman" w:cs="Times New Roman"/>
                <w:sz w:val="24"/>
                <w:szCs w:val="24"/>
              </w:rPr>
              <w:t xml:space="preserve"> repository as defined in Article 2, point (23), of Regulation (EU) 2017/2402 of the European Parliament and of the Council </w:t>
            </w:r>
            <w:hyperlink r:id="rId39" w:anchor="ntr36-L_2022333EN.01000101-E0036"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36</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387E942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70F982A8" w14:textId="77777777" w:rsidTr="00DB72C3">
        <w:tc>
          <w:tcPr>
            <w:tcW w:w="0" w:type="auto"/>
            <w:shd w:val="clear" w:color="auto" w:fill="auto"/>
            <w:hideMark/>
          </w:tcPr>
          <w:p w14:paraId="6B05F2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(60)</w:t>
            </w:r>
          </w:p>
        </w:tc>
        <w:tc>
          <w:tcPr>
            <w:tcW w:w="0" w:type="auto"/>
            <w:shd w:val="clear" w:color="auto" w:fill="auto"/>
            <w:hideMark/>
          </w:tcPr>
          <w:p w14:paraId="5E2C9FC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‘microenterprise’ means a financial entity, other than a trading venue, a central counterparty, a trade repository or a central securities depository, which employs fewer than 10 persons and has an annual turnover and/or annual balance sheet total that does not exceed EUR 2 million;</w:t>
            </w:r>
          </w:p>
        </w:tc>
      </w:tr>
    </w:tbl>
    <w:p w14:paraId="2F16552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6A6D72AF" w14:textId="77777777" w:rsidTr="00DB72C3">
        <w:tc>
          <w:tcPr>
            <w:tcW w:w="0" w:type="auto"/>
            <w:shd w:val="clear" w:color="auto" w:fill="auto"/>
            <w:hideMark/>
          </w:tcPr>
          <w:p w14:paraId="06CE79C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(61)</w:t>
            </w:r>
          </w:p>
        </w:tc>
        <w:tc>
          <w:tcPr>
            <w:tcW w:w="0" w:type="auto"/>
            <w:shd w:val="clear" w:color="auto" w:fill="auto"/>
            <w:hideMark/>
          </w:tcPr>
          <w:p w14:paraId="3A22F71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‘Lead Overseer’ means the European Supervisory Authority appointed in accordance with Article 31(1), point (b) of this Regulation;</w:t>
            </w:r>
          </w:p>
        </w:tc>
      </w:tr>
    </w:tbl>
    <w:p w14:paraId="03D59B2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709DF2C" w14:textId="77777777" w:rsidTr="00DB72C3">
        <w:tc>
          <w:tcPr>
            <w:tcW w:w="0" w:type="auto"/>
            <w:shd w:val="clear" w:color="auto" w:fill="auto"/>
            <w:hideMark/>
          </w:tcPr>
          <w:p w14:paraId="34AE49D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(62)</w:t>
            </w:r>
          </w:p>
        </w:tc>
        <w:tc>
          <w:tcPr>
            <w:tcW w:w="0" w:type="auto"/>
            <w:shd w:val="clear" w:color="auto" w:fill="auto"/>
            <w:hideMark/>
          </w:tcPr>
          <w:p w14:paraId="1D537D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‘Joint Committee’ means the committee referred to in Article 54 of Regulations (EU) No 1093/2010, (EU) No 1094/2010 and (EU) No 1095/2010;</w:t>
            </w:r>
          </w:p>
        </w:tc>
      </w:tr>
    </w:tbl>
    <w:p w14:paraId="40C355B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2765793" w14:textId="77777777" w:rsidTr="00DB72C3">
        <w:tc>
          <w:tcPr>
            <w:tcW w:w="0" w:type="auto"/>
            <w:shd w:val="clear" w:color="auto" w:fill="auto"/>
            <w:hideMark/>
          </w:tcPr>
          <w:p w14:paraId="20BCA9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(63)</w:t>
            </w:r>
          </w:p>
        </w:tc>
        <w:tc>
          <w:tcPr>
            <w:tcW w:w="0" w:type="auto"/>
            <w:shd w:val="clear" w:color="auto" w:fill="auto"/>
            <w:hideMark/>
          </w:tcPr>
          <w:p w14:paraId="00D264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small</w:t>
            </w:r>
            <w:proofErr w:type="gramEnd"/>
            <w:r w:rsidRPr="00DB72C3">
              <w:rPr>
                <w:rFonts w:ascii="Times New Roman" w:eastAsia="Times New Roman" w:hAnsi="Times New Roman" w:cs="Times New Roman"/>
                <w:sz w:val="24"/>
                <w:szCs w:val="24"/>
              </w:rPr>
              <w:t xml:space="preserve"> enterprise’ means a financial entity that employs 10 or more persons, but fewer than 50 persons, and has an annual turnover and/or annual balance sheet total that exceeds EUR 2 million, but does not exceed EUR 10 million;</w:t>
            </w:r>
          </w:p>
        </w:tc>
      </w:tr>
    </w:tbl>
    <w:p w14:paraId="310A71D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20550AE2" w14:textId="77777777" w:rsidTr="00DB72C3">
        <w:tc>
          <w:tcPr>
            <w:tcW w:w="0" w:type="auto"/>
            <w:shd w:val="clear" w:color="auto" w:fill="auto"/>
            <w:hideMark/>
          </w:tcPr>
          <w:p w14:paraId="78BDA5A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(64)</w:t>
            </w:r>
          </w:p>
        </w:tc>
        <w:tc>
          <w:tcPr>
            <w:tcW w:w="0" w:type="auto"/>
            <w:shd w:val="clear" w:color="auto" w:fill="auto"/>
            <w:hideMark/>
          </w:tcPr>
          <w:p w14:paraId="1E899CE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medium</w:t>
            </w:r>
            <w:proofErr w:type="gramEnd"/>
            <w:r w:rsidRPr="00DB72C3">
              <w:rPr>
                <w:rFonts w:ascii="Times New Roman" w:eastAsia="Times New Roman" w:hAnsi="Times New Roman" w:cs="Times New Roman"/>
                <w:sz w:val="24"/>
                <w:szCs w:val="24"/>
              </w:rPr>
              <w:t>-sized enterprise’ means a financial entity that is not a small enterprise and employs fewer than 250 persons and has an annual turnover that does not exceed EUR 50 million and/or an annual balance sheet that does not exceed EUR 43 million;</w:t>
            </w:r>
          </w:p>
        </w:tc>
      </w:tr>
    </w:tbl>
    <w:p w14:paraId="798F461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0"/>
        <w:gridCol w:w="8960"/>
      </w:tblGrid>
      <w:tr w:rsidR="00DB72C3" w:rsidRPr="00DB72C3" w14:paraId="37E51F72" w14:textId="77777777" w:rsidTr="00DB72C3">
        <w:tc>
          <w:tcPr>
            <w:tcW w:w="0" w:type="auto"/>
            <w:shd w:val="clear" w:color="auto" w:fill="auto"/>
            <w:hideMark/>
          </w:tcPr>
          <w:p w14:paraId="088086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(65)</w:t>
            </w:r>
          </w:p>
        </w:tc>
        <w:tc>
          <w:tcPr>
            <w:tcW w:w="0" w:type="auto"/>
            <w:shd w:val="clear" w:color="auto" w:fill="auto"/>
            <w:hideMark/>
          </w:tcPr>
          <w:p w14:paraId="45B47B2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gramStart"/>
            <w:r w:rsidRPr="00DB72C3">
              <w:rPr>
                <w:rFonts w:ascii="Times New Roman" w:eastAsia="Times New Roman" w:hAnsi="Times New Roman" w:cs="Times New Roman"/>
                <w:sz w:val="24"/>
                <w:szCs w:val="24"/>
              </w:rPr>
              <w:t>public</w:t>
            </w:r>
            <w:proofErr w:type="gramEnd"/>
            <w:r w:rsidRPr="00DB72C3">
              <w:rPr>
                <w:rFonts w:ascii="Times New Roman" w:eastAsia="Times New Roman" w:hAnsi="Times New Roman" w:cs="Times New Roman"/>
                <w:sz w:val="24"/>
                <w:szCs w:val="24"/>
              </w:rPr>
              <w:t xml:space="preserve"> authority’ means any government or other public administration entity, including national central banks.</w:t>
            </w:r>
          </w:p>
        </w:tc>
      </w:tr>
    </w:tbl>
    <w:p w14:paraId="6BF42C8E"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w:t>
      </w:r>
    </w:p>
    <w:p w14:paraId="115E431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Proportionality principle</w:t>
      </w:r>
    </w:p>
    <w:p w14:paraId="68418F5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implement the rules laid down in Chapter II in accordance with the principle of proportionality, taking into account their size and overall risk profile, and the nature, scale and complexity of their services, activities and operations.</w:t>
      </w:r>
    </w:p>
    <w:p w14:paraId="3625EF3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In addition, the application by financial entities of Chapters III, IV and V, Section I, shall be proportionate to their size and overall risk profile, and to the nature, scale and complexity of their services, activities and operations, as specifically provided for in the relevant rules of those Chapters.</w:t>
      </w:r>
    </w:p>
    <w:p w14:paraId="6856608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competent authorities shall consider the application of the proportionality principle by financial entities when reviewing the consistency of the ICT risk management framework on the basis of the reports submitted upon the request of competent authorities pursuant to Article 6(5) and Article 16(2).</w:t>
      </w:r>
    </w:p>
    <w:p w14:paraId="54C0FAB2"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II</w:t>
      </w:r>
    </w:p>
    <w:p w14:paraId="0A5E6399"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ICT risk management</w:t>
      </w:r>
    </w:p>
    <w:p w14:paraId="621F8B65"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Section I</w:t>
      </w:r>
    </w:p>
    <w:p w14:paraId="6F337EF9"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w:t>
      </w:r>
    </w:p>
    <w:p w14:paraId="259B1C22"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lastRenderedPageBreak/>
        <w:t xml:space="preserve">Governance and </w:t>
      </w:r>
      <w:proofErr w:type="spellStart"/>
      <w:r w:rsidRPr="00DB72C3">
        <w:rPr>
          <w:rFonts w:ascii="Times New Roman" w:eastAsia="Times New Roman" w:hAnsi="Times New Roman" w:cs="Times New Roman"/>
          <w:b/>
          <w:bCs/>
          <w:color w:val="333333"/>
          <w:sz w:val="27"/>
          <w:szCs w:val="27"/>
        </w:rPr>
        <w:t>organisation</w:t>
      </w:r>
      <w:proofErr w:type="spellEnd"/>
    </w:p>
    <w:p w14:paraId="4A92F9A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have in place an internal governance and control framework that ensures an effective and prudent management of ICT risk, in accordance with Article 6(4), in order to achieve a high level of digital operational resilience.</w:t>
      </w:r>
    </w:p>
    <w:p w14:paraId="037F4E9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management body of the financial entity shall define, approve, oversee and be responsible for the implementation of all arrangements related to the ICT risk management framework referred to in Article 6(1).</w:t>
      </w:r>
    </w:p>
    <w:p w14:paraId="45F693B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the first subparagraph, the management body shall:</w:t>
      </w:r>
    </w:p>
    <w:tbl>
      <w:tblPr>
        <w:tblW w:w="5000" w:type="pct"/>
        <w:tblCellMar>
          <w:left w:w="0" w:type="dxa"/>
          <w:right w:w="0" w:type="dxa"/>
        </w:tblCellMar>
        <w:tblLook w:val="04A0" w:firstRow="1" w:lastRow="0" w:firstColumn="1" w:lastColumn="0" w:noHBand="0" w:noVBand="1"/>
      </w:tblPr>
      <w:tblGrid>
        <w:gridCol w:w="331"/>
        <w:gridCol w:w="9029"/>
      </w:tblGrid>
      <w:tr w:rsidR="00DB72C3" w:rsidRPr="00DB72C3" w14:paraId="65195A06" w14:textId="77777777" w:rsidTr="00DB72C3">
        <w:tc>
          <w:tcPr>
            <w:tcW w:w="0" w:type="auto"/>
            <w:shd w:val="clear" w:color="auto" w:fill="auto"/>
            <w:hideMark/>
          </w:tcPr>
          <w:p w14:paraId="1F8D379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79B1F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bear the ultimate responsibility for managing the financial entity’s ICT risk;</w:t>
            </w:r>
          </w:p>
        </w:tc>
      </w:tr>
    </w:tbl>
    <w:p w14:paraId="189F7FA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0BE6299" w14:textId="77777777" w:rsidTr="00DB72C3">
        <w:tc>
          <w:tcPr>
            <w:tcW w:w="0" w:type="auto"/>
            <w:shd w:val="clear" w:color="auto" w:fill="auto"/>
            <w:hideMark/>
          </w:tcPr>
          <w:p w14:paraId="39F123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2FD0BE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put in place policies that aim to ensure the maintenance of high standards of availability, authenticity, integrity and confidentiality, of data;</w:t>
            </w:r>
          </w:p>
        </w:tc>
      </w:tr>
    </w:tbl>
    <w:p w14:paraId="52D9851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4B80D45" w14:textId="77777777" w:rsidTr="00DB72C3">
        <w:tc>
          <w:tcPr>
            <w:tcW w:w="0" w:type="auto"/>
            <w:shd w:val="clear" w:color="auto" w:fill="auto"/>
            <w:hideMark/>
          </w:tcPr>
          <w:p w14:paraId="7DD380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5F28A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 clear roles and responsibilities for all ICT-related functions and establish appropriate governance arrangements to ensure effective and timely communication, cooperation and coordination among those functions;</w:t>
            </w:r>
          </w:p>
        </w:tc>
      </w:tr>
    </w:tbl>
    <w:p w14:paraId="13E1CF7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651758E" w14:textId="77777777" w:rsidTr="00DB72C3">
        <w:tc>
          <w:tcPr>
            <w:tcW w:w="0" w:type="auto"/>
            <w:shd w:val="clear" w:color="auto" w:fill="auto"/>
            <w:hideMark/>
          </w:tcPr>
          <w:p w14:paraId="58E088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38E578A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bear the overall responsibility for setting and approving the digital operational resilience strategy as referred to in Article 6(8), including the determination of the appropriate risk tolerance level of ICT risk of the financial entity, as referred to in Article 6(8), point (b);</w:t>
            </w:r>
          </w:p>
        </w:tc>
      </w:tr>
    </w:tbl>
    <w:p w14:paraId="0E17A3D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E098395" w14:textId="77777777" w:rsidTr="00DB72C3">
        <w:tc>
          <w:tcPr>
            <w:tcW w:w="0" w:type="auto"/>
            <w:shd w:val="clear" w:color="auto" w:fill="auto"/>
            <w:hideMark/>
          </w:tcPr>
          <w:p w14:paraId="3BF59E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8DA69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approve, oversee and periodically review the implementation of the financial entity’s ICT business continuity policy and ICT response and recovery plans, referred to, respectively, in Article 11(1) and (3), which may be adopted as a dedicated specific policy forming an integral part of the financial entity’s overall business continuity policy and response and recovery plan;</w:t>
            </w:r>
          </w:p>
        </w:tc>
      </w:tr>
    </w:tbl>
    <w:p w14:paraId="5E09C0B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AA9F8E4" w14:textId="77777777" w:rsidTr="00DB72C3">
        <w:tc>
          <w:tcPr>
            <w:tcW w:w="0" w:type="auto"/>
            <w:shd w:val="clear" w:color="auto" w:fill="auto"/>
            <w:hideMark/>
          </w:tcPr>
          <w:p w14:paraId="373257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2145B7D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approve and periodically review the financial entity’s ICT internal audit plans, ICT audits and material modifications to them;</w:t>
            </w:r>
          </w:p>
        </w:tc>
      </w:tr>
    </w:tbl>
    <w:p w14:paraId="35BDF12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2085D23" w14:textId="77777777" w:rsidTr="00DB72C3">
        <w:tc>
          <w:tcPr>
            <w:tcW w:w="0" w:type="auto"/>
            <w:shd w:val="clear" w:color="auto" w:fill="auto"/>
            <w:hideMark/>
          </w:tcPr>
          <w:p w14:paraId="52D888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5809FBA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allocate and periodically review the appropriate budget to fulfil the financial entity’s digital operational resilience needs in respect of all types of resources, including relevant ICT security awareness </w:t>
            </w:r>
            <w:proofErr w:type="spellStart"/>
            <w:r w:rsidRPr="00DB72C3">
              <w:rPr>
                <w:rFonts w:ascii="Times New Roman" w:eastAsia="Times New Roman" w:hAnsi="Times New Roman" w:cs="Times New Roman"/>
                <w:sz w:val="24"/>
                <w:szCs w:val="24"/>
              </w:rPr>
              <w:t>programmes</w:t>
            </w:r>
            <w:proofErr w:type="spellEnd"/>
            <w:r w:rsidRPr="00DB72C3">
              <w:rPr>
                <w:rFonts w:ascii="Times New Roman" w:eastAsia="Times New Roman" w:hAnsi="Times New Roman" w:cs="Times New Roman"/>
                <w:sz w:val="24"/>
                <w:szCs w:val="24"/>
              </w:rPr>
              <w:t xml:space="preserve"> and digital operational resilience training referred to in Article 13(6), and ICT skills for all staff;</w:t>
            </w:r>
          </w:p>
        </w:tc>
      </w:tr>
    </w:tbl>
    <w:p w14:paraId="65E9B9E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B4DD81C" w14:textId="77777777" w:rsidTr="00DB72C3">
        <w:tc>
          <w:tcPr>
            <w:tcW w:w="0" w:type="auto"/>
            <w:shd w:val="clear" w:color="auto" w:fill="auto"/>
            <w:hideMark/>
          </w:tcPr>
          <w:p w14:paraId="528E3AA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356DAB3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approve and periodically review the financial entity’s policy on arrangements regarding the use of ICT services provided by ICT third-party service providers;</w:t>
            </w:r>
          </w:p>
        </w:tc>
      </w:tr>
    </w:tbl>
    <w:p w14:paraId="04688B6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7D9057CB" w14:textId="77777777" w:rsidTr="00DB72C3">
        <w:tc>
          <w:tcPr>
            <w:tcW w:w="0" w:type="auto"/>
            <w:shd w:val="clear" w:color="auto" w:fill="auto"/>
            <w:hideMark/>
          </w:tcPr>
          <w:p w14:paraId="39B9CB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27D25D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put in place, at corporate level, reporting channels enabling it to be duly informed of the following:</w:t>
            </w:r>
          </w:p>
          <w:tbl>
            <w:tblPr>
              <w:tblW w:w="5000" w:type="pct"/>
              <w:tblCellMar>
                <w:left w:w="0" w:type="dxa"/>
                <w:right w:w="0" w:type="dxa"/>
              </w:tblCellMar>
              <w:tblLook w:val="04A0" w:firstRow="1" w:lastRow="0" w:firstColumn="1" w:lastColumn="0" w:noHBand="0" w:noVBand="1"/>
            </w:tblPr>
            <w:tblGrid>
              <w:gridCol w:w="232"/>
              <w:gridCol w:w="8901"/>
            </w:tblGrid>
            <w:tr w:rsidR="00DB72C3" w:rsidRPr="00DB72C3" w14:paraId="2FA63F85" w14:textId="77777777">
              <w:tc>
                <w:tcPr>
                  <w:tcW w:w="0" w:type="auto"/>
                  <w:shd w:val="clear" w:color="auto" w:fill="auto"/>
                  <w:hideMark/>
                </w:tcPr>
                <w:p w14:paraId="4C562BB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20D893A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arrangements concluded with ICT third-party service providers on the use of ICT services,</w:t>
                  </w:r>
                </w:p>
              </w:tc>
            </w:tr>
          </w:tbl>
          <w:p w14:paraId="17DFABD5"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12"/>
              <w:gridCol w:w="8821"/>
            </w:tblGrid>
            <w:tr w:rsidR="00DB72C3" w:rsidRPr="00DB72C3" w14:paraId="1AE9A55C" w14:textId="77777777">
              <w:tc>
                <w:tcPr>
                  <w:tcW w:w="0" w:type="auto"/>
                  <w:shd w:val="clear" w:color="auto" w:fill="auto"/>
                  <w:hideMark/>
                </w:tcPr>
                <w:p w14:paraId="7ACFCE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112030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any relevant planned material changes regarding the ICT third-party service providers,</w:t>
                  </w:r>
                </w:p>
              </w:tc>
            </w:tr>
          </w:tbl>
          <w:p w14:paraId="1079746B"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60"/>
              <w:gridCol w:w="8773"/>
            </w:tblGrid>
            <w:tr w:rsidR="00DB72C3" w:rsidRPr="00DB72C3" w14:paraId="01E952BD" w14:textId="77777777">
              <w:tc>
                <w:tcPr>
                  <w:tcW w:w="0" w:type="auto"/>
                  <w:shd w:val="clear" w:color="auto" w:fill="auto"/>
                  <w:hideMark/>
                </w:tcPr>
                <w:p w14:paraId="1E73F6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61D6A0F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potential impact of such changes on the critical or important functions subject to those arrangements, including a risk analysis summary to assess the impact of those changes, and </w:t>
                  </w:r>
                  <w:r w:rsidRPr="00DB72C3">
                    <w:rPr>
                      <w:rFonts w:ascii="Times New Roman" w:eastAsia="Times New Roman" w:hAnsi="Times New Roman" w:cs="Times New Roman"/>
                      <w:sz w:val="24"/>
                      <w:szCs w:val="24"/>
                    </w:rPr>
                    <w:lastRenderedPageBreak/>
                    <w:t>at least major ICT-related incidents and their impact, as well as response, recovery and corrective measures.</w:t>
                  </w:r>
                </w:p>
              </w:tc>
            </w:tr>
          </w:tbl>
          <w:p w14:paraId="6F17C292"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585082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Financial entities, other than microenterprises, shall establish a role in order to monitor the arrangements concluded with ICT third-party service providers on the use of ICT services, or shall designate a member of senior management as responsible for overseeing the related risk exposure and relevant documentation.</w:t>
      </w:r>
    </w:p>
    <w:p w14:paraId="7B9667F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Members of the management body of the financial entity shall actively keep up to date with sufficient knowledge and skills to understand and assess ICT risk and its impact on the operations of the financial entity, including by following specific training on a regular basis, commensurate to the ICT risk being managed.</w:t>
      </w:r>
    </w:p>
    <w:p w14:paraId="541EE6CA"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Section II</w:t>
      </w:r>
    </w:p>
    <w:p w14:paraId="4088A3A2"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w:t>
      </w:r>
    </w:p>
    <w:p w14:paraId="54FA45E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ICT risk management framework</w:t>
      </w:r>
    </w:p>
    <w:p w14:paraId="2059B1A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have a sound, comprehensive and well-documented ICT risk management framework as part of their overall risk management system, which enables them to address ICT risk quickly, efficiently and comprehensively and to ensure a high level of digital operational resilience.</w:t>
      </w:r>
    </w:p>
    <w:p w14:paraId="2C000BC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ICT risk management framework shall include at least strategies, policies, procedures, ICT protocols and tools that are necessary to duly and adequately protect all information assets and ICT assets, including computer software, hardware, servers, as well as to protect all relevant physical components and infrastructures, such as premises, data </w:t>
      </w:r>
      <w:proofErr w:type="spellStart"/>
      <w:r w:rsidRPr="00DB72C3">
        <w:rPr>
          <w:rFonts w:ascii="Times New Roman" w:eastAsia="Times New Roman" w:hAnsi="Times New Roman" w:cs="Times New Roman"/>
          <w:color w:val="333333"/>
          <w:sz w:val="27"/>
          <w:szCs w:val="27"/>
        </w:rPr>
        <w:t>centres</w:t>
      </w:r>
      <w:proofErr w:type="spellEnd"/>
      <w:r w:rsidRPr="00DB72C3">
        <w:rPr>
          <w:rFonts w:ascii="Times New Roman" w:eastAsia="Times New Roman" w:hAnsi="Times New Roman" w:cs="Times New Roman"/>
          <w:color w:val="333333"/>
          <w:sz w:val="27"/>
          <w:szCs w:val="27"/>
        </w:rPr>
        <w:t xml:space="preserve"> and sensitive designated areas, to ensure that all information assets and ICT assets are adequately protected from risks including damage and </w:t>
      </w:r>
      <w:proofErr w:type="spellStart"/>
      <w:r w:rsidRPr="00DB72C3">
        <w:rPr>
          <w:rFonts w:ascii="Times New Roman" w:eastAsia="Times New Roman" w:hAnsi="Times New Roman" w:cs="Times New Roman"/>
          <w:color w:val="333333"/>
          <w:sz w:val="27"/>
          <w:szCs w:val="27"/>
        </w:rPr>
        <w:t>unauthorised</w:t>
      </w:r>
      <w:proofErr w:type="spellEnd"/>
      <w:r w:rsidRPr="00DB72C3">
        <w:rPr>
          <w:rFonts w:ascii="Times New Roman" w:eastAsia="Times New Roman" w:hAnsi="Times New Roman" w:cs="Times New Roman"/>
          <w:color w:val="333333"/>
          <w:sz w:val="27"/>
          <w:szCs w:val="27"/>
        </w:rPr>
        <w:t xml:space="preserve"> access or usage.</w:t>
      </w:r>
    </w:p>
    <w:p w14:paraId="18CFFA0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In accordance with their ICT risk management framework, financial entities shall </w:t>
      </w:r>
      <w:proofErr w:type="spellStart"/>
      <w:r w:rsidRPr="00DB72C3">
        <w:rPr>
          <w:rFonts w:ascii="Times New Roman" w:eastAsia="Times New Roman" w:hAnsi="Times New Roman" w:cs="Times New Roman"/>
          <w:color w:val="333333"/>
          <w:sz w:val="27"/>
          <w:szCs w:val="27"/>
        </w:rPr>
        <w:t>minimise</w:t>
      </w:r>
      <w:proofErr w:type="spellEnd"/>
      <w:r w:rsidRPr="00DB72C3">
        <w:rPr>
          <w:rFonts w:ascii="Times New Roman" w:eastAsia="Times New Roman" w:hAnsi="Times New Roman" w:cs="Times New Roman"/>
          <w:color w:val="333333"/>
          <w:sz w:val="27"/>
          <w:szCs w:val="27"/>
        </w:rPr>
        <w:t xml:space="preserve"> the impact of ICT risk by deploying appropriate strategies, policies, procedures, ICT protocols and tools. They shall provide complete and updated information on ICT risk and on their ICT risk management framework to the competent authorities upon their request.</w:t>
      </w:r>
    </w:p>
    <w:p w14:paraId="7DB6BAB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4.   Financial entities, other than microenterprises, shall assign the responsibility for managing and overseeing ICT risk to a control function and ensure an appropriate level of independence of such control function in order to avoid conflicts of interest. Financial entities shall ensure appropriate segregation and independence of ICT risk management functions, control functions, and internal audit functions, according to the three lines of </w:t>
      </w:r>
      <w:proofErr w:type="spellStart"/>
      <w:r w:rsidRPr="00DB72C3">
        <w:rPr>
          <w:rFonts w:ascii="Times New Roman" w:eastAsia="Times New Roman" w:hAnsi="Times New Roman" w:cs="Times New Roman"/>
          <w:color w:val="333333"/>
          <w:sz w:val="27"/>
          <w:szCs w:val="27"/>
        </w:rPr>
        <w:t>defence</w:t>
      </w:r>
      <w:proofErr w:type="spellEnd"/>
      <w:r w:rsidRPr="00DB72C3">
        <w:rPr>
          <w:rFonts w:ascii="Times New Roman" w:eastAsia="Times New Roman" w:hAnsi="Times New Roman" w:cs="Times New Roman"/>
          <w:color w:val="333333"/>
          <w:sz w:val="27"/>
          <w:szCs w:val="27"/>
        </w:rPr>
        <w:t xml:space="preserve"> model, or an internal risk management and control model.</w:t>
      </w:r>
    </w:p>
    <w:p w14:paraId="66272F0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5.   The ICT risk management framework shall be documented and reviewed at least once a year, or periodically in the case of microenterprises, as well as upon the occurrence of major ICT-related incidents, and following supervisory instructions or conclusions derived from relevant digital operational resilience testing or audit processes. It shall be continuously improved on the basis of lessons derived from implementation and monitoring. A report on the review of the ICT risk management framework shall be submitted to the competent authority upon its request.</w:t>
      </w:r>
    </w:p>
    <w:p w14:paraId="0844840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The ICT risk management framework of financial entities, other than microenterprises, shall be subject to internal audit by auditors on a regular basis in line with the financial entities’ audit plan. Those auditors shall possess sufficient knowledge, skills and expertise in ICT risk, as well as appropriate independence. The frequency and focus of ICT audits shall be commensurate to the ICT risk of the financial entity.</w:t>
      </w:r>
    </w:p>
    <w:p w14:paraId="4788C70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Based on the conclusions from the internal audit review, financial entities shall establish a formal follow-up process, including rules for the timely verification and remediation of critical ICT audit findings.</w:t>
      </w:r>
    </w:p>
    <w:p w14:paraId="6547EE8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The ICT risk management framework shall include a digital operational resilience strategy setting out how the framework shall be implemented. To that end, the digital operational resilience strategy shall include methods to address ICT risk and attain specific ICT objectives, by:</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5094DA7" w14:textId="77777777" w:rsidTr="00DB72C3">
        <w:tc>
          <w:tcPr>
            <w:tcW w:w="0" w:type="auto"/>
            <w:shd w:val="clear" w:color="auto" w:fill="auto"/>
            <w:hideMark/>
          </w:tcPr>
          <w:p w14:paraId="139741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2CBDB65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explaining how the ICT risk management framework supports the financial entity’s business strategy and objectives;</w:t>
            </w:r>
          </w:p>
        </w:tc>
      </w:tr>
    </w:tbl>
    <w:p w14:paraId="50F4A09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87AF109" w14:textId="77777777" w:rsidTr="00DB72C3">
        <w:tc>
          <w:tcPr>
            <w:tcW w:w="0" w:type="auto"/>
            <w:shd w:val="clear" w:color="auto" w:fill="auto"/>
            <w:hideMark/>
          </w:tcPr>
          <w:p w14:paraId="53C0842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B9BF10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establishing the risk tolerance level for ICT risk, in accordance with the risk appetite of the financial entity, and </w:t>
            </w:r>
            <w:proofErr w:type="spellStart"/>
            <w:r w:rsidRPr="00DB72C3">
              <w:rPr>
                <w:rFonts w:ascii="Times New Roman" w:eastAsia="Times New Roman" w:hAnsi="Times New Roman" w:cs="Times New Roman"/>
                <w:sz w:val="24"/>
                <w:szCs w:val="24"/>
              </w:rPr>
              <w:t>analysing</w:t>
            </w:r>
            <w:proofErr w:type="spellEnd"/>
            <w:r w:rsidRPr="00DB72C3">
              <w:rPr>
                <w:rFonts w:ascii="Times New Roman" w:eastAsia="Times New Roman" w:hAnsi="Times New Roman" w:cs="Times New Roman"/>
                <w:sz w:val="24"/>
                <w:szCs w:val="24"/>
              </w:rPr>
              <w:t xml:space="preserve"> the impact tolerance for ICT disruptions;</w:t>
            </w:r>
          </w:p>
        </w:tc>
      </w:tr>
    </w:tbl>
    <w:p w14:paraId="2F7DCF6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99BC583" w14:textId="77777777" w:rsidTr="00DB72C3">
        <w:tc>
          <w:tcPr>
            <w:tcW w:w="0" w:type="auto"/>
            <w:shd w:val="clear" w:color="auto" w:fill="auto"/>
            <w:hideMark/>
          </w:tcPr>
          <w:p w14:paraId="088A29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765708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setting out clear information security objectives, including key performance indicators and key risk metrics;</w:t>
            </w:r>
          </w:p>
        </w:tc>
      </w:tr>
    </w:tbl>
    <w:p w14:paraId="77F508D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80D1FC1" w14:textId="77777777" w:rsidTr="00DB72C3">
        <w:tc>
          <w:tcPr>
            <w:tcW w:w="0" w:type="auto"/>
            <w:shd w:val="clear" w:color="auto" w:fill="auto"/>
            <w:hideMark/>
          </w:tcPr>
          <w:p w14:paraId="0E60AF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2E46AA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explaining the ICT reference architecture and any changes needed to reach specific business objectives;</w:t>
            </w:r>
          </w:p>
        </w:tc>
      </w:tr>
    </w:tbl>
    <w:p w14:paraId="5A88289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2BC3DEF" w14:textId="77777777" w:rsidTr="00DB72C3">
        <w:tc>
          <w:tcPr>
            <w:tcW w:w="0" w:type="auto"/>
            <w:shd w:val="clear" w:color="auto" w:fill="auto"/>
            <w:hideMark/>
          </w:tcPr>
          <w:p w14:paraId="348953B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35E465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outlining the different mechanisms put in place to detect ICT-related incidents, prevent their impact and provide protection from it;</w:t>
            </w:r>
          </w:p>
        </w:tc>
      </w:tr>
    </w:tbl>
    <w:p w14:paraId="2AA0CF9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BB3430D" w14:textId="77777777" w:rsidTr="00DB72C3">
        <w:tc>
          <w:tcPr>
            <w:tcW w:w="0" w:type="auto"/>
            <w:shd w:val="clear" w:color="auto" w:fill="auto"/>
            <w:hideMark/>
          </w:tcPr>
          <w:p w14:paraId="7649B96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055AE9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evidencing the current digital operational resilience situation on the basis of the number of major ICT-related incidents reported and the effectiveness of preventive measures;</w:t>
            </w:r>
          </w:p>
        </w:tc>
      </w:tr>
    </w:tbl>
    <w:p w14:paraId="771FF46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AC83DBE" w14:textId="77777777" w:rsidTr="00DB72C3">
        <w:tc>
          <w:tcPr>
            <w:tcW w:w="0" w:type="auto"/>
            <w:shd w:val="clear" w:color="auto" w:fill="auto"/>
            <w:hideMark/>
          </w:tcPr>
          <w:p w14:paraId="1FF10E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7DBF9BC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implementing digital operational resilience testing, in accordance with Chapter IV of this Regulation;</w:t>
            </w:r>
          </w:p>
        </w:tc>
      </w:tr>
    </w:tbl>
    <w:p w14:paraId="2EF5860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D6EEA7E" w14:textId="77777777" w:rsidTr="00DB72C3">
        <w:tc>
          <w:tcPr>
            <w:tcW w:w="0" w:type="auto"/>
            <w:shd w:val="clear" w:color="auto" w:fill="auto"/>
            <w:hideMark/>
          </w:tcPr>
          <w:p w14:paraId="1C248D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415037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outlining a communication strategy in the event of ICT-related incidents the disclosure of which is required in accordance with Article 14.</w:t>
            </w:r>
          </w:p>
        </w:tc>
      </w:tr>
    </w:tbl>
    <w:p w14:paraId="6326C34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9.   Financial entities may, in the context of the digital operational resilience strategy referred to in paragraph 8, define a holistic ICT multi-vendor strategy, at group or entity level, showing key dependencies on ICT third-party service providers and explaining the rationale behind the procurement mix of ICT third-party service providers.</w:t>
      </w:r>
    </w:p>
    <w:p w14:paraId="611F77E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Financial entities may, in accordance with Union and national sectoral law, outsource the tasks of verifying compliance with ICT risk management requirements to intra-group or external undertakings. In case of such outsourcing, the financial entity remains fully responsible for the verification of compliance with the ICT risk management requirements.</w:t>
      </w:r>
    </w:p>
    <w:p w14:paraId="0F46C5D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7</w:t>
      </w:r>
    </w:p>
    <w:p w14:paraId="2920671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ICT systems, protocols and tools</w:t>
      </w:r>
    </w:p>
    <w:p w14:paraId="5B1F36E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In order to address and manage ICT risk, financial entities shall use and maintain updated ICT systems, protocols and tools that are:</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CC88471" w14:textId="77777777" w:rsidTr="00DB72C3">
        <w:tc>
          <w:tcPr>
            <w:tcW w:w="0" w:type="auto"/>
            <w:shd w:val="clear" w:color="auto" w:fill="auto"/>
            <w:hideMark/>
          </w:tcPr>
          <w:p w14:paraId="578AA83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D6528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appropriate to the magnitude of operations supporting the conduct of their activities, in accordance with the proportionality principle as referred to in Article 4;</w:t>
            </w:r>
          </w:p>
        </w:tc>
      </w:tr>
    </w:tbl>
    <w:p w14:paraId="238DB4C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56"/>
        <w:gridCol w:w="6904"/>
      </w:tblGrid>
      <w:tr w:rsidR="00DB72C3" w:rsidRPr="00DB72C3" w14:paraId="3F3E3628" w14:textId="77777777" w:rsidTr="00DB72C3">
        <w:tc>
          <w:tcPr>
            <w:tcW w:w="0" w:type="auto"/>
            <w:shd w:val="clear" w:color="auto" w:fill="auto"/>
            <w:hideMark/>
          </w:tcPr>
          <w:p w14:paraId="0E5DD67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40F983B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reliable;</w:t>
            </w:r>
          </w:p>
        </w:tc>
      </w:tr>
    </w:tbl>
    <w:p w14:paraId="50B064F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D3E146A" w14:textId="77777777" w:rsidTr="00DB72C3">
        <w:tc>
          <w:tcPr>
            <w:tcW w:w="0" w:type="auto"/>
            <w:shd w:val="clear" w:color="auto" w:fill="auto"/>
            <w:hideMark/>
          </w:tcPr>
          <w:p w14:paraId="1A1F0A3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3D6A9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equipped with sufficient capacity to accurately process the data necessary for the performance of activities and the timely provision of services, and to deal with peak orders, message or transaction volumes, as needed, including where new technology is introduced;</w:t>
            </w:r>
          </w:p>
        </w:tc>
      </w:tr>
    </w:tbl>
    <w:p w14:paraId="61A1FDA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D3C7E0A" w14:textId="77777777" w:rsidTr="00DB72C3">
        <w:tc>
          <w:tcPr>
            <w:tcW w:w="0" w:type="auto"/>
            <w:shd w:val="clear" w:color="auto" w:fill="auto"/>
            <w:hideMark/>
          </w:tcPr>
          <w:p w14:paraId="1E8CACA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15C8A3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technologically resilient in order to adequately deal with additional information processing needs as required under stressed market conditions or other adverse situations.</w:t>
            </w:r>
          </w:p>
        </w:tc>
      </w:tr>
    </w:tbl>
    <w:p w14:paraId="24BC1D13"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8</w:t>
      </w:r>
    </w:p>
    <w:p w14:paraId="5FB43AC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Identification</w:t>
      </w:r>
    </w:p>
    <w:p w14:paraId="203F5B6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As part of the ICT risk management framework referred to in Article 6(1), financial entities shall identify, classify and adequately document all ICT supported business functions, roles and responsibilities, the information assets and ICT assets supporting those functions, and their roles and dependencies in relation to ICT risk. Financial entities shall review as needed, and at least yearly, the adequacy of this classification and of any relevant documentation.</w:t>
      </w:r>
    </w:p>
    <w:p w14:paraId="39A15A7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shall, on a continuous basis, identify all sources of ICT risk, in particular the risk exposure to and from other financial entities, and assess cyber threats and ICT vulnerabilities relevant to their ICT supported business functions, information assets and ICT assets. Financial entities shall review on a regular basis, and at least yearly, the risk scenarios impacting them.</w:t>
      </w:r>
    </w:p>
    <w:p w14:paraId="7E18C3A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Financial entities, other than microenterprises, shall perform a risk assessment upon each major change in the network and information system infrastructure, in the processes or procedures affecting their ICT supported business functions, information assets or ICT assets.</w:t>
      </w:r>
    </w:p>
    <w:p w14:paraId="1717970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Financial entities shall identify all information assets and ICT assets, including those on remote sites, network resources and hardware equipment, and shall map those considered critical. They shall map the configuration of the information assets and ICT assets and the links and interdependencies between the different information assets and ICT assets.</w:t>
      </w:r>
    </w:p>
    <w:p w14:paraId="7F09664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Financial entities shall identify and document all processes that are dependent on ICT third-party service providers, and shall identify interconnections with ICT third-party service providers that provide services that support critical or important functions.</w:t>
      </w:r>
    </w:p>
    <w:p w14:paraId="26A53B8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For the purposes of paragraphs 1, 4 and 5, financial entities shall maintain relevant inventories and update them periodically and every time any major change as referred to in paragraph 3 occurs.</w:t>
      </w:r>
    </w:p>
    <w:p w14:paraId="2BE9C1E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Financial entities, other than microenterprises, shall on a regular basis, and at least yearly, conduct a specific ICT risk assessment on all legacy ICT systems and, in any case before and after connecting technologies, applications or systems.</w:t>
      </w:r>
    </w:p>
    <w:p w14:paraId="41C15BB1"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9</w:t>
      </w:r>
    </w:p>
    <w:p w14:paraId="31E770CA"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Protection and prevention</w:t>
      </w:r>
    </w:p>
    <w:p w14:paraId="16DEC6E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For the purposes of adequately protecting ICT systems and with a view to </w:t>
      </w:r>
      <w:proofErr w:type="spellStart"/>
      <w:r w:rsidRPr="00DB72C3">
        <w:rPr>
          <w:rFonts w:ascii="Times New Roman" w:eastAsia="Times New Roman" w:hAnsi="Times New Roman" w:cs="Times New Roman"/>
          <w:color w:val="333333"/>
          <w:sz w:val="27"/>
          <w:szCs w:val="27"/>
        </w:rPr>
        <w:t>organising</w:t>
      </w:r>
      <w:proofErr w:type="spellEnd"/>
      <w:r w:rsidRPr="00DB72C3">
        <w:rPr>
          <w:rFonts w:ascii="Times New Roman" w:eastAsia="Times New Roman" w:hAnsi="Times New Roman" w:cs="Times New Roman"/>
          <w:color w:val="333333"/>
          <w:sz w:val="27"/>
          <w:szCs w:val="27"/>
        </w:rPr>
        <w:t xml:space="preserve"> response measures, financial entities shall continuously monitor and control the security and functioning of ICT systems and tools and shall </w:t>
      </w:r>
      <w:proofErr w:type="spellStart"/>
      <w:r w:rsidRPr="00DB72C3">
        <w:rPr>
          <w:rFonts w:ascii="Times New Roman" w:eastAsia="Times New Roman" w:hAnsi="Times New Roman" w:cs="Times New Roman"/>
          <w:color w:val="333333"/>
          <w:sz w:val="27"/>
          <w:szCs w:val="27"/>
        </w:rPr>
        <w:t>minimise</w:t>
      </w:r>
      <w:proofErr w:type="spellEnd"/>
      <w:r w:rsidRPr="00DB72C3">
        <w:rPr>
          <w:rFonts w:ascii="Times New Roman" w:eastAsia="Times New Roman" w:hAnsi="Times New Roman" w:cs="Times New Roman"/>
          <w:color w:val="333333"/>
          <w:sz w:val="27"/>
          <w:szCs w:val="27"/>
        </w:rPr>
        <w:t xml:space="preserve"> the impact of ICT risk on ICT systems through the deployment of appropriate ICT security tools, policies and procedures.</w:t>
      </w:r>
    </w:p>
    <w:p w14:paraId="7B817DB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shall design, procure and implement ICT security policies, procedures, protocols and tools that aim to ensure the resilience, continuity and availability of ICT systems, in particular for those supporting critical or important functions, and to maintain high standards of availability, authenticity, integrity and confidentiality of data, whether at rest, in use or in transit.</w:t>
      </w:r>
    </w:p>
    <w:p w14:paraId="31C16BC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In order to achieve the objectives referred to in paragraph 2, financial entities shall use ICT solutions and processes that are appropriate in accordance with Article 4. Those ICT solutions and processes shall:</w:t>
      </w:r>
    </w:p>
    <w:tbl>
      <w:tblPr>
        <w:tblW w:w="5000" w:type="pct"/>
        <w:tblCellMar>
          <w:left w:w="0" w:type="dxa"/>
          <w:right w:w="0" w:type="dxa"/>
        </w:tblCellMar>
        <w:tblLook w:val="04A0" w:firstRow="1" w:lastRow="0" w:firstColumn="1" w:lastColumn="0" w:noHBand="0" w:noVBand="1"/>
      </w:tblPr>
      <w:tblGrid>
        <w:gridCol w:w="481"/>
        <w:gridCol w:w="8879"/>
      </w:tblGrid>
      <w:tr w:rsidR="00DB72C3" w:rsidRPr="00DB72C3" w14:paraId="73C379F0" w14:textId="77777777" w:rsidTr="00DB72C3">
        <w:tc>
          <w:tcPr>
            <w:tcW w:w="0" w:type="auto"/>
            <w:shd w:val="clear" w:color="auto" w:fill="auto"/>
            <w:hideMark/>
          </w:tcPr>
          <w:p w14:paraId="645009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6D83C90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the security of the means of transfer of data;</w:t>
            </w:r>
          </w:p>
        </w:tc>
      </w:tr>
    </w:tbl>
    <w:p w14:paraId="2D29E42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294ED25" w14:textId="77777777" w:rsidTr="00DB72C3">
        <w:tc>
          <w:tcPr>
            <w:tcW w:w="0" w:type="auto"/>
            <w:shd w:val="clear" w:color="auto" w:fill="auto"/>
            <w:hideMark/>
          </w:tcPr>
          <w:p w14:paraId="3B2258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FA25B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 risk of corruption or loss of data, </w:t>
            </w:r>
            <w:proofErr w:type="spellStart"/>
            <w:r w:rsidRPr="00DB72C3">
              <w:rPr>
                <w:rFonts w:ascii="Times New Roman" w:eastAsia="Times New Roman" w:hAnsi="Times New Roman" w:cs="Times New Roman"/>
                <w:sz w:val="24"/>
                <w:szCs w:val="24"/>
              </w:rPr>
              <w:t>unauthorised</w:t>
            </w:r>
            <w:proofErr w:type="spellEnd"/>
            <w:r w:rsidRPr="00DB72C3">
              <w:rPr>
                <w:rFonts w:ascii="Times New Roman" w:eastAsia="Times New Roman" w:hAnsi="Times New Roman" w:cs="Times New Roman"/>
                <w:sz w:val="24"/>
                <w:szCs w:val="24"/>
              </w:rPr>
              <w:t xml:space="preserve"> access and technical flaws that may hinder business activity;</w:t>
            </w:r>
          </w:p>
        </w:tc>
      </w:tr>
    </w:tbl>
    <w:p w14:paraId="265A4DF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21E5897" w14:textId="77777777" w:rsidTr="00DB72C3">
        <w:tc>
          <w:tcPr>
            <w:tcW w:w="0" w:type="auto"/>
            <w:shd w:val="clear" w:color="auto" w:fill="auto"/>
            <w:hideMark/>
          </w:tcPr>
          <w:p w14:paraId="716D553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w:t>
            </w:r>
          </w:p>
        </w:tc>
        <w:tc>
          <w:tcPr>
            <w:tcW w:w="0" w:type="auto"/>
            <w:shd w:val="clear" w:color="auto" w:fill="auto"/>
            <w:hideMark/>
          </w:tcPr>
          <w:p w14:paraId="0A6C26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prevent the lack of availability, the impairment of the authenticity and integrity, the breaches of confidentiality and the loss of data;</w:t>
            </w:r>
          </w:p>
        </w:tc>
      </w:tr>
    </w:tbl>
    <w:p w14:paraId="11399AC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FA5F957" w14:textId="77777777" w:rsidTr="00DB72C3">
        <w:tc>
          <w:tcPr>
            <w:tcW w:w="0" w:type="auto"/>
            <w:shd w:val="clear" w:color="auto" w:fill="auto"/>
            <w:hideMark/>
          </w:tcPr>
          <w:p w14:paraId="69F3C34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7980FE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that data is protected from risks arising from data management, including poor administration, processing-related risks and human error.</w:t>
            </w:r>
          </w:p>
        </w:tc>
      </w:tr>
    </w:tbl>
    <w:p w14:paraId="0D5B46D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As part of the ICT risk management framework referred to in Article 6(1), financial entities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CF7662E" w14:textId="77777777" w:rsidTr="00DB72C3">
        <w:tc>
          <w:tcPr>
            <w:tcW w:w="0" w:type="auto"/>
            <w:shd w:val="clear" w:color="auto" w:fill="auto"/>
            <w:hideMark/>
          </w:tcPr>
          <w:p w14:paraId="01B95D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F43F41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develop and document an information security policy defining rules to protect the availability, authenticity, integrity and confidentiality of data, information assets and ICT assets, including those of their customers, where applicable;</w:t>
            </w:r>
          </w:p>
        </w:tc>
      </w:tr>
    </w:tbl>
    <w:p w14:paraId="2A17C50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ADA0E27" w14:textId="77777777" w:rsidTr="00DB72C3">
        <w:tc>
          <w:tcPr>
            <w:tcW w:w="0" w:type="auto"/>
            <w:shd w:val="clear" w:color="auto" w:fill="auto"/>
            <w:hideMark/>
          </w:tcPr>
          <w:p w14:paraId="6CEF9BD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F39E38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following a risk-based approach, establish a sound network and infrastructure management structure using appropriate techniques, methods and protocols that may include implementing automated mechanisms to isolate affected information assets in the event of cyber-attacks;</w:t>
            </w:r>
          </w:p>
        </w:tc>
      </w:tr>
    </w:tbl>
    <w:p w14:paraId="0A5DC7C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604C308" w14:textId="77777777" w:rsidTr="00DB72C3">
        <w:tc>
          <w:tcPr>
            <w:tcW w:w="0" w:type="auto"/>
            <w:shd w:val="clear" w:color="auto" w:fill="auto"/>
            <w:hideMark/>
          </w:tcPr>
          <w:p w14:paraId="4AC626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ECAD2C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implement policies that limit the physical or logical access to information assets and ICT assets to what is required for legitimate and approved functions and activities only, and establish to that end a set of policies, procedures and controls that address access rights and ensure a sound administration thereof;</w:t>
            </w:r>
          </w:p>
        </w:tc>
      </w:tr>
    </w:tbl>
    <w:p w14:paraId="6FBAE03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62E0CC0" w14:textId="77777777" w:rsidTr="00DB72C3">
        <w:tc>
          <w:tcPr>
            <w:tcW w:w="0" w:type="auto"/>
            <w:shd w:val="clear" w:color="auto" w:fill="auto"/>
            <w:hideMark/>
          </w:tcPr>
          <w:p w14:paraId="6F38CE2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7148F00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implement policies and protocols for strong authentication mechanisms, based on relevant standards and dedicated control systems, and protection measures of cryptographic keys whereby data is encrypted based on results of approved data classification and ICT risk assessment processes;</w:t>
            </w:r>
          </w:p>
        </w:tc>
      </w:tr>
    </w:tbl>
    <w:p w14:paraId="7FABD61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18537FC" w14:textId="77777777" w:rsidTr="00DB72C3">
        <w:tc>
          <w:tcPr>
            <w:tcW w:w="0" w:type="auto"/>
            <w:shd w:val="clear" w:color="auto" w:fill="auto"/>
            <w:hideMark/>
          </w:tcPr>
          <w:p w14:paraId="7E42623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3BDC04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implement documented policies, procedures and controls for ICT change management, including changes to software, hardware, firmware components, systems or security parameters, that are based on a risk assessment approach and are an integral part of the financial entity’s overall change management process, in order to ensure that all changes to ICT systems are recorded, tested, assessed, approved, implemented and verified in a controlled manner;</w:t>
            </w:r>
          </w:p>
        </w:tc>
      </w:tr>
    </w:tbl>
    <w:p w14:paraId="5EC1852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74"/>
        <w:gridCol w:w="9086"/>
      </w:tblGrid>
      <w:tr w:rsidR="00DB72C3" w:rsidRPr="00DB72C3" w14:paraId="5CFF096C" w14:textId="77777777" w:rsidTr="00DB72C3">
        <w:tc>
          <w:tcPr>
            <w:tcW w:w="0" w:type="auto"/>
            <w:shd w:val="clear" w:color="auto" w:fill="auto"/>
            <w:hideMark/>
          </w:tcPr>
          <w:p w14:paraId="411D20E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1582FBB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have appropriate and comprehensive documented policies for patches and updates.</w:t>
            </w:r>
          </w:p>
        </w:tc>
      </w:tr>
    </w:tbl>
    <w:p w14:paraId="3F1956B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For the purposes of the first subparagraph, point (b), financial entities shall design the network connection infrastructure in a way that allows it to be instantaneously severed or segmented in order to </w:t>
      </w:r>
      <w:proofErr w:type="spellStart"/>
      <w:r w:rsidRPr="00DB72C3">
        <w:rPr>
          <w:rFonts w:ascii="Times New Roman" w:eastAsia="Times New Roman" w:hAnsi="Times New Roman" w:cs="Times New Roman"/>
          <w:color w:val="333333"/>
          <w:sz w:val="27"/>
          <w:szCs w:val="27"/>
        </w:rPr>
        <w:t>minimise</w:t>
      </w:r>
      <w:proofErr w:type="spellEnd"/>
      <w:r w:rsidRPr="00DB72C3">
        <w:rPr>
          <w:rFonts w:ascii="Times New Roman" w:eastAsia="Times New Roman" w:hAnsi="Times New Roman" w:cs="Times New Roman"/>
          <w:color w:val="333333"/>
          <w:sz w:val="27"/>
          <w:szCs w:val="27"/>
        </w:rPr>
        <w:t xml:space="preserve"> and prevent contagion, especially for interconnected financial processes.</w:t>
      </w:r>
    </w:p>
    <w:p w14:paraId="4A1F91B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the first subparagraph, point (e), the ICT change management process shall be approved by appropriate lines of management and shall have specific protocols in place.</w:t>
      </w:r>
    </w:p>
    <w:p w14:paraId="38257238"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10</w:t>
      </w:r>
    </w:p>
    <w:p w14:paraId="0F9BA14B"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Detection</w:t>
      </w:r>
    </w:p>
    <w:p w14:paraId="608770A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1.   Financial entities shall have in place mechanisms to promptly detect anomalous activities, in accordance with Article 17, including ICT network performance issues and ICT-related incidents, and to identify potential material single points of failure.</w:t>
      </w:r>
    </w:p>
    <w:p w14:paraId="46F93ED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All detection mechanisms referred to in the first subparagraph shall be regularly tested in accordance with Article 25.</w:t>
      </w:r>
    </w:p>
    <w:p w14:paraId="62EC69D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detection mechanisms referred to in paragraph 1 shall enable multiple layers of control, define alert thresholds and criteria to trigger and initiate ICT-related incident response processes, including automatic alert mechanisms for relevant staff in charge of ICT-related incident response.</w:t>
      </w:r>
    </w:p>
    <w:p w14:paraId="22A6202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Financial entities shall devote sufficient resources and capabilities to monitor user activity, the occurrence of ICT anomalies and ICT-related incidents, in particular cyber-attacks.</w:t>
      </w:r>
    </w:p>
    <w:p w14:paraId="5A2B211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Data reporting service providers shall, in addition, have in place systems that can effectively check trade reports for completeness, identify omissions and obvious errors, and request re-transmission of those reports.</w:t>
      </w:r>
    </w:p>
    <w:p w14:paraId="43A296A0"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11</w:t>
      </w:r>
    </w:p>
    <w:p w14:paraId="4F795556"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Response and recovery</w:t>
      </w:r>
    </w:p>
    <w:p w14:paraId="7CCB9C9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As part of the ICT risk management framework referred to in Article 6(1) and based on the identification requirements set out in Article 8, financial entities shall put in place a comprehensive ICT business continuity policy, which may be adopted as a dedicated specific policy, forming an integral part of the overall business continuity policy of the financial entity.</w:t>
      </w:r>
    </w:p>
    <w:p w14:paraId="2A42DFE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shall implement the ICT business continuity policy through dedicated, appropriate and documented arrangements, plans, procedures and mechanisms aiming to:</w:t>
      </w:r>
    </w:p>
    <w:tbl>
      <w:tblPr>
        <w:tblW w:w="5000" w:type="pct"/>
        <w:tblCellMar>
          <w:left w:w="0" w:type="dxa"/>
          <w:right w:w="0" w:type="dxa"/>
        </w:tblCellMar>
        <w:tblLook w:val="04A0" w:firstRow="1" w:lastRow="0" w:firstColumn="1" w:lastColumn="0" w:noHBand="0" w:noVBand="1"/>
      </w:tblPr>
      <w:tblGrid>
        <w:gridCol w:w="330"/>
        <w:gridCol w:w="9030"/>
      </w:tblGrid>
      <w:tr w:rsidR="00DB72C3" w:rsidRPr="00DB72C3" w14:paraId="0C46D13F" w14:textId="77777777" w:rsidTr="00DB72C3">
        <w:tc>
          <w:tcPr>
            <w:tcW w:w="0" w:type="auto"/>
            <w:shd w:val="clear" w:color="auto" w:fill="auto"/>
            <w:hideMark/>
          </w:tcPr>
          <w:p w14:paraId="6293E6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5F0635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the continuity of the financial entity’s critical or important functions;</w:t>
            </w:r>
          </w:p>
        </w:tc>
      </w:tr>
    </w:tbl>
    <w:p w14:paraId="13D620B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6AF73FC" w14:textId="77777777" w:rsidTr="00DB72C3">
        <w:tc>
          <w:tcPr>
            <w:tcW w:w="0" w:type="auto"/>
            <w:shd w:val="clear" w:color="auto" w:fill="auto"/>
            <w:hideMark/>
          </w:tcPr>
          <w:p w14:paraId="18B233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77FA37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quickly, appropriately and effectively respond to, and resolve, all ICT-related incidents in a way that limits damage and </w:t>
            </w:r>
            <w:proofErr w:type="spellStart"/>
            <w:r w:rsidRPr="00DB72C3">
              <w:rPr>
                <w:rFonts w:ascii="Times New Roman" w:eastAsia="Times New Roman" w:hAnsi="Times New Roman" w:cs="Times New Roman"/>
                <w:sz w:val="24"/>
                <w:szCs w:val="24"/>
              </w:rPr>
              <w:t>prioritises</w:t>
            </w:r>
            <w:proofErr w:type="spellEnd"/>
            <w:r w:rsidRPr="00DB72C3">
              <w:rPr>
                <w:rFonts w:ascii="Times New Roman" w:eastAsia="Times New Roman" w:hAnsi="Times New Roman" w:cs="Times New Roman"/>
                <w:sz w:val="24"/>
                <w:szCs w:val="24"/>
              </w:rPr>
              <w:t xml:space="preserve"> the resumption of activities and recovery actions;</w:t>
            </w:r>
          </w:p>
        </w:tc>
      </w:tr>
    </w:tbl>
    <w:p w14:paraId="54015D4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8E8C646" w14:textId="77777777" w:rsidTr="00DB72C3">
        <w:tc>
          <w:tcPr>
            <w:tcW w:w="0" w:type="auto"/>
            <w:shd w:val="clear" w:color="auto" w:fill="auto"/>
            <w:hideMark/>
          </w:tcPr>
          <w:p w14:paraId="5363E7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AC529F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activate, without delay, dedicated plans that enable containment measures, processes and technologies suited to each type of ICT-related incident and prevent further damage, as well as tailored response and recovery procedures established in accordance with Article 12;</w:t>
            </w:r>
          </w:p>
        </w:tc>
      </w:tr>
    </w:tbl>
    <w:p w14:paraId="550B2C7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11"/>
        <w:gridCol w:w="8849"/>
      </w:tblGrid>
      <w:tr w:rsidR="00DB72C3" w:rsidRPr="00DB72C3" w14:paraId="5DB6CAD5" w14:textId="77777777" w:rsidTr="00DB72C3">
        <w:tc>
          <w:tcPr>
            <w:tcW w:w="0" w:type="auto"/>
            <w:shd w:val="clear" w:color="auto" w:fill="auto"/>
            <w:hideMark/>
          </w:tcPr>
          <w:p w14:paraId="28B5C48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041F73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estimate preliminary impacts, damages and losses;</w:t>
            </w:r>
          </w:p>
        </w:tc>
      </w:tr>
    </w:tbl>
    <w:p w14:paraId="489027E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0789184" w14:textId="77777777" w:rsidTr="00DB72C3">
        <w:tc>
          <w:tcPr>
            <w:tcW w:w="0" w:type="auto"/>
            <w:shd w:val="clear" w:color="auto" w:fill="auto"/>
            <w:hideMark/>
          </w:tcPr>
          <w:p w14:paraId="5D573FD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773968D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 out communication and crisis management actions that ensure that updated information is transmitted to all relevant internal staff and external stakeholders in accordance with Article 14, and report to the competent authorities in accordance with Article 19.</w:t>
            </w:r>
          </w:p>
        </w:tc>
      </w:tr>
    </w:tbl>
    <w:p w14:paraId="5C736DD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As part of the ICT risk management framework referred to in Article 6(1), financial entities shall implement associated ICT response and recovery plans which, in the case of financial entities other than microenterprises, shall be subject to independent internal audit reviews.</w:t>
      </w:r>
    </w:p>
    <w:p w14:paraId="53489DF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Financial entities shall put in place, maintain and periodically test appropriate ICT business continuity plans, notably with regard to critical or important functions outsourced or contracted through arrangements with ICT third-party service providers.</w:t>
      </w:r>
    </w:p>
    <w:p w14:paraId="23E067D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As part of the overall business continuity policy, financial entities shall conduct a business impact analysis (BIA) of their exposures to severe business disruptions. Under the BIA, financial entities shall assess the potential impact of severe business disruptions by means of quantitative and qualitative criteria, using internal and external data and scenario analysis, as appropriate. The BIA shall consider the criticality of identified and mapped business functions, support processes, third-party dependencies and information assets, and their interdependencies. Financial entities shall ensure that ICT assets and ICT services are designed and used in full alignment with the BIA, in particular with regard to adequately ensuring the redundancy of all critical components.</w:t>
      </w:r>
    </w:p>
    <w:p w14:paraId="72FD7B6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As part of their comprehensive ICT risk management, financial entities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A8C6CA9" w14:textId="77777777" w:rsidTr="00DB72C3">
        <w:tc>
          <w:tcPr>
            <w:tcW w:w="0" w:type="auto"/>
            <w:shd w:val="clear" w:color="auto" w:fill="auto"/>
            <w:hideMark/>
          </w:tcPr>
          <w:p w14:paraId="0173EA6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56F405B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test the ICT business continuity plans and the ICT response and recovery plans in relation to ICT systems supporting all functions at least yearly, as well as in the event of any substantive changes to ICT systems supporting critical or important functions;</w:t>
            </w:r>
          </w:p>
        </w:tc>
      </w:tr>
    </w:tbl>
    <w:p w14:paraId="28318EA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39"/>
        <w:gridCol w:w="9021"/>
      </w:tblGrid>
      <w:tr w:rsidR="00DB72C3" w:rsidRPr="00DB72C3" w14:paraId="338F7EF4" w14:textId="77777777" w:rsidTr="00DB72C3">
        <w:tc>
          <w:tcPr>
            <w:tcW w:w="0" w:type="auto"/>
            <w:shd w:val="clear" w:color="auto" w:fill="auto"/>
            <w:hideMark/>
          </w:tcPr>
          <w:p w14:paraId="103953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255E06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test the crisis communication plans established in accordance with Article 14.</w:t>
            </w:r>
          </w:p>
        </w:tc>
      </w:tr>
    </w:tbl>
    <w:p w14:paraId="230629D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the first subparagraph, point (a), financial entities, other than microenterprises, shall include in the testing plans scenarios of cyber-attacks and switchovers between the primary ICT infrastructure and the redundant capacity, backups and redundant facilities necessary to meet the obligations set out in Article 12.</w:t>
      </w:r>
    </w:p>
    <w:p w14:paraId="3E7EF2D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regularly review their ICT business continuity policy and ICT response and recovery plans, taking into account the results of tests carried out in accordance with the first subparagraph and recommendations stemming from audit checks or supervisory reviews.</w:t>
      </w:r>
    </w:p>
    <w:p w14:paraId="2738147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Financial entities, other than microenterprises, shall have a crisis management function, which, in the event of activation of their ICT business continuity plans or ICT response and recovery plans, shall, inter alia, set out clear procedures to manage internal and external crisis communications in accordance with Article 14.</w:t>
      </w:r>
    </w:p>
    <w:p w14:paraId="2D76606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Financial entities shall keep readily accessible records of activities before and during disruption events when their ICT business continuity plans and ICT response and recovery plans are activated.</w:t>
      </w:r>
    </w:p>
    <w:p w14:paraId="315CAE8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9.   Central securities depositories shall provide the competent authorities with copies of the results of the ICT business continuity tests, or of similar exercises.</w:t>
      </w:r>
    </w:p>
    <w:p w14:paraId="4BA02E7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Financial entities, other than microenterprises, shall report to the competent authorities, upon their request, an estimation of aggregated annual costs and losses caused by major ICT-related incidents.</w:t>
      </w:r>
    </w:p>
    <w:p w14:paraId="5B2422C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11.   In accordance with Article 16 of Regulations (EU) No 1093/2010, (EU) No 1094/2010 and (EU) No 1095/2010, the ESAs, through the Joint Committee, shall by 17 July 2024 develop common guidelines on the estimation of aggregated annual costs and losses referred to in paragraph 10.</w:t>
      </w:r>
    </w:p>
    <w:p w14:paraId="14576DC3"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12</w:t>
      </w:r>
    </w:p>
    <w:p w14:paraId="791A852A"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Backup policies and procedures, restoration and recovery procedures and methods</w:t>
      </w:r>
    </w:p>
    <w:p w14:paraId="0973865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For the purpose of ensuring the restoration of ICT systems and data with minimum downtime, limited disruption and loss, as part of their ICT risk management framework, financial entities shall develop and document:</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7FD0E18" w14:textId="77777777" w:rsidTr="00DB72C3">
        <w:tc>
          <w:tcPr>
            <w:tcW w:w="0" w:type="auto"/>
            <w:shd w:val="clear" w:color="auto" w:fill="auto"/>
            <w:hideMark/>
          </w:tcPr>
          <w:p w14:paraId="2FF632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3037DC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backup policies and procedures specifying the scope of the data that is subject to the backup and the minimum frequency of the backup, based on the criticality of information or the confidentiality level of the data;</w:t>
            </w:r>
          </w:p>
        </w:tc>
      </w:tr>
    </w:tbl>
    <w:p w14:paraId="1212572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17"/>
        <w:gridCol w:w="8843"/>
      </w:tblGrid>
      <w:tr w:rsidR="00DB72C3" w:rsidRPr="00DB72C3" w14:paraId="6FA428C4" w14:textId="77777777" w:rsidTr="00DB72C3">
        <w:tc>
          <w:tcPr>
            <w:tcW w:w="0" w:type="auto"/>
            <w:shd w:val="clear" w:color="auto" w:fill="auto"/>
            <w:hideMark/>
          </w:tcPr>
          <w:p w14:paraId="64A75C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3A1C23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restoration and recovery procedures and methods.</w:t>
            </w:r>
          </w:p>
        </w:tc>
      </w:tr>
    </w:tbl>
    <w:p w14:paraId="07BCEC4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Financial entities shall set up backup systems that can be activated in accordance with the backup policies and procedures, as well as restoration and recovery procedures and methods. The activation of backup systems shall not </w:t>
      </w:r>
      <w:proofErr w:type="spellStart"/>
      <w:r w:rsidRPr="00DB72C3">
        <w:rPr>
          <w:rFonts w:ascii="Times New Roman" w:eastAsia="Times New Roman" w:hAnsi="Times New Roman" w:cs="Times New Roman"/>
          <w:color w:val="333333"/>
          <w:sz w:val="27"/>
          <w:szCs w:val="27"/>
        </w:rPr>
        <w:t>jeopardise</w:t>
      </w:r>
      <w:proofErr w:type="spellEnd"/>
      <w:r w:rsidRPr="00DB72C3">
        <w:rPr>
          <w:rFonts w:ascii="Times New Roman" w:eastAsia="Times New Roman" w:hAnsi="Times New Roman" w:cs="Times New Roman"/>
          <w:color w:val="333333"/>
          <w:sz w:val="27"/>
          <w:szCs w:val="27"/>
        </w:rPr>
        <w:t xml:space="preserve"> the security of the network and information systems or the availability, authenticity, integrity or confidentiality of data. Testing of the backup procedures and restoration and recovery procedures and methods shall be undertaken periodically.</w:t>
      </w:r>
    </w:p>
    <w:p w14:paraId="75C12A0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When restoring backup data using own systems, financial entities shall use ICT systems that are physically and logically segregated from the source ICT system. The ICT systems shall be securely protected from any </w:t>
      </w:r>
      <w:proofErr w:type="spellStart"/>
      <w:r w:rsidRPr="00DB72C3">
        <w:rPr>
          <w:rFonts w:ascii="Times New Roman" w:eastAsia="Times New Roman" w:hAnsi="Times New Roman" w:cs="Times New Roman"/>
          <w:color w:val="333333"/>
          <w:sz w:val="27"/>
          <w:szCs w:val="27"/>
        </w:rPr>
        <w:t>unauthorised</w:t>
      </w:r>
      <w:proofErr w:type="spellEnd"/>
      <w:r w:rsidRPr="00DB72C3">
        <w:rPr>
          <w:rFonts w:ascii="Times New Roman" w:eastAsia="Times New Roman" w:hAnsi="Times New Roman" w:cs="Times New Roman"/>
          <w:color w:val="333333"/>
          <w:sz w:val="27"/>
          <w:szCs w:val="27"/>
        </w:rPr>
        <w:t xml:space="preserve"> access or ICT corruption and allow for the timely restoration of services making use of data and system backups as necessary.</w:t>
      </w:r>
    </w:p>
    <w:p w14:paraId="0E76E86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central counterparties, the recovery plans shall enable the recovery of all transactions at the time of disruption to allow the central counterparty to continue to operate with certainty and to complete settlement on the scheduled date.</w:t>
      </w:r>
    </w:p>
    <w:p w14:paraId="02BF5DF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Data reporting service providers shall additionally maintain adequate resources and have back-up and restoration facilities in place in order to offer and maintain their services at all times.</w:t>
      </w:r>
    </w:p>
    <w:p w14:paraId="0284815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4.   Financial entities, other than microenterprises, shall maintain redundant ICT capacities equipped with resources, capabilities and functions that are adequate to ensure business needs. Microenterprises shall assess the need to maintain such redundant ICT capacities based on their risk profile.</w:t>
      </w:r>
    </w:p>
    <w:p w14:paraId="306260F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Central securities depositories shall maintain at least one secondary processing site endowed with adequate resources, capabilities, functions and staffing arrangements to ensure business needs.</w:t>
      </w:r>
    </w:p>
    <w:p w14:paraId="492FA2D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secondary processing site shall be:</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ED3B30D" w14:textId="77777777" w:rsidTr="00DB72C3">
        <w:tc>
          <w:tcPr>
            <w:tcW w:w="0" w:type="auto"/>
            <w:shd w:val="clear" w:color="auto" w:fill="auto"/>
            <w:hideMark/>
          </w:tcPr>
          <w:p w14:paraId="438721F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22EF75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located at a geographical distance from the primary processing site to ensure that it bears a distinct risk profile and to prevent it from being affected by the event which has affected the primary site;</w:t>
            </w:r>
          </w:p>
        </w:tc>
      </w:tr>
    </w:tbl>
    <w:p w14:paraId="2A88C98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5DFE23D" w14:textId="77777777" w:rsidTr="00DB72C3">
        <w:tc>
          <w:tcPr>
            <w:tcW w:w="0" w:type="auto"/>
            <w:shd w:val="clear" w:color="auto" w:fill="auto"/>
            <w:hideMark/>
          </w:tcPr>
          <w:p w14:paraId="5CA7DE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F088B9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capable of ensuring the continuity of critical or important functions identically to the primary site, or providing the level of services necessary to ensure that the financial entity performs its critical operations within the recovery objectives;</w:t>
            </w:r>
          </w:p>
        </w:tc>
      </w:tr>
    </w:tbl>
    <w:p w14:paraId="28F73BD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C84DE6B" w14:textId="77777777" w:rsidTr="00DB72C3">
        <w:tc>
          <w:tcPr>
            <w:tcW w:w="0" w:type="auto"/>
            <w:shd w:val="clear" w:color="auto" w:fill="auto"/>
            <w:hideMark/>
          </w:tcPr>
          <w:p w14:paraId="2FBE8B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C0AFC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immediately accessible to the financial entity’s staff to ensure continuity of critical or important functions in the event that the primary processing site has become unavailable.</w:t>
            </w:r>
          </w:p>
        </w:tc>
      </w:tr>
    </w:tbl>
    <w:p w14:paraId="6055594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In determining the recovery time and recovery point objectives for each function, financial entities shall take into account whether it is a critical or important function and the potential overall impact on market efficiency. Such time objectives shall ensure that, in extreme scenarios, the agreed service levels are met.</w:t>
      </w:r>
    </w:p>
    <w:p w14:paraId="454EF1A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When recovering from an ICT-related incident, financial entities shall perform necessary checks, including any multiple checks and reconciliations, in order to ensure that the highest level of data integrity is maintained. These checks shall also be performed when reconstructing data from external stakeholders, in order to ensure that all data is consistent between systems.</w:t>
      </w:r>
    </w:p>
    <w:p w14:paraId="00996CFD"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13</w:t>
      </w:r>
    </w:p>
    <w:p w14:paraId="18F6C6C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Learning and evolving</w:t>
      </w:r>
    </w:p>
    <w:p w14:paraId="4E359CB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Financial entities shall have in place capabilities and staff to gather information on vulnerabilities and cyber threats, ICT-related incidents, in particular cyber-attacks, and </w:t>
      </w:r>
      <w:proofErr w:type="spellStart"/>
      <w:r w:rsidRPr="00DB72C3">
        <w:rPr>
          <w:rFonts w:ascii="Times New Roman" w:eastAsia="Times New Roman" w:hAnsi="Times New Roman" w:cs="Times New Roman"/>
          <w:color w:val="333333"/>
          <w:sz w:val="27"/>
          <w:szCs w:val="27"/>
        </w:rPr>
        <w:t>analyse</w:t>
      </w:r>
      <w:proofErr w:type="spellEnd"/>
      <w:r w:rsidRPr="00DB72C3">
        <w:rPr>
          <w:rFonts w:ascii="Times New Roman" w:eastAsia="Times New Roman" w:hAnsi="Times New Roman" w:cs="Times New Roman"/>
          <w:color w:val="333333"/>
          <w:sz w:val="27"/>
          <w:szCs w:val="27"/>
        </w:rPr>
        <w:t xml:space="preserve"> the impact they are likely to have on their digital operational resilience.</w:t>
      </w:r>
    </w:p>
    <w:p w14:paraId="79C9C93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Financial entities shall put in place post ICT-related incident reviews after a major ICT-related incident disrupts their core activities, </w:t>
      </w:r>
      <w:proofErr w:type="spellStart"/>
      <w:r w:rsidRPr="00DB72C3">
        <w:rPr>
          <w:rFonts w:ascii="Times New Roman" w:eastAsia="Times New Roman" w:hAnsi="Times New Roman" w:cs="Times New Roman"/>
          <w:color w:val="333333"/>
          <w:sz w:val="27"/>
          <w:szCs w:val="27"/>
        </w:rPr>
        <w:t>analysing</w:t>
      </w:r>
      <w:proofErr w:type="spellEnd"/>
      <w:r w:rsidRPr="00DB72C3">
        <w:rPr>
          <w:rFonts w:ascii="Times New Roman" w:eastAsia="Times New Roman" w:hAnsi="Times New Roman" w:cs="Times New Roman"/>
          <w:color w:val="333333"/>
          <w:sz w:val="27"/>
          <w:szCs w:val="27"/>
        </w:rPr>
        <w:t xml:space="preserve"> the causes of disruption and identifying required improvements to the ICT operations or within the ICT business continuity policy referred to in Article 11.</w:t>
      </w:r>
    </w:p>
    <w:p w14:paraId="4D395C6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Financial entities, other than microenterprises, shall, upon request, communicate to the competent authorities, the changes that were implemented following post ICT-related incident reviews as referred to in the first subparagraph.</w:t>
      </w:r>
    </w:p>
    <w:p w14:paraId="2C9BE82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post ICT-related incident reviews referred to in the first subparagraph shall determine whether the established procedures were followed and the actions taken were effective, including in relation to the following: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537947F" w14:textId="77777777" w:rsidTr="00DB72C3">
        <w:tc>
          <w:tcPr>
            <w:tcW w:w="0" w:type="auto"/>
            <w:shd w:val="clear" w:color="auto" w:fill="auto"/>
            <w:hideMark/>
          </w:tcPr>
          <w:p w14:paraId="742664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FFAD7D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promptness in responding to security alerts and determining the impact of ICT-related incidents and their severity;</w:t>
            </w:r>
          </w:p>
        </w:tc>
      </w:tr>
    </w:tbl>
    <w:p w14:paraId="50489EE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17"/>
        <w:gridCol w:w="9043"/>
      </w:tblGrid>
      <w:tr w:rsidR="00DB72C3" w:rsidRPr="00DB72C3" w14:paraId="784C566B" w14:textId="77777777" w:rsidTr="00DB72C3">
        <w:tc>
          <w:tcPr>
            <w:tcW w:w="0" w:type="auto"/>
            <w:shd w:val="clear" w:color="auto" w:fill="auto"/>
            <w:hideMark/>
          </w:tcPr>
          <w:p w14:paraId="0D0605A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B138E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quality and speed of performing a forensic analysis, where deemed appropriate;</w:t>
            </w:r>
          </w:p>
        </w:tc>
      </w:tr>
    </w:tbl>
    <w:p w14:paraId="239C511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80"/>
        <w:gridCol w:w="8980"/>
      </w:tblGrid>
      <w:tr w:rsidR="00DB72C3" w:rsidRPr="00DB72C3" w14:paraId="40A2DC08" w14:textId="77777777" w:rsidTr="00DB72C3">
        <w:tc>
          <w:tcPr>
            <w:tcW w:w="0" w:type="auto"/>
            <w:shd w:val="clear" w:color="auto" w:fill="auto"/>
            <w:hideMark/>
          </w:tcPr>
          <w:p w14:paraId="3EE0A4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4B0CAF0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effectiveness of incident escalation within the financial entity;</w:t>
            </w:r>
          </w:p>
        </w:tc>
      </w:tr>
    </w:tbl>
    <w:p w14:paraId="42E005D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52"/>
        <w:gridCol w:w="8908"/>
      </w:tblGrid>
      <w:tr w:rsidR="00DB72C3" w:rsidRPr="00DB72C3" w14:paraId="597A22D0" w14:textId="77777777" w:rsidTr="00DB72C3">
        <w:tc>
          <w:tcPr>
            <w:tcW w:w="0" w:type="auto"/>
            <w:shd w:val="clear" w:color="auto" w:fill="auto"/>
            <w:hideMark/>
          </w:tcPr>
          <w:p w14:paraId="274D926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5F740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effectiveness of internal and external communication.</w:t>
            </w:r>
          </w:p>
        </w:tc>
      </w:tr>
    </w:tbl>
    <w:p w14:paraId="3D96753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Lessons derived from the digital operational resilience testing carried out in accordance with Articles 26 and 27 and from real life ICT-related incidents, in particular cyber-attacks, along with challenges faced upon the activation of ICT business continuity plans and ICT response and recovery plans, together with relevant information exchanged with counterparts and assessed during supervisory reviews, shall be duly incorporated on a continuous basis into the ICT risk assessment process. Those findings shall form the basis for appropriate reviews of relevant components of the ICT risk management framework referred to in Article 6(1).</w:t>
      </w:r>
    </w:p>
    <w:p w14:paraId="501B3E7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4.   Financial entities shall monitor the effectiveness of the implementation of their digital operational resilience strategy set out in Article 6(8). They shall map the evolution of ICT risk over time, </w:t>
      </w:r>
      <w:proofErr w:type="spellStart"/>
      <w:r w:rsidRPr="00DB72C3">
        <w:rPr>
          <w:rFonts w:ascii="Times New Roman" w:eastAsia="Times New Roman" w:hAnsi="Times New Roman" w:cs="Times New Roman"/>
          <w:color w:val="333333"/>
          <w:sz w:val="27"/>
          <w:szCs w:val="27"/>
        </w:rPr>
        <w:t>analyse</w:t>
      </w:r>
      <w:proofErr w:type="spellEnd"/>
      <w:r w:rsidRPr="00DB72C3">
        <w:rPr>
          <w:rFonts w:ascii="Times New Roman" w:eastAsia="Times New Roman" w:hAnsi="Times New Roman" w:cs="Times New Roman"/>
          <w:color w:val="333333"/>
          <w:sz w:val="27"/>
          <w:szCs w:val="27"/>
        </w:rPr>
        <w:t xml:space="preserve"> the frequency, types, magnitude and evolution of ICT-related incidents, in particular cyber-attacks and their patterns, with a view to understanding the level of ICT risk exposure, in particular in relation to critical or important functions, and enhance the cyber maturity and preparedness of the financial entity.</w:t>
      </w:r>
    </w:p>
    <w:p w14:paraId="4037DDE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Senior ICT staff shall report at least yearly to the management body on the findings referred to in paragraph 3 and put forward recommendations.</w:t>
      </w:r>
    </w:p>
    <w:p w14:paraId="3A49BB9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6.   Financial entities shall develop ICT security awareness </w:t>
      </w:r>
      <w:proofErr w:type="spellStart"/>
      <w:r w:rsidRPr="00DB72C3">
        <w:rPr>
          <w:rFonts w:ascii="Times New Roman" w:eastAsia="Times New Roman" w:hAnsi="Times New Roman" w:cs="Times New Roman"/>
          <w:color w:val="333333"/>
          <w:sz w:val="27"/>
          <w:szCs w:val="27"/>
        </w:rPr>
        <w:t>programmes</w:t>
      </w:r>
      <w:proofErr w:type="spellEnd"/>
      <w:r w:rsidRPr="00DB72C3">
        <w:rPr>
          <w:rFonts w:ascii="Times New Roman" w:eastAsia="Times New Roman" w:hAnsi="Times New Roman" w:cs="Times New Roman"/>
          <w:color w:val="333333"/>
          <w:sz w:val="27"/>
          <w:szCs w:val="27"/>
        </w:rPr>
        <w:t xml:space="preserve"> and digital operational resilience training as compulsory modules in their staff training schemes. Those </w:t>
      </w:r>
      <w:proofErr w:type="spellStart"/>
      <w:r w:rsidRPr="00DB72C3">
        <w:rPr>
          <w:rFonts w:ascii="Times New Roman" w:eastAsia="Times New Roman" w:hAnsi="Times New Roman" w:cs="Times New Roman"/>
          <w:color w:val="333333"/>
          <w:sz w:val="27"/>
          <w:szCs w:val="27"/>
        </w:rPr>
        <w:t>programmes</w:t>
      </w:r>
      <w:proofErr w:type="spellEnd"/>
      <w:r w:rsidRPr="00DB72C3">
        <w:rPr>
          <w:rFonts w:ascii="Times New Roman" w:eastAsia="Times New Roman" w:hAnsi="Times New Roman" w:cs="Times New Roman"/>
          <w:color w:val="333333"/>
          <w:sz w:val="27"/>
          <w:szCs w:val="27"/>
        </w:rPr>
        <w:t xml:space="preserve"> and training shall be applicable to all employees and to senior management staff, and shall have a level of complexity commensurate to the remit of their functions. Where appropriate, financial entities shall also include ICT third-party service providers in their relevant training schemes in accordance with Article 30(2), point (</w:t>
      </w:r>
      <w:proofErr w:type="spellStart"/>
      <w:r w:rsidRPr="00DB72C3">
        <w:rPr>
          <w:rFonts w:ascii="Times New Roman" w:eastAsia="Times New Roman" w:hAnsi="Times New Roman" w:cs="Times New Roman"/>
          <w:color w:val="333333"/>
          <w:sz w:val="27"/>
          <w:szCs w:val="27"/>
        </w:rPr>
        <w:t>i</w:t>
      </w:r>
      <w:proofErr w:type="spellEnd"/>
      <w:r w:rsidRPr="00DB72C3">
        <w:rPr>
          <w:rFonts w:ascii="Times New Roman" w:eastAsia="Times New Roman" w:hAnsi="Times New Roman" w:cs="Times New Roman"/>
          <w:color w:val="333333"/>
          <w:sz w:val="27"/>
          <w:szCs w:val="27"/>
        </w:rPr>
        <w:t>).</w:t>
      </w:r>
    </w:p>
    <w:p w14:paraId="39AF732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7.   Financial entities, other than microenterprises, shall monitor relevant technological developments on a continuous basis, also with a view to understanding the possible </w:t>
      </w:r>
      <w:r w:rsidRPr="00DB72C3">
        <w:rPr>
          <w:rFonts w:ascii="Times New Roman" w:eastAsia="Times New Roman" w:hAnsi="Times New Roman" w:cs="Times New Roman"/>
          <w:color w:val="333333"/>
          <w:sz w:val="27"/>
          <w:szCs w:val="27"/>
        </w:rPr>
        <w:lastRenderedPageBreak/>
        <w:t>impact of the deployment of such new technologies on ICT security requirements and digital operational resilience. They shall keep up-to-date with the latest ICT risk management processes, in order to effectively combat current or new forms of cyber-attacks.</w:t>
      </w:r>
    </w:p>
    <w:p w14:paraId="1AE1F923"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14</w:t>
      </w:r>
    </w:p>
    <w:p w14:paraId="6A1F764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Communication</w:t>
      </w:r>
    </w:p>
    <w:p w14:paraId="54085A7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As part of the ICT risk management framework referred to in Article 6(1), financial entities shall have in place crisis communication plans enabling a responsible disclosure of, at least, major ICT-related incidents or vulnerabilities to clients and counterparts as well as to the public, as appropriate.</w:t>
      </w:r>
    </w:p>
    <w:p w14:paraId="5F83E35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As part of the ICT risk management framework, financial entities shall implement communication policies for internal staff and for external stakeholders. Communication policies for staff shall take into account the need to differentiate between staff involved in ICT risk management, in particular the staff responsible for response and recovery, and staff that needs to be informed.</w:t>
      </w:r>
    </w:p>
    <w:p w14:paraId="61B6805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At least one person in the financial entity shall be tasked with implementing the communication strategy for ICT-related incidents and fulfil the public and media function for that purpose.</w:t>
      </w:r>
    </w:p>
    <w:p w14:paraId="31655DDF"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15</w:t>
      </w:r>
    </w:p>
    <w:p w14:paraId="18CF0191"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 xml:space="preserve">Further </w:t>
      </w:r>
      <w:proofErr w:type="spellStart"/>
      <w:r w:rsidRPr="00DB72C3">
        <w:rPr>
          <w:rFonts w:ascii="Times New Roman" w:eastAsia="Times New Roman" w:hAnsi="Times New Roman" w:cs="Times New Roman"/>
          <w:b/>
          <w:bCs/>
          <w:color w:val="333333"/>
          <w:sz w:val="27"/>
          <w:szCs w:val="27"/>
        </w:rPr>
        <w:t>harmonisation</w:t>
      </w:r>
      <w:proofErr w:type="spellEnd"/>
      <w:r w:rsidRPr="00DB72C3">
        <w:rPr>
          <w:rFonts w:ascii="Times New Roman" w:eastAsia="Times New Roman" w:hAnsi="Times New Roman" w:cs="Times New Roman"/>
          <w:b/>
          <w:bCs/>
          <w:color w:val="333333"/>
          <w:sz w:val="27"/>
          <w:szCs w:val="27"/>
        </w:rPr>
        <w:t xml:space="preserve"> of ICT risk management tools, methods, processes and policies</w:t>
      </w:r>
    </w:p>
    <w:p w14:paraId="587BCB1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through the Joint Committee, in consultation with the European Union Agency on Cybersecurity (ENISA), develop common draft regulatory technical standards in order to:</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9275B2A" w14:textId="77777777" w:rsidTr="00DB72C3">
        <w:tc>
          <w:tcPr>
            <w:tcW w:w="0" w:type="auto"/>
            <w:shd w:val="clear" w:color="auto" w:fill="auto"/>
            <w:hideMark/>
          </w:tcPr>
          <w:p w14:paraId="202A88F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AD56F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elements to be included in the ICT security policies, procedures, protocols and tools referred to in Article 9(2), with a view to ensuring the security of networks, enable adequate safeguards against intrusions and data misuse, preserve the availability, authenticity, integrity and confidentiality of data, including cryptographic techniques, and guarantee an accurate and prompt data transmission without major disruptions and undue delays;</w:t>
            </w:r>
          </w:p>
        </w:tc>
      </w:tr>
    </w:tbl>
    <w:p w14:paraId="45E1032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73933AE" w14:textId="77777777" w:rsidTr="00DB72C3">
        <w:tc>
          <w:tcPr>
            <w:tcW w:w="0" w:type="auto"/>
            <w:shd w:val="clear" w:color="auto" w:fill="auto"/>
            <w:hideMark/>
          </w:tcPr>
          <w:p w14:paraId="6443693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927CEE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develop further components of the controls of access management rights referred to in Article 9(4), point (c), and associated human resource policy specifying access rights, procedures for granting and revoking rights, monitoring anomalous </w:t>
            </w:r>
            <w:proofErr w:type="spellStart"/>
            <w:r w:rsidRPr="00DB72C3">
              <w:rPr>
                <w:rFonts w:ascii="Times New Roman" w:eastAsia="Times New Roman" w:hAnsi="Times New Roman" w:cs="Times New Roman"/>
                <w:sz w:val="24"/>
                <w:szCs w:val="24"/>
              </w:rPr>
              <w:t>behaviour</w:t>
            </w:r>
            <w:proofErr w:type="spellEnd"/>
            <w:r w:rsidRPr="00DB72C3">
              <w:rPr>
                <w:rFonts w:ascii="Times New Roman" w:eastAsia="Times New Roman" w:hAnsi="Times New Roman" w:cs="Times New Roman"/>
                <w:sz w:val="24"/>
                <w:szCs w:val="24"/>
              </w:rPr>
              <w:t xml:space="preserve"> in relation to ICT risk through appropriate indicators, including for network use patterns, hours, IT activity and unknown devices;</w:t>
            </w:r>
          </w:p>
        </w:tc>
      </w:tr>
    </w:tbl>
    <w:p w14:paraId="48808A2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B0113AC" w14:textId="77777777" w:rsidTr="00DB72C3">
        <w:tc>
          <w:tcPr>
            <w:tcW w:w="0" w:type="auto"/>
            <w:shd w:val="clear" w:color="auto" w:fill="auto"/>
            <w:hideMark/>
          </w:tcPr>
          <w:p w14:paraId="0640E23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w:t>
            </w:r>
          </w:p>
        </w:tc>
        <w:tc>
          <w:tcPr>
            <w:tcW w:w="0" w:type="auto"/>
            <w:shd w:val="clear" w:color="auto" w:fill="auto"/>
            <w:hideMark/>
          </w:tcPr>
          <w:p w14:paraId="023449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develop further the mechanisms specified in Article 10(1) enabling a prompt detection of anomalous activities and the criteria set out in Article 10(2) triggering ICT-related incident detection and response processes;</w:t>
            </w:r>
          </w:p>
        </w:tc>
      </w:tr>
    </w:tbl>
    <w:p w14:paraId="635C762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94AF64C" w14:textId="77777777" w:rsidTr="00DB72C3">
        <w:tc>
          <w:tcPr>
            <w:tcW w:w="0" w:type="auto"/>
            <w:shd w:val="clear" w:color="auto" w:fill="auto"/>
            <w:hideMark/>
          </w:tcPr>
          <w:p w14:paraId="6D2E21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1DC5D3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components of the ICT business continuity policy referred to in Article 11(1);</w:t>
            </w:r>
          </w:p>
        </w:tc>
      </w:tr>
    </w:tbl>
    <w:p w14:paraId="5BD7951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E477B9C" w14:textId="77777777" w:rsidTr="00DB72C3">
        <w:tc>
          <w:tcPr>
            <w:tcW w:w="0" w:type="auto"/>
            <w:shd w:val="clear" w:color="auto" w:fill="auto"/>
            <w:hideMark/>
          </w:tcPr>
          <w:p w14:paraId="787F077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3C4D58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testing of ICT business continuity plans referred to in Article 11(6) to ensure that such testing duly takes into account scenarios in which the quality of the provision of a critical or important function deteriorates to an unacceptable level or fails, and duly considers the potential impact of the insolvency, or other failures, of any relevant ICT third-party service provider and, where relevant, the political risks in the respective providers’ jurisdictions;</w:t>
            </w:r>
          </w:p>
        </w:tc>
      </w:tr>
    </w:tbl>
    <w:p w14:paraId="175DFA3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070D429" w14:textId="77777777" w:rsidTr="00DB72C3">
        <w:tc>
          <w:tcPr>
            <w:tcW w:w="0" w:type="auto"/>
            <w:shd w:val="clear" w:color="auto" w:fill="auto"/>
            <w:hideMark/>
          </w:tcPr>
          <w:p w14:paraId="0B551B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5B0F99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components of the ICT response and recovery plans referred to in Article 11(3);</w:t>
            </w:r>
          </w:p>
        </w:tc>
      </w:tr>
    </w:tbl>
    <w:p w14:paraId="0387E35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6BDF279" w14:textId="77777777" w:rsidTr="00DB72C3">
        <w:tc>
          <w:tcPr>
            <w:tcW w:w="0" w:type="auto"/>
            <w:shd w:val="clear" w:color="auto" w:fill="auto"/>
            <w:hideMark/>
          </w:tcPr>
          <w:p w14:paraId="0F294E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3EA839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specifying further the content and format of the report on the review of the ICT risk management framework referred to in Article 6(5);</w:t>
            </w:r>
          </w:p>
        </w:tc>
      </w:tr>
    </w:tbl>
    <w:p w14:paraId="500BF42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developing those draft regulatory technical standards, the ESAs shall take into account the size and the overall risk profile of the financial entity, and the nature, scale and complexity of its services, activities and operations, while duly taking into consideration any specific feature arising from the distinct nature of activities across different financial services sectors.</w:t>
      </w:r>
    </w:p>
    <w:p w14:paraId="75A37BF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those draft regulatory technical standards to the Commission by 17 January 2024.</w:t>
      </w:r>
    </w:p>
    <w:p w14:paraId="1BD7010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the first paragraph in accordance with Articles 10 to 14 of Regulations (EU) No 1093/2010, (EU) No 1094/2010 and (EU) No 1095/2010.</w:t>
      </w:r>
    </w:p>
    <w:p w14:paraId="22503F98"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16</w:t>
      </w:r>
    </w:p>
    <w:p w14:paraId="7BA464F6"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Simplified ICT risk management framework</w:t>
      </w:r>
    </w:p>
    <w:p w14:paraId="6CC21AC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Articles 5 to 15 of this Regulation shall not apply to small and non-interconnected investment firms, payment institutions exempted pursuant to Directive (EU) 2015/2366; institutions exempted pursuant to Directive 2013/36/EU in respect of which Member States have decided not to apply the option referred to in Article 2(4) of this Regulation; electronic money institutions exempted pursuant to Directive 2009/110/EC; and small institutions for occupational retirement provision.</w:t>
      </w:r>
    </w:p>
    <w:p w14:paraId="6D8AA71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Without prejudice to the first subparagraph, the entities listed in the first subparagraph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AA65EC2" w14:textId="77777777" w:rsidTr="00DB72C3">
        <w:tc>
          <w:tcPr>
            <w:tcW w:w="0" w:type="auto"/>
            <w:shd w:val="clear" w:color="auto" w:fill="auto"/>
            <w:hideMark/>
          </w:tcPr>
          <w:p w14:paraId="7B3963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(a)</w:t>
            </w:r>
          </w:p>
        </w:tc>
        <w:tc>
          <w:tcPr>
            <w:tcW w:w="0" w:type="auto"/>
            <w:shd w:val="clear" w:color="auto" w:fill="auto"/>
            <w:hideMark/>
          </w:tcPr>
          <w:p w14:paraId="63B24F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put in place and maintain a sound and documented ICT risk management framework that details the mechanisms and measures aimed at a quick, efficient and comprehensive management of ICT risk, including for the protection of relevant physical components and infrastructures;</w:t>
            </w:r>
          </w:p>
        </w:tc>
      </w:tr>
    </w:tbl>
    <w:p w14:paraId="6B8E0EF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75"/>
        <w:gridCol w:w="8985"/>
      </w:tblGrid>
      <w:tr w:rsidR="00DB72C3" w:rsidRPr="00DB72C3" w14:paraId="3E9EA5EE" w14:textId="77777777" w:rsidTr="00DB72C3">
        <w:tc>
          <w:tcPr>
            <w:tcW w:w="0" w:type="auto"/>
            <w:shd w:val="clear" w:color="auto" w:fill="auto"/>
            <w:hideMark/>
          </w:tcPr>
          <w:p w14:paraId="43E024E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8F51E7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continuously monitor the security and functioning of all ICT systems;</w:t>
            </w:r>
          </w:p>
        </w:tc>
      </w:tr>
    </w:tbl>
    <w:p w14:paraId="6750681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C638A6B" w14:textId="77777777" w:rsidTr="00DB72C3">
        <w:tc>
          <w:tcPr>
            <w:tcW w:w="0" w:type="auto"/>
            <w:shd w:val="clear" w:color="auto" w:fill="auto"/>
            <w:hideMark/>
          </w:tcPr>
          <w:p w14:paraId="12B6F36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0FA4B2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 impact of ICT risk through the use of sound, resilient and updated ICT systems, protocols and tools which are appropriate to support the performance of their activities and the provision of services and adequately protect availability, authenticity, integrity and confidentiality of data in the network and information systems;</w:t>
            </w:r>
          </w:p>
        </w:tc>
      </w:tr>
    </w:tbl>
    <w:p w14:paraId="51C1FC9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875AD43" w14:textId="77777777" w:rsidTr="00DB72C3">
        <w:tc>
          <w:tcPr>
            <w:tcW w:w="0" w:type="auto"/>
            <w:shd w:val="clear" w:color="auto" w:fill="auto"/>
            <w:hideMark/>
          </w:tcPr>
          <w:p w14:paraId="1A0519C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50B9F1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allow sources of ICT risk and anomalies in the network and information systems to be promptly identified and detected and ICT-related incidents to be swiftly handled;</w:t>
            </w:r>
          </w:p>
        </w:tc>
      </w:tr>
    </w:tbl>
    <w:p w14:paraId="2584856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92"/>
        <w:gridCol w:w="8968"/>
      </w:tblGrid>
      <w:tr w:rsidR="00DB72C3" w:rsidRPr="00DB72C3" w14:paraId="44B1C6A4" w14:textId="77777777" w:rsidTr="00DB72C3">
        <w:tc>
          <w:tcPr>
            <w:tcW w:w="0" w:type="auto"/>
            <w:shd w:val="clear" w:color="auto" w:fill="auto"/>
            <w:hideMark/>
          </w:tcPr>
          <w:p w14:paraId="67FFBF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9664D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identify key dependencies on ICT third-party service providers;</w:t>
            </w:r>
          </w:p>
        </w:tc>
      </w:tr>
    </w:tbl>
    <w:p w14:paraId="731E58B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33AC1535" w14:textId="77777777" w:rsidTr="00DB72C3">
        <w:tc>
          <w:tcPr>
            <w:tcW w:w="0" w:type="auto"/>
            <w:shd w:val="clear" w:color="auto" w:fill="auto"/>
            <w:hideMark/>
          </w:tcPr>
          <w:p w14:paraId="6E3E6E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6C166EF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the continuity of critical or important functions, through business continuity plans and response and recovery measures, which include, at least, back-up and restoration measures;</w:t>
            </w:r>
          </w:p>
        </w:tc>
      </w:tr>
    </w:tbl>
    <w:p w14:paraId="6BB6687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EAECE15" w14:textId="77777777" w:rsidTr="00DB72C3">
        <w:tc>
          <w:tcPr>
            <w:tcW w:w="0" w:type="auto"/>
            <w:shd w:val="clear" w:color="auto" w:fill="auto"/>
            <w:hideMark/>
          </w:tcPr>
          <w:p w14:paraId="4FD3AC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069149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test, on a regular basis, the plans and measures referred to in point (f), as well as the effectiveness of the controls implemented in accordance with points (a) and (c);</w:t>
            </w:r>
          </w:p>
        </w:tc>
      </w:tr>
    </w:tbl>
    <w:p w14:paraId="6324A85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D1E8CE1" w14:textId="77777777" w:rsidTr="00DB72C3">
        <w:tc>
          <w:tcPr>
            <w:tcW w:w="0" w:type="auto"/>
            <w:shd w:val="clear" w:color="auto" w:fill="auto"/>
            <w:hideMark/>
          </w:tcPr>
          <w:p w14:paraId="105BBC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2A4CBD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implement, as appropriate, relevant operational conclusions resulting from the tests referred to in point (g) and from post-incident analysis into the ICT risk assessment process and develop, according to needs and ICT risk profile, ICT security awareness </w:t>
            </w:r>
            <w:proofErr w:type="spellStart"/>
            <w:r w:rsidRPr="00DB72C3">
              <w:rPr>
                <w:rFonts w:ascii="Times New Roman" w:eastAsia="Times New Roman" w:hAnsi="Times New Roman" w:cs="Times New Roman"/>
                <w:sz w:val="24"/>
                <w:szCs w:val="24"/>
              </w:rPr>
              <w:t>programmes</w:t>
            </w:r>
            <w:proofErr w:type="spellEnd"/>
            <w:r w:rsidRPr="00DB72C3">
              <w:rPr>
                <w:rFonts w:ascii="Times New Roman" w:eastAsia="Times New Roman" w:hAnsi="Times New Roman" w:cs="Times New Roman"/>
                <w:sz w:val="24"/>
                <w:szCs w:val="24"/>
              </w:rPr>
              <w:t xml:space="preserve"> and digital operational resilience training for staff and management.</w:t>
            </w:r>
          </w:p>
        </w:tc>
      </w:tr>
    </w:tbl>
    <w:p w14:paraId="780F698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ICT risk management framework referred to in paragraph 1, second subparagraph, point (a), shall be documented and reviewed periodically and upon the occurrence of major ICT-related incidents in compliance with supervisory instructions. It shall be continuously improved on the basis of lessons derived from implementation and monitoring. A report on the review of the ICT risk management framework shall be submitted to the competent authority upon its request.</w:t>
      </w:r>
    </w:p>
    <w:p w14:paraId="02505F6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ESAs shall, through the Joint Committee, in consultation with the ENISA, develop common draft regulatory technical standards in order to:</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095F99A" w14:textId="77777777" w:rsidTr="00DB72C3">
        <w:tc>
          <w:tcPr>
            <w:tcW w:w="0" w:type="auto"/>
            <w:shd w:val="clear" w:color="auto" w:fill="auto"/>
            <w:hideMark/>
          </w:tcPr>
          <w:p w14:paraId="606983F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AF9148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elements to be included in the ICT risk management framework referred to in paragraph 1, second subparagraph, point (a);</w:t>
            </w:r>
          </w:p>
        </w:tc>
      </w:tr>
    </w:tbl>
    <w:p w14:paraId="2495725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7F15BB4" w14:textId="77777777" w:rsidTr="00DB72C3">
        <w:tc>
          <w:tcPr>
            <w:tcW w:w="0" w:type="auto"/>
            <w:shd w:val="clear" w:color="auto" w:fill="auto"/>
            <w:hideMark/>
          </w:tcPr>
          <w:p w14:paraId="14516F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33A8A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specify further the elements in relation to systems, protocols and tools to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 impact of ICT risk referred to in paragraph 1, second subparagraph, point (c), with a view to ensuring the security of networks, enabling adequate safeguards against intrusions and data misuse and preserving the availability, authenticity, integrity and confidentiality of data;</w:t>
            </w:r>
          </w:p>
        </w:tc>
      </w:tr>
    </w:tbl>
    <w:p w14:paraId="1157D08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5E9CEFA" w14:textId="77777777" w:rsidTr="00DB72C3">
        <w:tc>
          <w:tcPr>
            <w:tcW w:w="0" w:type="auto"/>
            <w:shd w:val="clear" w:color="auto" w:fill="auto"/>
            <w:hideMark/>
          </w:tcPr>
          <w:p w14:paraId="70E861A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1DF61E0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components of the ICT business continuity plans referred to in paragraph 1, second subparagraph, point (f);</w:t>
            </w:r>
          </w:p>
        </w:tc>
      </w:tr>
    </w:tbl>
    <w:p w14:paraId="75B612A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9A63EA2" w14:textId="77777777" w:rsidTr="00DB72C3">
        <w:tc>
          <w:tcPr>
            <w:tcW w:w="0" w:type="auto"/>
            <w:shd w:val="clear" w:color="auto" w:fill="auto"/>
            <w:hideMark/>
          </w:tcPr>
          <w:p w14:paraId="64F6759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(d)</w:t>
            </w:r>
          </w:p>
        </w:tc>
        <w:tc>
          <w:tcPr>
            <w:tcW w:w="0" w:type="auto"/>
            <w:shd w:val="clear" w:color="auto" w:fill="auto"/>
            <w:hideMark/>
          </w:tcPr>
          <w:p w14:paraId="5E0A3B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rules on the testing of business continuity plans and ensure the effectiveness of the controls referred to in paragraph 1, second subparagraph, point (g) and ensure that such testing duly takes into account scenarios in which the quality of the provision of a critical or important function deteriorates to an unacceptable level or fails;</w:t>
            </w:r>
          </w:p>
        </w:tc>
      </w:tr>
    </w:tbl>
    <w:p w14:paraId="09BDA80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C5C68B6" w14:textId="77777777" w:rsidTr="00DB72C3">
        <w:tc>
          <w:tcPr>
            <w:tcW w:w="0" w:type="auto"/>
            <w:shd w:val="clear" w:color="auto" w:fill="auto"/>
            <w:hideMark/>
          </w:tcPr>
          <w:p w14:paraId="4BE463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3CF8CE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further the content and format of the report on the review of the ICT risk management framework referred to in paragraph 2.</w:t>
            </w:r>
          </w:p>
        </w:tc>
      </w:tr>
    </w:tbl>
    <w:p w14:paraId="2029C0D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developing those draft regulatory technical standards, the ESAs shall take into account the size and the overall risk profile of the financial entity, and the nature, scale and complexity of its services, activities and operations.</w:t>
      </w:r>
    </w:p>
    <w:p w14:paraId="7CD7F72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those draft regulatory technical standards to the Commission by 17 January 2024.</w:t>
      </w:r>
    </w:p>
    <w:p w14:paraId="0432A25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the first subparagraph in accordance with Articles 10 to 14 of Regulations (EU) No 1093/2010, (EU) No 1094/2010 and (EU) No 1095/2010.</w:t>
      </w:r>
    </w:p>
    <w:p w14:paraId="2589A19E"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III</w:t>
      </w:r>
    </w:p>
    <w:p w14:paraId="2C09F9F9"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ICT-related incident management, classification and reporting</w:t>
      </w:r>
    </w:p>
    <w:p w14:paraId="15C79B8D"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17</w:t>
      </w:r>
    </w:p>
    <w:p w14:paraId="25A73EC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ICT-related incident management process</w:t>
      </w:r>
    </w:p>
    <w:p w14:paraId="1C1F0D0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define, establish and implement an ICT-related incident management process to detect, manage and notify ICT-related incidents.</w:t>
      </w:r>
    </w:p>
    <w:p w14:paraId="6E430DF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shall record all ICT-related incidents and significant cyber threats. Financial entities shall establish appropriate procedures and processes to ensure a consistent and integrated monitoring, handling and follow-up of ICT-related incidents, to ensure that root causes are identified, documented and addressed in order to prevent the occurrence of such incidents.</w:t>
      </w:r>
    </w:p>
    <w:p w14:paraId="1D7ADF4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ICT-related incident management process referred to in paragraph 1 shall:</w:t>
      </w:r>
    </w:p>
    <w:tbl>
      <w:tblPr>
        <w:tblW w:w="5000" w:type="pct"/>
        <w:tblCellMar>
          <w:left w:w="0" w:type="dxa"/>
          <w:right w:w="0" w:type="dxa"/>
        </w:tblCellMar>
        <w:tblLook w:val="04A0" w:firstRow="1" w:lastRow="0" w:firstColumn="1" w:lastColumn="0" w:noHBand="0" w:noVBand="1"/>
      </w:tblPr>
      <w:tblGrid>
        <w:gridCol w:w="650"/>
        <w:gridCol w:w="8710"/>
      </w:tblGrid>
      <w:tr w:rsidR="00DB72C3" w:rsidRPr="00DB72C3" w14:paraId="54AF5660" w14:textId="77777777" w:rsidTr="00DB72C3">
        <w:tc>
          <w:tcPr>
            <w:tcW w:w="0" w:type="auto"/>
            <w:shd w:val="clear" w:color="auto" w:fill="auto"/>
            <w:hideMark/>
          </w:tcPr>
          <w:p w14:paraId="0DD52D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630AED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put in place early warning indicators;</w:t>
            </w:r>
          </w:p>
        </w:tc>
      </w:tr>
    </w:tbl>
    <w:p w14:paraId="6591818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ED91BA0" w14:textId="77777777" w:rsidTr="00DB72C3">
        <w:tc>
          <w:tcPr>
            <w:tcW w:w="0" w:type="auto"/>
            <w:shd w:val="clear" w:color="auto" w:fill="auto"/>
            <w:hideMark/>
          </w:tcPr>
          <w:p w14:paraId="1A2324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137A5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establish procedures to identify, track, log, </w:t>
            </w:r>
            <w:proofErr w:type="spellStart"/>
            <w:r w:rsidRPr="00DB72C3">
              <w:rPr>
                <w:rFonts w:ascii="Times New Roman" w:eastAsia="Times New Roman" w:hAnsi="Times New Roman" w:cs="Times New Roman"/>
                <w:sz w:val="24"/>
                <w:szCs w:val="24"/>
              </w:rPr>
              <w:t>categorise</w:t>
            </w:r>
            <w:proofErr w:type="spellEnd"/>
            <w:r w:rsidRPr="00DB72C3">
              <w:rPr>
                <w:rFonts w:ascii="Times New Roman" w:eastAsia="Times New Roman" w:hAnsi="Times New Roman" w:cs="Times New Roman"/>
                <w:sz w:val="24"/>
                <w:szCs w:val="24"/>
              </w:rPr>
              <w:t xml:space="preserve"> and classify ICT-related incidents according to their priority and severity and according to the criticality of the services impacted, in accordance with the criteria set out in Article 18(1);</w:t>
            </w:r>
          </w:p>
        </w:tc>
      </w:tr>
    </w:tbl>
    <w:p w14:paraId="4A05ADA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CD02F6B" w14:textId="77777777" w:rsidTr="00DB72C3">
        <w:tc>
          <w:tcPr>
            <w:tcW w:w="0" w:type="auto"/>
            <w:shd w:val="clear" w:color="auto" w:fill="auto"/>
            <w:hideMark/>
          </w:tcPr>
          <w:p w14:paraId="56E4BCE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030022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assign roles and responsibilities that need to be activated for different ICT-related incident types and scenarios;</w:t>
            </w:r>
          </w:p>
        </w:tc>
      </w:tr>
    </w:tbl>
    <w:p w14:paraId="09B8091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E7F3099" w14:textId="77777777" w:rsidTr="00DB72C3">
        <w:tc>
          <w:tcPr>
            <w:tcW w:w="0" w:type="auto"/>
            <w:shd w:val="clear" w:color="auto" w:fill="auto"/>
            <w:hideMark/>
          </w:tcPr>
          <w:p w14:paraId="744297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(d)</w:t>
            </w:r>
          </w:p>
        </w:tc>
        <w:tc>
          <w:tcPr>
            <w:tcW w:w="0" w:type="auto"/>
            <w:shd w:val="clear" w:color="auto" w:fill="auto"/>
            <w:hideMark/>
          </w:tcPr>
          <w:p w14:paraId="39B8B8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 out plans for communication to staff, external stakeholders and media in accordance with Article 14 and for notification to clients, for internal escalation procedures, including ICT-related customer complaints, as well as for the provision of information to financial entities that act as counterparts, as appropriate;</w:t>
            </w:r>
          </w:p>
        </w:tc>
      </w:tr>
    </w:tbl>
    <w:p w14:paraId="707866F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CB1551E" w14:textId="77777777" w:rsidTr="00DB72C3">
        <w:tc>
          <w:tcPr>
            <w:tcW w:w="0" w:type="auto"/>
            <w:shd w:val="clear" w:color="auto" w:fill="auto"/>
            <w:hideMark/>
          </w:tcPr>
          <w:p w14:paraId="561449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6365350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that at least major ICT-related incidents are reported to relevant senior management and inform the management body of at least major ICT-related incidents, explaining the impact, response and additional controls to be established as a result of such ICT-related incidents;</w:t>
            </w:r>
          </w:p>
        </w:tc>
      </w:tr>
    </w:tbl>
    <w:p w14:paraId="7A1B437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1D58BEA8" w14:textId="77777777" w:rsidTr="00DB72C3">
        <w:tc>
          <w:tcPr>
            <w:tcW w:w="0" w:type="auto"/>
            <w:shd w:val="clear" w:color="auto" w:fill="auto"/>
            <w:hideMark/>
          </w:tcPr>
          <w:p w14:paraId="02F888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139A31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establish ICT-related incident response procedures to mitigate impacts and ensure that services become operational and secure in a timely manner.</w:t>
            </w:r>
          </w:p>
        </w:tc>
      </w:tr>
    </w:tbl>
    <w:p w14:paraId="7096F1F8"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18</w:t>
      </w:r>
    </w:p>
    <w:p w14:paraId="69CDA71C"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Classification of ICT-related incidents and cyber threats</w:t>
      </w:r>
    </w:p>
    <w:p w14:paraId="1190CC4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classify ICT-related incidents and shall determine their impact based on the following criteria:</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11D2051" w14:textId="77777777" w:rsidTr="00DB72C3">
        <w:tc>
          <w:tcPr>
            <w:tcW w:w="0" w:type="auto"/>
            <w:shd w:val="clear" w:color="auto" w:fill="auto"/>
            <w:hideMark/>
          </w:tcPr>
          <w:p w14:paraId="7AFA1B0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67EBEE2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number and/or relevance of clients or financial counterparts affected and, where applicable, the amount or number of transactions affected by the ICT-related incident, and whether the ICT-related incident has caused reputational impact;</w:t>
            </w:r>
          </w:p>
        </w:tc>
      </w:tr>
    </w:tbl>
    <w:p w14:paraId="356DB9D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61"/>
        <w:gridCol w:w="8999"/>
      </w:tblGrid>
      <w:tr w:rsidR="00DB72C3" w:rsidRPr="00DB72C3" w14:paraId="3BCDCB2F" w14:textId="77777777" w:rsidTr="00DB72C3">
        <w:tc>
          <w:tcPr>
            <w:tcW w:w="0" w:type="auto"/>
            <w:shd w:val="clear" w:color="auto" w:fill="auto"/>
            <w:hideMark/>
          </w:tcPr>
          <w:p w14:paraId="4D7E3A1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E87D3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duration of the ICT-related incident, including the service downtime;</w:t>
            </w:r>
          </w:p>
        </w:tc>
      </w:tr>
    </w:tbl>
    <w:p w14:paraId="60F896E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F16BBE3" w14:textId="77777777" w:rsidTr="00DB72C3">
        <w:tc>
          <w:tcPr>
            <w:tcW w:w="0" w:type="auto"/>
            <w:shd w:val="clear" w:color="auto" w:fill="auto"/>
            <w:hideMark/>
          </w:tcPr>
          <w:p w14:paraId="3BC0F02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3CB089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geographical spread with regard to the areas affected by the ICT-related incident, particularly if it affects more than two Member States;</w:t>
            </w:r>
          </w:p>
        </w:tc>
      </w:tr>
    </w:tbl>
    <w:p w14:paraId="3632E4A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9DBED62" w14:textId="77777777" w:rsidTr="00DB72C3">
        <w:tc>
          <w:tcPr>
            <w:tcW w:w="0" w:type="auto"/>
            <w:shd w:val="clear" w:color="auto" w:fill="auto"/>
            <w:hideMark/>
          </w:tcPr>
          <w:p w14:paraId="597BD2A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7E4D630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data losses that the ICT-related incident entails, in relation to availability, authenticity, integrity or confidentiality of data;</w:t>
            </w:r>
          </w:p>
        </w:tc>
      </w:tr>
    </w:tbl>
    <w:p w14:paraId="052EC88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7D740DB" w14:textId="77777777" w:rsidTr="00DB72C3">
        <w:tc>
          <w:tcPr>
            <w:tcW w:w="0" w:type="auto"/>
            <w:shd w:val="clear" w:color="auto" w:fill="auto"/>
            <w:hideMark/>
          </w:tcPr>
          <w:p w14:paraId="6ECED91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06B84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criticality of the services affected, including the financial entity’s transactions and operations;</w:t>
            </w:r>
          </w:p>
        </w:tc>
      </w:tr>
    </w:tbl>
    <w:p w14:paraId="67DFD35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77D5F380" w14:textId="77777777" w:rsidTr="00DB72C3">
        <w:tc>
          <w:tcPr>
            <w:tcW w:w="0" w:type="auto"/>
            <w:shd w:val="clear" w:color="auto" w:fill="auto"/>
            <w:hideMark/>
          </w:tcPr>
          <w:p w14:paraId="10BBC33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0E3DE7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economic impact, in particular direct and indirect costs and losses, of the ICT-related incident in both absolute and relative terms.</w:t>
            </w:r>
          </w:p>
        </w:tc>
      </w:tr>
    </w:tbl>
    <w:p w14:paraId="65EB798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shall classify cyber threats as significant based on the criticality of the services at risk, including the financial entity’s transactions and operations, number and/or relevance of clients or financial counterparts targeted and the geographical spread of the areas at risk.</w:t>
      </w:r>
    </w:p>
    <w:p w14:paraId="15A1E59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ESAs shall, through the Joint Committee and in consultation with the ECB and ENISA, develop common draft regulatory technical standards further specifying the following: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B0E5AF3" w14:textId="77777777" w:rsidTr="00DB72C3">
        <w:tc>
          <w:tcPr>
            <w:tcW w:w="0" w:type="auto"/>
            <w:shd w:val="clear" w:color="auto" w:fill="auto"/>
            <w:hideMark/>
          </w:tcPr>
          <w:p w14:paraId="7EF2B3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(a)</w:t>
            </w:r>
          </w:p>
        </w:tc>
        <w:tc>
          <w:tcPr>
            <w:tcW w:w="0" w:type="auto"/>
            <w:shd w:val="clear" w:color="auto" w:fill="auto"/>
            <w:hideMark/>
          </w:tcPr>
          <w:p w14:paraId="3FD7F63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set out in paragraph 1, including materiality thresholds for determining major ICT-related incidents or, as applicable, major operational or security payment-related incidents, that are subject to the reporting obligation laid down in Article 19(1);</w:t>
            </w:r>
          </w:p>
        </w:tc>
      </w:tr>
    </w:tbl>
    <w:p w14:paraId="50C3FF7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145A388" w14:textId="77777777" w:rsidTr="00DB72C3">
        <w:tc>
          <w:tcPr>
            <w:tcW w:w="0" w:type="auto"/>
            <w:shd w:val="clear" w:color="auto" w:fill="auto"/>
            <w:hideMark/>
          </w:tcPr>
          <w:p w14:paraId="0A2CFE6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B28A4C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to be applied by competent authorities for the purpose of assessing the relevance of major ICT-related incidents or, as applicable, major operational or security payment-related incidents, to relevant competent authorities in other Member States’, and the details of reports of major ICT-related incidents or, as applicable, major operational or security payment-related incidents, to be shared with other competent authorities pursuant to Article 19(6) and (7);</w:t>
            </w:r>
          </w:p>
        </w:tc>
      </w:tr>
    </w:tbl>
    <w:p w14:paraId="479F786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9EA5F74" w14:textId="77777777" w:rsidTr="00DB72C3">
        <w:tc>
          <w:tcPr>
            <w:tcW w:w="0" w:type="auto"/>
            <w:shd w:val="clear" w:color="auto" w:fill="auto"/>
            <w:hideMark/>
          </w:tcPr>
          <w:p w14:paraId="4BDA61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13ECAE6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set out in paragraph 2 of this Article, including high materiality thresholds for determining significant cyber threats.</w:t>
            </w:r>
          </w:p>
        </w:tc>
      </w:tr>
    </w:tbl>
    <w:p w14:paraId="2F5CE96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4.   When developing the common draft regulatory technical standards referred to in paragraph 3 of this Article, the ESAs shall take into account the criteria set out in Article 4(2), as well as international standards, guidance and specifications developed and published by ENISA, including, where appropriate, specifications for other economic sectors. For the purposes of applying the criteria set out in Article 4(2), the ESAs shall duly consider the need for microenterprises and small and medium-sized enterprises to </w:t>
      </w:r>
      <w:proofErr w:type="spellStart"/>
      <w:r w:rsidRPr="00DB72C3">
        <w:rPr>
          <w:rFonts w:ascii="Times New Roman" w:eastAsia="Times New Roman" w:hAnsi="Times New Roman" w:cs="Times New Roman"/>
          <w:color w:val="333333"/>
          <w:sz w:val="27"/>
          <w:szCs w:val="27"/>
        </w:rPr>
        <w:t>mobilise</w:t>
      </w:r>
      <w:proofErr w:type="spellEnd"/>
      <w:r w:rsidRPr="00DB72C3">
        <w:rPr>
          <w:rFonts w:ascii="Times New Roman" w:eastAsia="Times New Roman" w:hAnsi="Times New Roman" w:cs="Times New Roman"/>
          <w:color w:val="333333"/>
          <w:sz w:val="27"/>
          <w:szCs w:val="27"/>
        </w:rPr>
        <w:t xml:space="preserve"> sufficient resources and capabilities to ensure that ICT-related incidents are managed swiftly.</w:t>
      </w:r>
    </w:p>
    <w:p w14:paraId="1A726BB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those common draft regulatory technical standards to the Commission by 17 January 2024.</w:t>
      </w:r>
    </w:p>
    <w:p w14:paraId="329BCCE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paragraph 3 in accordance with Articles 10 to 14 of Regulations (EU) No 1093/2010, (EU) No 1094/2010 and (EU) No 1095/2010.</w:t>
      </w:r>
    </w:p>
    <w:p w14:paraId="1E11CB29"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19</w:t>
      </w:r>
    </w:p>
    <w:p w14:paraId="2BABB1AC"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Reporting of major ICT-related incidents and voluntary notification of significant cyber threats</w:t>
      </w:r>
    </w:p>
    <w:p w14:paraId="74CBDBC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report major ICT-related incidents to the relevant competent authority as referred to in Article 46 in accordance with paragraph 4 of this Article.</w:t>
      </w:r>
    </w:p>
    <w:p w14:paraId="4BBBB91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Where a financial entity is subject to supervision by more than one national competent authority referred to in Article 46, Member States shall designate a single competent authority as the relevant competent authority responsible for carrying out the functions and duties provided for in this Article.</w:t>
      </w:r>
    </w:p>
    <w:p w14:paraId="7BB85FA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Credit institutions classified as significant, in accordance with Article 6(4) of Regulation (EU) No 1024/2013, shall report major ICT-related incidents to the relevant national competent authority designated in accordance with Article 4 of Directive 2013/36/EU, which shall immediately transmit that report to the ECB.</w:t>
      </w:r>
    </w:p>
    <w:p w14:paraId="6B3966C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 xml:space="preserve">For the purpose of the first subparagraph, financial entities shall produce, after collecting and </w:t>
      </w:r>
      <w:proofErr w:type="spellStart"/>
      <w:r w:rsidRPr="00DB72C3">
        <w:rPr>
          <w:rFonts w:ascii="Times New Roman" w:eastAsia="Times New Roman" w:hAnsi="Times New Roman" w:cs="Times New Roman"/>
          <w:color w:val="333333"/>
          <w:sz w:val="27"/>
          <w:szCs w:val="27"/>
        </w:rPr>
        <w:t>analysing</w:t>
      </w:r>
      <w:proofErr w:type="spellEnd"/>
      <w:r w:rsidRPr="00DB72C3">
        <w:rPr>
          <w:rFonts w:ascii="Times New Roman" w:eastAsia="Times New Roman" w:hAnsi="Times New Roman" w:cs="Times New Roman"/>
          <w:color w:val="333333"/>
          <w:sz w:val="27"/>
          <w:szCs w:val="27"/>
        </w:rPr>
        <w:t xml:space="preserve"> all relevant information, the initial notification and reports referred to in paragraph 4 of this Article using the templates referred to in Article 20 and submit them to the competent authority. In the event that a technical impossibility prevents the submission of the initial notification using the template, financial entities shall notify the competent authority about it via alternative means.</w:t>
      </w:r>
    </w:p>
    <w:p w14:paraId="1428984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initial notification and reports referred to in paragraph 4 shall include all information necessary for the competent authority to determine the significance of the major ICT-related incident and assess possible cross-border impacts.</w:t>
      </w:r>
    </w:p>
    <w:p w14:paraId="7466368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Without prejudice to the reporting pursuant to the first subparagraph by the financial entity to the relevant competent authority, Member States may additionally determine that some or all financial entities shall also provide the initial notification and each report referred to in paragraph 4 of this Article using the templates referred to in Article 20 to the competent authorities or the computer security incident response teams (CSIRTs) designated or established in accordance with Directive (EU) 2022/2555.</w:t>
      </w:r>
    </w:p>
    <w:p w14:paraId="1047B4D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Financial entities may, on a voluntary basis, notify significant cyber threats to the relevant competent authority when they deem the threat to be of relevance to the financial system, service users or clients. The relevant competent authority may provide such information to other relevant authorities referred to in paragraph 6.</w:t>
      </w:r>
    </w:p>
    <w:p w14:paraId="29F23CA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Credit institutions classified as significant, in accordance with Article 6(4) of Regulation (EU) No 1024/2013, may, on a voluntary basis, notify significant cyber threats to relevant national competent authority, designated in accordance with Article 4 of Directive 2013/36/EU, which shall immediately transmit the notification to the ECB.</w:t>
      </w:r>
    </w:p>
    <w:p w14:paraId="4D0DBF9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Member States may determine that those financial entities that on a voluntary basis notify in accordance with the first subparagraph may also transmit that notification to the CSIRTs designated or established in accordance with Directive (EU) 2022/2555.</w:t>
      </w:r>
    </w:p>
    <w:p w14:paraId="237CC7E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Where a major ICT-related incident occurs and has an impact on the financial interests of clients, financial entities shall, without undue delay as soon as they become aware of it, inform their clients about the major ICT-related incident and about the measures that have been taken to mitigate the adverse effects of such incident.</w:t>
      </w:r>
    </w:p>
    <w:p w14:paraId="050E731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In the case of a significant cyber threat, financial entities shall, where applicable, inform their clients that are potentially affected of any appropriate protection measures which the latter may consider taking.</w:t>
      </w:r>
    </w:p>
    <w:p w14:paraId="16610DD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Financial entities shall, within the time limits to be laid down in accordance with Article 20, first paragraph, point (a), point (ii), submit the following to the relevant competent authority:</w:t>
      </w:r>
    </w:p>
    <w:tbl>
      <w:tblPr>
        <w:tblW w:w="5000" w:type="pct"/>
        <w:tblCellMar>
          <w:left w:w="0" w:type="dxa"/>
          <w:right w:w="0" w:type="dxa"/>
        </w:tblCellMar>
        <w:tblLook w:val="04A0" w:firstRow="1" w:lastRow="0" w:firstColumn="1" w:lastColumn="0" w:noHBand="0" w:noVBand="1"/>
      </w:tblPr>
      <w:tblGrid>
        <w:gridCol w:w="1065"/>
        <w:gridCol w:w="8295"/>
      </w:tblGrid>
      <w:tr w:rsidR="00DB72C3" w:rsidRPr="00DB72C3" w14:paraId="1F87E854" w14:textId="77777777" w:rsidTr="00DB72C3">
        <w:tc>
          <w:tcPr>
            <w:tcW w:w="0" w:type="auto"/>
            <w:shd w:val="clear" w:color="auto" w:fill="auto"/>
            <w:hideMark/>
          </w:tcPr>
          <w:p w14:paraId="245CF9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DECC68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 initial notification;</w:t>
            </w:r>
          </w:p>
        </w:tc>
      </w:tr>
    </w:tbl>
    <w:p w14:paraId="3BE8B17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9541AB9" w14:textId="77777777" w:rsidTr="00DB72C3">
        <w:tc>
          <w:tcPr>
            <w:tcW w:w="0" w:type="auto"/>
            <w:shd w:val="clear" w:color="auto" w:fill="auto"/>
            <w:hideMark/>
          </w:tcPr>
          <w:p w14:paraId="68ECD8A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(b)</w:t>
            </w:r>
          </w:p>
        </w:tc>
        <w:tc>
          <w:tcPr>
            <w:tcW w:w="0" w:type="auto"/>
            <w:shd w:val="clear" w:color="auto" w:fill="auto"/>
            <w:hideMark/>
          </w:tcPr>
          <w:p w14:paraId="613F6D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 intermediate report after the initial notification referred to in point (a), as soon as the status of the original incident has changed significantly or the handling of the major ICT-related incident has changed based on new information available, followed, as appropriate, by updated notifications every time a relevant status update is available, as well as upon a specific request of the competent authority;</w:t>
            </w:r>
          </w:p>
        </w:tc>
      </w:tr>
    </w:tbl>
    <w:p w14:paraId="0A92080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BC93CF2" w14:textId="77777777" w:rsidTr="00DB72C3">
        <w:tc>
          <w:tcPr>
            <w:tcW w:w="0" w:type="auto"/>
            <w:shd w:val="clear" w:color="auto" w:fill="auto"/>
            <w:hideMark/>
          </w:tcPr>
          <w:p w14:paraId="1F4B69D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B28EA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final report, when the root cause analysis has been completed, regardless of whether mitigation measures have already been implemented, and when the actual impact figures are available to replace estimates.</w:t>
            </w:r>
          </w:p>
        </w:tc>
      </w:tr>
    </w:tbl>
    <w:p w14:paraId="5233E84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Financial entities may outsource, in accordance with Union and national sectoral law, the reporting obligations under this Article to a third-party service provider. In case of such outsourcing, the financial entity remains fully responsible for the fulfilment of the incident reporting requirements.</w:t>
      </w:r>
    </w:p>
    <w:p w14:paraId="2C61E56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Upon receipt of the initial notification and of each report referred to in paragraph 4, the competent authority shall, in a timely manner, provide details of the major ICT-related incident to the following recipients based, as applicable, on their respective competences:</w:t>
      </w:r>
    </w:p>
    <w:tbl>
      <w:tblPr>
        <w:tblW w:w="5000" w:type="pct"/>
        <w:tblCellMar>
          <w:left w:w="0" w:type="dxa"/>
          <w:right w:w="0" w:type="dxa"/>
        </w:tblCellMar>
        <w:tblLook w:val="04A0" w:firstRow="1" w:lastRow="0" w:firstColumn="1" w:lastColumn="0" w:noHBand="0" w:noVBand="1"/>
      </w:tblPr>
      <w:tblGrid>
        <w:gridCol w:w="951"/>
        <w:gridCol w:w="8409"/>
      </w:tblGrid>
      <w:tr w:rsidR="00DB72C3" w:rsidRPr="00DB72C3" w14:paraId="4BD1F8E2" w14:textId="77777777" w:rsidTr="00DB72C3">
        <w:tc>
          <w:tcPr>
            <w:tcW w:w="0" w:type="auto"/>
            <w:shd w:val="clear" w:color="auto" w:fill="auto"/>
            <w:hideMark/>
          </w:tcPr>
          <w:p w14:paraId="42A94C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3EC50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EBA, ESMA or EIOPA;</w:t>
            </w:r>
          </w:p>
        </w:tc>
      </w:tr>
    </w:tbl>
    <w:p w14:paraId="5145DEA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95"/>
        <w:gridCol w:w="9065"/>
      </w:tblGrid>
      <w:tr w:rsidR="00DB72C3" w:rsidRPr="00DB72C3" w14:paraId="2D0EFB0D" w14:textId="77777777" w:rsidTr="00DB72C3">
        <w:tc>
          <w:tcPr>
            <w:tcW w:w="0" w:type="auto"/>
            <w:shd w:val="clear" w:color="auto" w:fill="auto"/>
            <w:hideMark/>
          </w:tcPr>
          <w:p w14:paraId="007A88E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7E1D0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ECB, in the case of financial entities referred to in Article 2(1), points (a), (b) and (d);</w:t>
            </w:r>
          </w:p>
        </w:tc>
      </w:tr>
    </w:tbl>
    <w:p w14:paraId="32C1F95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53E3F55" w14:textId="77777777" w:rsidTr="00DB72C3">
        <w:tc>
          <w:tcPr>
            <w:tcW w:w="0" w:type="auto"/>
            <w:shd w:val="clear" w:color="auto" w:fill="auto"/>
            <w:hideMark/>
          </w:tcPr>
          <w:p w14:paraId="568658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B0BF83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competent authorities, single points of contact or CSIRTs designated or established in accordance with Directive (EU) 2022/2555;</w:t>
            </w:r>
          </w:p>
        </w:tc>
      </w:tr>
    </w:tbl>
    <w:p w14:paraId="1010625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33D9CEE" w14:textId="77777777" w:rsidTr="00DB72C3">
        <w:tc>
          <w:tcPr>
            <w:tcW w:w="0" w:type="auto"/>
            <w:shd w:val="clear" w:color="auto" w:fill="auto"/>
            <w:hideMark/>
          </w:tcPr>
          <w:p w14:paraId="5F9981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1F17E87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resolution authorities, as referred to in Article 3 of Directive 2014/59/EU, and the Single Resolution Board (SRB) with respect to entities referred to in Article 7(2) of Regulation (EU) No 806/2014 of the European Parliament and of the Council </w:t>
            </w:r>
            <w:hyperlink r:id="rId40" w:anchor="ntr37-L_2022333EN.01000101-E0037"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37</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and with respect to entities and groups referred to in Article 7(4)(b) and (5) of Regulation (EU) No 806/2014 if such details concern incidents that pose a risk to ensuring critical functions within the meaning of Article 2(1), point (35), of Directive 2014/59/EU; and</w:t>
            </w:r>
          </w:p>
        </w:tc>
      </w:tr>
    </w:tbl>
    <w:p w14:paraId="1DBA3AC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78"/>
        <w:gridCol w:w="8882"/>
      </w:tblGrid>
      <w:tr w:rsidR="00DB72C3" w:rsidRPr="00DB72C3" w14:paraId="08059B63" w14:textId="77777777" w:rsidTr="00DB72C3">
        <w:tc>
          <w:tcPr>
            <w:tcW w:w="0" w:type="auto"/>
            <w:shd w:val="clear" w:color="auto" w:fill="auto"/>
            <w:hideMark/>
          </w:tcPr>
          <w:p w14:paraId="0C6E39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7BA51A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other relevant public authorities under national law.</w:t>
            </w:r>
          </w:p>
        </w:tc>
      </w:tr>
    </w:tbl>
    <w:p w14:paraId="5A26D07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Following receipt of information in accordance with paragraph 6, EBA, ESMA or EIOPA and the ECB, in consultation with ENISA and in cooperation with the relevant competent authority, shall assess whether the major ICT-related incident is relevant for competent authorities in other Member States. Following that assessment, EBA, ESMA or EIOPA shall, as soon as possible, notify relevant competent authorities in other Member States accordingly. The ECB shall notify the members of the European System of Central Banks on issues relevant to the payment system. Based on that notification, the competent authorities shall, where appropriate, take all of the necessary measures to protect the immediate stability of the financial system.</w:t>
      </w:r>
    </w:p>
    <w:p w14:paraId="1E19866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8.   The notification to be done by ESMA pursuant to paragraph 7 of this Article shall be without prejudice to the responsibility of the competent authority to urgently transmit the details of the major ICT-related incident to the relevant authority in the host Member State, where a central securities depository has significant cross-border activity in the host Member State, the major ICT-related incident is likely to have severe consequences for the financial markets of the host Member State and where there are cooperation arrangements among competent authorities related to the supervision of financial entities.</w:t>
      </w:r>
    </w:p>
    <w:p w14:paraId="5447122F"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20</w:t>
      </w:r>
    </w:p>
    <w:p w14:paraId="4591885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proofErr w:type="spellStart"/>
      <w:r w:rsidRPr="00DB72C3">
        <w:rPr>
          <w:rFonts w:ascii="Times New Roman" w:eastAsia="Times New Roman" w:hAnsi="Times New Roman" w:cs="Times New Roman"/>
          <w:b/>
          <w:bCs/>
          <w:color w:val="333333"/>
          <w:sz w:val="27"/>
          <w:szCs w:val="27"/>
        </w:rPr>
        <w:t>Harmonisation</w:t>
      </w:r>
      <w:proofErr w:type="spellEnd"/>
      <w:r w:rsidRPr="00DB72C3">
        <w:rPr>
          <w:rFonts w:ascii="Times New Roman" w:eastAsia="Times New Roman" w:hAnsi="Times New Roman" w:cs="Times New Roman"/>
          <w:b/>
          <w:bCs/>
          <w:color w:val="333333"/>
          <w:sz w:val="27"/>
          <w:szCs w:val="27"/>
        </w:rPr>
        <w:t xml:space="preserve"> of reporting content and templates</w:t>
      </w:r>
    </w:p>
    <w:p w14:paraId="7B274CD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through the Joint Committee, and in consultation with ENISA and the ECB, shall develop:</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0509ADE" w14:textId="77777777" w:rsidTr="00DB72C3">
        <w:tc>
          <w:tcPr>
            <w:tcW w:w="0" w:type="auto"/>
            <w:shd w:val="clear" w:color="auto" w:fill="auto"/>
            <w:hideMark/>
          </w:tcPr>
          <w:p w14:paraId="2DBB9D8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1976AE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common draft regulatory technical standards in order to:</w:t>
            </w:r>
          </w:p>
          <w:tbl>
            <w:tblPr>
              <w:tblW w:w="5000" w:type="pct"/>
              <w:tblCellMar>
                <w:left w:w="0" w:type="dxa"/>
                <w:right w:w="0" w:type="dxa"/>
              </w:tblCellMar>
              <w:tblLook w:val="04A0" w:firstRow="1" w:lastRow="0" w:firstColumn="1" w:lastColumn="0" w:noHBand="0" w:noVBand="1"/>
            </w:tblPr>
            <w:tblGrid>
              <w:gridCol w:w="227"/>
              <w:gridCol w:w="8866"/>
            </w:tblGrid>
            <w:tr w:rsidR="00DB72C3" w:rsidRPr="00DB72C3" w14:paraId="35317189" w14:textId="77777777">
              <w:tc>
                <w:tcPr>
                  <w:tcW w:w="0" w:type="auto"/>
                  <w:shd w:val="clear" w:color="auto" w:fill="auto"/>
                  <w:hideMark/>
                </w:tcPr>
                <w:p w14:paraId="78ED33D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3EEA14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establish the content of the reports for major ICT-related incidents in order to reflect the criteria laid down in Article 18(1) and incorporate further elements, such as details for establishing the relevance of the reporting for other Member States and whether it constitutes a major operational or security payment-related incident or not;</w:t>
                  </w:r>
                </w:p>
              </w:tc>
            </w:tr>
          </w:tbl>
          <w:p w14:paraId="44DD5967"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99"/>
            </w:tblGrid>
            <w:tr w:rsidR="00DB72C3" w:rsidRPr="00DB72C3" w14:paraId="02219B6B" w14:textId="77777777">
              <w:tc>
                <w:tcPr>
                  <w:tcW w:w="0" w:type="auto"/>
                  <w:shd w:val="clear" w:color="auto" w:fill="auto"/>
                  <w:hideMark/>
                </w:tcPr>
                <w:p w14:paraId="7ABBAC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0CE6824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determine the time limits for the initial notification and for each report referred to in Article 19(4);</w:t>
                  </w:r>
                </w:p>
              </w:tc>
            </w:tr>
          </w:tbl>
          <w:p w14:paraId="5E540A5F"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477"/>
              <w:gridCol w:w="8616"/>
            </w:tblGrid>
            <w:tr w:rsidR="00DB72C3" w:rsidRPr="00DB72C3" w14:paraId="359C6200" w14:textId="77777777">
              <w:tc>
                <w:tcPr>
                  <w:tcW w:w="0" w:type="auto"/>
                  <w:shd w:val="clear" w:color="auto" w:fill="auto"/>
                  <w:hideMark/>
                </w:tcPr>
                <w:p w14:paraId="591EC8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0D05E12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establish the content of the notification for significant cyber threats.</w:t>
                  </w:r>
                </w:p>
              </w:tc>
            </w:tr>
          </w:tbl>
          <w:p w14:paraId="4B686D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When developing those draft regulatory technical standards, the ESAs shall take into account the size and the overall risk profile of the financial entity, and the nature, scale and complexity of its services, activities and operations, and in particular, with a view to ensuring that, for the purposes of this paragraph, point (a), point (ii), different time limits may reflect, as appropriate, specificities of financial sectors, without prejudice to maintaining a consistent approach to ICT-related incident reporting pursuant to this Regulation and to Directive (EU) 2022/2555. The ESAs shall, as applicable, provide justification when deviating from the approaches taken in the context of that Directive;</w:t>
            </w:r>
          </w:p>
        </w:tc>
      </w:tr>
    </w:tbl>
    <w:p w14:paraId="2F51F83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8429B97" w14:textId="77777777" w:rsidTr="00DB72C3">
        <w:tc>
          <w:tcPr>
            <w:tcW w:w="0" w:type="auto"/>
            <w:shd w:val="clear" w:color="auto" w:fill="auto"/>
            <w:hideMark/>
          </w:tcPr>
          <w:p w14:paraId="76AC06F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4094D1D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common draft implementing technical standards in order to establish the standard forms, templates and procedures for financial entities to report a major ICT-related incident and to notify a significant cyber threat.</w:t>
            </w:r>
          </w:p>
        </w:tc>
      </w:tr>
    </w:tbl>
    <w:p w14:paraId="1E57C71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the common draft regulatory technical standards referred to in the first paragraph, point (a), and the common draft implementing technical standards referred to in the first paragraph, point (b), to the Commission by 17 July 2024.</w:t>
      </w:r>
    </w:p>
    <w:p w14:paraId="287CE7D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Power is delegated to the Commission to supplement this Regulation by adopting the common regulatory technical standards referred to in the first paragraph, point (a), in </w:t>
      </w:r>
      <w:r w:rsidRPr="00DB72C3">
        <w:rPr>
          <w:rFonts w:ascii="Times New Roman" w:eastAsia="Times New Roman" w:hAnsi="Times New Roman" w:cs="Times New Roman"/>
          <w:color w:val="333333"/>
          <w:sz w:val="27"/>
          <w:szCs w:val="27"/>
        </w:rPr>
        <w:lastRenderedPageBreak/>
        <w:t>accordance with Articles 10 to 14 of Regulations (EU) No 1093/2010, (EU) No 1094/2010 and (EU) No 1095/2010.</w:t>
      </w:r>
    </w:p>
    <w:p w14:paraId="5AD7D97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conferred on the Commission to adopt the common implementing technical standards referred to in the first paragraph, point (b), in accordance with Article 15 of Regulations (EU) No 1093/2010, (EU) No 1094/2010 and (EU) No 1095/2010.</w:t>
      </w:r>
    </w:p>
    <w:p w14:paraId="25BE44FB"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21</w:t>
      </w:r>
    </w:p>
    <w:p w14:paraId="0F69251B"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proofErr w:type="spellStart"/>
      <w:r w:rsidRPr="00DB72C3">
        <w:rPr>
          <w:rFonts w:ascii="Times New Roman" w:eastAsia="Times New Roman" w:hAnsi="Times New Roman" w:cs="Times New Roman"/>
          <w:b/>
          <w:bCs/>
          <w:color w:val="333333"/>
          <w:sz w:val="27"/>
          <w:szCs w:val="27"/>
        </w:rPr>
        <w:t>Centralisation</w:t>
      </w:r>
      <w:proofErr w:type="spellEnd"/>
      <w:r w:rsidRPr="00DB72C3">
        <w:rPr>
          <w:rFonts w:ascii="Times New Roman" w:eastAsia="Times New Roman" w:hAnsi="Times New Roman" w:cs="Times New Roman"/>
          <w:b/>
          <w:bCs/>
          <w:color w:val="333333"/>
          <w:sz w:val="27"/>
          <w:szCs w:val="27"/>
        </w:rPr>
        <w:t xml:space="preserve"> of reporting of major ICT-related incidents</w:t>
      </w:r>
    </w:p>
    <w:p w14:paraId="4FC1411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The ESAs, through the Joint Committee, and in consultation with the ECB and ENISA, shall prepare a joint report assessing the feasibility of further </w:t>
      </w:r>
      <w:proofErr w:type="spellStart"/>
      <w:r w:rsidRPr="00DB72C3">
        <w:rPr>
          <w:rFonts w:ascii="Times New Roman" w:eastAsia="Times New Roman" w:hAnsi="Times New Roman" w:cs="Times New Roman"/>
          <w:color w:val="333333"/>
          <w:sz w:val="27"/>
          <w:szCs w:val="27"/>
        </w:rPr>
        <w:t>centralisation</w:t>
      </w:r>
      <w:proofErr w:type="spellEnd"/>
      <w:r w:rsidRPr="00DB72C3">
        <w:rPr>
          <w:rFonts w:ascii="Times New Roman" w:eastAsia="Times New Roman" w:hAnsi="Times New Roman" w:cs="Times New Roman"/>
          <w:color w:val="333333"/>
          <w:sz w:val="27"/>
          <w:szCs w:val="27"/>
        </w:rPr>
        <w:t xml:space="preserve"> of incident reporting through the establishment of a single EU Hub for major ICT-related incident reporting by financial entities. The joint report shall explore ways to facilitate the flow of ICT-related incident reporting, reduce associated costs and underpin thematic analyses with a view to enhancing supervisory convergence.</w:t>
      </w:r>
    </w:p>
    <w:p w14:paraId="43EA153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joint report referred to in paragraph 1 shall comprise at least the following elements:</w:t>
      </w:r>
    </w:p>
    <w:tbl>
      <w:tblPr>
        <w:tblW w:w="5000" w:type="pct"/>
        <w:tblCellMar>
          <w:left w:w="0" w:type="dxa"/>
          <w:right w:w="0" w:type="dxa"/>
        </w:tblCellMar>
        <w:tblLook w:val="04A0" w:firstRow="1" w:lastRow="0" w:firstColumn="1" w:lastColumn="0" w:noHBand="0" w:noVBand="1"/>
      </w:tblPr>
      <w:tblGrid>
        <w:gridCol w:w="451"/>
        <w:gridCol w:w="8909"/>
      </w:tblGrid>
      <w:tr w:rsidR="00DB72C3" w:rsidRPr="00DB72C3" w14:paraId="49D68BF3" w14:textId="77777777" w:rsidTr="00DB72C3">
        <w:tc>
          <w:tcPr>
            <w:tcW w:w="0" w:type="auto"/>
            <w:shd w:val="clear" w:color="auto" w:fill="auto"/>
            <w:hideMark/>
          </w:tcPr>
          <w:p w14:paraId="063D02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6D9D62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prerequisites for the establishment of a single EU Hub;</w:t>
            </w:r>
          </w:p>
        </w:tc>
      </w:tr>
    </w:tbl>
    <w:p w14:paraId="46C3CFB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C3E1D41" w14:textId="77777777" w:rsidTr="00DB72C3">
        <w:tc>
          <w:tcPr>
            <w:tcW w:w="0" w:type="auto"/>
            <w:shd w:val="clear" w:color="auto" w:fill="auto"/>
            <w:hideMark/>
          </w:tcPr>
          <w:p w14:paraId="610411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42D63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benefits, limitations and risks, including risks associated with the high concentration of sensitive information;</w:t>
            </w:r>
          </w:p>
        </w:tc>
      </w:tr>
    </w:tbl>
    <w:p w14:paraId="45F5022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07EEBF3" w14:textId="77777777" w:rsidTr="00DB72C3">
        <w:tc>
          <w:tcPr>
            <w:tcW w:w="0" w:type="auto"/>
            <w:shd w:val="clear" w:color="auto" w:fill="auto"/>
            <w:hideMark/>
          </w:tcPr>
          <w:p w14:paraId="636188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FAD90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necessary capability to ensure interoperability with regard to other relevant reporting schemes;</w:t>
            </w:r>
          </w:p>
        </w:tc>
      </w:tr>
    </w:tbl>
    <w:p w14:paraId="102E985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74"/>
        <w:gridCol w:w="8686"/>
      </w:tblGrid>
      <w:tr w:rsidR="00DB72C3" w:rsidRPr="00DB72C3" w14:paraId="1552BDFE" w14:textId="77777777" w:rsidTr="00DB72C3">
        <w:tc>
          <w:tcPr>
            <w:tcW w:w="0" w:type="auto"/>
            <w:shd w:val="clear" w:color="auto" w:fill="auto"/>
            <w:hideMark/>
          </w:tcPr>
          <w:p w14:paraId="66969A3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3AA6352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elements of operational management;</w:t>
            </w:r>
          </w:p>
        </w:tc>
      </w:tr>
    </w:tbl>
    <w:p w14:paraId="224F670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880"/>
        <w:gridCol w:w="8480"/>
      </w:tblGrid>
      <w:tr w:rsidR="00DB72C3" w:rsidRPr="00DB72C3" w14:paraId="36488BF1" w14:textId="77777777" w:rsidTr="00DB72C3">
        <w:tc>
          <w:tcPr>
            <w:tcW w:w="0" w:type="auto"/>
            <w:shd w:val="clear" w:color="auto" w:fill="auto"/>
            <w:hideMark/>
          </w:tcPr>
          <w:p w14:paraId="5B315D4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0FD33F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conditions of membership;</w:t>
            </w:r>
          </w:p>
        </w:tc>
      </w:tr>
    </w:tbl>
    <w:p w14:paraId="182D676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45C0301" w14:textId="77777777" w:rsidTr="00DB72C3">
        <w:tc>
          <w:tcPr>
            <w:tcW w:w="0" w:type="auto"/>
            <w:shd w:val="clear" w:color="auto" w:fill="auto"/>
            <w:hideMark/>
          </w:tcPr>
          <w:p w14:paraId="20E4C5D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03879B4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technical arrangements for financial entities and national competent authorities to access the single EU Hub;</w:t>
            </w:r>
          </w:p>
        </w:tc>
      </w:tr>
    </w:tbl>
    <w:p w14:paraId="58EBF08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EF4A710" w14:textId="77777777" w:rsidTr="00DB72C3">
        <w:tc>
          <w:tcPr>
            <w:tcW w:w="0" w:type="auto"/>
            <w:shd w:val="clear" w:color="auto" w:fill="auto"/>
            <w:hideMark/>
          </w:tcPr>
          <w:p w14:paraId="6E77BA4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0232B9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preliminary assessment of financial costs incurred by setting-up the operational platform supporting the single EU Hub, including the requisite expertise.</w:t>
            </w:r>
          </w:p>
        </w:tc>
      </w:tr>
    </w:tbl>
    <w:p w14:paraId="3AB9F19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ESAs shall submit the report referred to in paragraph 1 to the European Parliament, to the Council and to the Commission by 17 January 2025.</w:t>
      </w:r>
    </w:p>
    <w:p w14:paraId="0A774565"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22</w:t>
      </w:r>
    </w:p>
    <w:p w14:paraId="1CADE4FF"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Supervisory feedback</w:t>
      </w:r>
    </w:p>
    <w:p w14:paraId="5636D20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Without prejudice to the technical input, advice or remedies and subsequent follow-up which may be provided, where applicable, in accordance with national law, by the CSIRTs under Directive (EU) 2022/2555, the competent authority shall, upon receipt </w:t>
      </w:r>
      <w:r w:rsidRPr="00DB72C3">
        <w:rPr>
          <w:rFonts w:ascii="Times New Roman" w:eastAsia="Times New Roman" w:hAnsi="Times New Roman" w:cs="Times New Roman"/>
          <w:color w:val="333333"/>
          <w:sz w:val="27"/>
          <w:szCs w:val="27"/>
        </w:rPr>
        <w:lastRenderedPageBreak/>
        <w:t xml:space="preserve">of the initial notification and of each report as referred to in Article 19(4), acknowledge receipt and may, where feasible, provide in a timely manner relevant and proportionate feedback or high-level guidance to the financial entity, in particular by making available any relevant </w:t>
      </w:r>
      <w:proofErr w:type="spellStart"/>
      <w:r w:rsidRPr="00DB72C3">
        <w:rPr>
          <w:rFonts w:ascii="Times New Roman" w:eastAsia="Times New Roman" w:hAnsi="Times New Roman" w:cs="Times New Roman"/>
          <w:color w:val="333333"/>
          <w:sz w:val="27"/>
          <w:szCs w:val="27"/>
        </w:rPr>
        <w:t>anonymised</w:t>
      </w:r>
      <w:proofErr w:type="spellEnd"/>
      <w:r w:rsidRPr="00DB72C3">
        <w:rPr>
          <w:rFonts w:ascii="Times New Roman" w:eastAsia="Times New Roman" w:hAnsi="Times New Roman" w:cs="Times New Roman"/>
          <w:color w:val="333333"/>
          <w:sz w:val="27"/>
          <w:szCs w:val="27"/>
        </w:rPr>
        <w:t xml:space="preserve"> information and intelligence on similar threats, and may discuss remedies applied at the level of the financial entity and ways to </w:t>
      </w:r>
      <w:proofErr w:type="spellStart"/>
      <w:r w:rsidRPr="00DB72C3">
        <w:rPr>
          <w:rFonts w:ascii="Times New Roman" w:eastAsia="Times New Roman" w:hAnsi="Times New Roman" w:cs="Times New Roman"/>
          <w:color w:val="333333"/>
          <w:sz w:val="27"/>
          <w:szCs w:val="27"/>
        </w:rPr>
        <w:t>minimise</w:t>
      </w:r>
      <w:proofErr w:type="spellEnd"/>
      <w:r w:rsidRPr="00DB72C3">
        <w:rPr>
          <w:rFonts w:ascii="Times New Roman" w:eastAsia="Times New Roman" w:hAnsi="Times New Roman" w:cs="Times New Roman"/>
          <w:color w:val="333333"/>
          <w:sz w:val="27"/>
          <w:szCs w:val="27"/>
        </w:rPr>
        <w:t xml:space="preserve"> and mitigate adverse impact across the financial sector. Without prejudice to the supervisory feedback received, financial entities shall remain fully responsible for the handling and for consequences of the ICT-related incidents reported pursuant to Article 19(1).</w:t>
      </w:r>
    </w:p>
    <w:p w14:paraId="1024CDC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ESAs shall, through the Joint Committee, on an </w:t>
      </w:r>
      <w:proofErr w:type="spellStart"/>
      <w:r w:rsidRPr="00DB72C3">
        <w:rPr>
          <w:rFonts w:ascii="Times New Roman" w:eastAsia="Times New Roman" w:hAnsi="Times New Roman" w:cs="Times New Roman"/>
          <w:color w:val="333333"/>
          <w:sz w:val="27"/>
          <w:szCs w:val="27"/>
        </w:rPr>
        <w:t>anonymised</w:t>
      </w:r>
      <w:proofErr w:type="spellEnd"/>
      <w:r w:rsidRPr="00DB72C3">
        <w:rPr>
          <w:rFonts w:ascii="Times New Roman" w:eastAsia="Times New Roman" w:hAnsi="Times New Roman" w:cs="Times New Roman"/>
          <w:color w:val="333333"/>
          <w:sz w:val="27"/>
          <w:szCs w:val="27"/>
        </w:rPr>
        <w:t xml:space="preserve"> and aggregated basis, report yearly on major ICT-related incidents, the details of which shall be provided by competent authorities in accordance with Article 19(6), setting out at least the number of major ICT-related incidents, their nature and their impact on the operations of financial entities or clients, remedial actions taken and costs incurred.</w:t>
      </w:r>
    </w:p>
    <w:p w14:paraId="6EF8418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issue warnings and produce high-level statistics to support ICT threat and vulnerability assessments.</w:t>
      </w:r>
    </w:p>
    <w:p w14:paraId="44F7F01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23</w:t>
      </w:r>
    </w:p>
    <w:p w14:paraId="76C2F7AC"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Operational or security payment-related incidents concerning credit institutions, payment institutions, account information service providers, and electronic money institutions</w:t>
      </w:r>
    </w:p>
    <w:p w14:paraId="30A486B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requirements laid down in this Chapter shall also apply to operational or security payment-related incidents and to major operational or security payment-related incidents, where they concern credit institutions, payment institutions, account information service providers, and electronic money institutions.</w:t>
      </w:r>
    </w:p>
    <w:p w14:paraId="32D0A618"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IV</w:t>
      </w:r>
    </w:p>
    <w:p w14:paraId="0980C67B"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Digital operational resilience testing</w:t>
      </w:r>
    </w:p>
    <w:p w14:paraId="2C4B1568"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24</w:t>
      </w:r>
    </w:p>
    <w:p w14:paraId="5780FD83"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General requirements for the performance of digital operational resilience testing</w:t>
      </w:r>
    </w:p>
    <w:p w14:paraId="0A8A766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For the purpose of assessing preparedness for handling ICT-related incidents, of identifying weaknesses, deficiencies and gaps in digital operational resilience, and of promptly implementing corrective measures, financial entities, other than microenterprises, shall, taking into account the criteria set out in Article 4(2), establish, maintain and review a sound and comprehensive digital operational resilience testing </w:t>
      </w:r>
      <w:proofErr w:type="spellStart"/>
      <w:r w:rsidRPr="00DB72C3">
        <w:rPr>
          <w:rFonts w:ascii="Times New Roman" w:eastAsia="Times New Roman" w:hAnsi="Times New Roman" w:cs="Times New Roman"/>
          <w:color w:val="333333"/>
          <w:sz w:val="27"/>
          <w:szCs w:val="27"/>
        </w:rPr>
        <w:t>programme</w:t>
      </w:r>
      <w:proofErr w:type="spellEnd"/>
      <w:r w:rsidRPr="00DB72C3">
        <w:rPr>
          <w:rFonts w:ascii="Times New Roman" w:eastAsia="Times New Roman" w:hAnsi="Times New Roman" w:cs="Times New Roman"/>
          <w:color w:val="333333"/>
          <w:sz w:val="27"/>
          <w:szCs w:val="27"/>
        </w:rPr>
        <w:t xml:space="preserve"> as an integral part of the ICT risk-management framework referred to in Article 6.</w:t>
      </w:r>
    </w:p>
    <w:p w14:paraId="7CED829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 xml:space="preserve">2.   The digital operational resilience testing </w:t>
      </w:r>
      <w:proofErr w:type="spellStart"/>
      <w:r w:rsidRPr="00DB72C3">
        <w:rPr>
          <w:rFonts w:ascii="Times New Roman" w:eastAsia="Times New Roman" w:hAnsi="Times New Roman" w:cs="Times New Roman"/>
          <w:color w:val="333333"/>
          <w:sz w:val="27"/>
          <w:szCs w:val="27"/>
        </w:rPr>
        <w:t>programme</w:t>
      </w:r>
      <w:proofErr w:type="spellEnd"/>
      <w:r w:rsidRPr="00DB72C3">
        <w:rPr>
          <w:rFonts w:ascii="Times New Roman" w:eastAsia="Times New Roman" w:hAnsi="Times New Roman" w:cs="Times New Roman"/>
          <w:color w:val="333333"/>
          <w:sz w:val="27"/>
          <w:szCs w:val="27"/>
        </w:rPr>
        <w:t xml:space="preserve"> shall include a range of assessments, tests, methodologies, practices and tools to be applied in accordance with Articles 25 and 26.</w:t>
      </w:r>
    </w:p>
    <w:p w14:paraId="3EB7E30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When conducting the digital operational resilience testing </w:t>
      </w:r>
      <w:proofErr w:type="spellStart"/>
      <w:r w:rsidRPr="00DB72C3">
        <w:rPr>
          <w:rFonts w:ascii="Times New Roman" w:eastAsia="Times New Roman" w:hAnsi="Times New Roman" w:cs="Times New Roman"/>
          <w:color w:val="333333"/>
          <w:sz w:val="27"/>
          <w:szCs w:val="27"/>
        </w:rPr>
        <w:t>programme</w:t>
      </w:r>
      <w:proofErr w:type="spellEnd"/>
      <w:r w:rsidRPr="00DB72C3">
        <w:rPr>
          <w:rFonts w:ascii="Times New Roman" w:eastAsia="Times New Roman" w:hAnsi="Times New Roman" w:cs="Times New Roman"/>
          <w:color w:val="333333"/>
          <w:sz w:val="27"/>
          <w:szCs w:val="27"/>
        </w:rPr>
        <w:t xml:space="preserve"> referred to in paragraph 1 of this Article, financial entities, other than microenterprises, shall follow a risk-based approach taking into account the criteria set out in Article 4(2) duly considering the evolving landscape of ICT risk, any specific risks to which the financial entity concerned is or might be exposed, the criticality of information assets and of services provided, as well as any other factor the financial entity deems appropriate.</w:t>
      </w:r>
    </w:p>
    <w:p w14:paraId="2F8C527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Financial entities, other than microenterprises, shall ensure that tests are undertaken by independent parties, whether internal or external. Where tests are undertaken by an internal tester, financial entities shall dedicate sufficient resources and ensure that conflicts of interest are avoided throughout the design and execution phases of the test.</w:t>
      </w:r>
    </w:p>
    <w:p w14:paraId="354556E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5.   Financial entities, other than microenterprises, shall establish procedures and policies to </w:t>
      </w:r>
      <w:proofErr w:type="spellStart"/>
      <w:r w:rsidRPr="00DB72C3">
        <w:rPr>
          <w:rFonts w:ascii="Times New Roman" w:eastAsia="Times New Roman" w:hAnsi="Times New Roman" w:cs="Times New Roman"/>
          <w:color w:val="333333"/>
          <w:sz w:val="27"/>
          <w:szCs w:val="27"/>
        </w:rPr>
        <w:t>prioritise</w:t>
      </w:r>
      <w:proofErr w:type="spellEnd"/>
      <w:r w:rsidRPr="00DB72C3">
        <w:rPr>
          <w:rFonts w:ascii="Times New Roman" w:eastAsia="Times New Roman" w:hAnsi="Times New Roman" w:cs="Times New Roman"/>
          <w:color w:val="333333"/>
          <w:sz w:val="27"/>
          <w:szCs w:val="27"/>
        </w:rPr>
        <w:t>, classify and remedy all issues revealed throughout the performance of the tests and shall establish internal validation methodologies to ascertain that all identified weaknesses, deficiencies or gaps are fully addressed.</w:t>
      </w:r>
    </w:p>
    <w:p w14:paraId="4024DA4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Financial entities, other than microenterprises, shall ensure, at least yearly, that appropriate tests are conducted on all ICT systems and applications supporting critical or important functions.</w:t>
      </w:r>
    </w:p>
    <w:p w14:paraId="60D6AC42"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25</w:t>
      </w:r>
    </w:p>
    <w:p w14:paraId="269B5158"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Testing of ICT tools and systems</w:t>
      </w:r>
    </w:p>
    <w:p w14:paraId="2F8C6FF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The digital operational resilience testing </w:t>
      </w:r>
      <w:proofErr w:type="spellStart"/>
      <w:r w:rsidRPr="00DB72C3">
        <w:rPr>
          <w:rFonts w:ascii="Times New Roman" w:eastAsia="Times New Roman" w:hAnsi="Times New Roman" w:cs="Times New Roman"/>
          <w:color w:val="333333"/>
          <w:sz w:val="27"/>
          <w:szCs w:val="27"/>
        </w:rPr>
        <w:t>programme</w:t>
      </w:r>
      <w:proofErr w:type="spellEnd"/>
      <w:r w:rsidRPr="00DB72C3">
        <w:rPr>
          <w:rFonts w:ascii="Times New Roman" w:eastAsia="Times New Roman" w:hAnsi="Times New Roman" w:cs="Times New Roman"/>
          <w:color w:val="333333"/>
          <w:sz w:val="27"/>
          <w:szCs w:val="27"/>
        </w:rPr>
        <w:t xml:space="preserve"> referred to in Article 24 shall provide, in accordance with the criteria set out in Article 4(2), for the execution of appropriate tests, such as vulnerability assessments and scans, open source analyses, network security assessments, gap analyses, physical security reviews, questionnaires and scanning software solutions, source code reviews where feasible, scenario-based tests, compatibility testing, performance testing, end-to-end testing and penetration testing.</w:t>
      </w:r>
    </w:p>
    <w:p w14:paraId="39B120A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Central securities depositories and central counterparties shall perform vulnerability assessments before any deployment or redeployment of new or existing applications and infrastructure components, and ICT services supporting critical or important functions of the financial entity.</w:t>
      </w:r>
    </w:p>
    <w:p w14:paraId="5B3E045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Microenterprises shall perform the tests referred to in paragraph 1 by combining a risk-based approach with a strategic planning of ICT testing, by duly considering the need to maintain a balanced approach between the scale of resources and the time to be allocated to the ICT testing provided for in this Article, on the one hand, and the </w:t>
      </w:r>
      <w:r w:rsidRPr="00DB72C3">
        <w:rPr>
          <w:rFonts w:ascii="Times New Roman" w:eastAsia="Times New Roman" w:hAnsi="Times New Roman" w:cs="Times New Roman"/>
          <w:color w:val="333333"/>
          <w:sz w:val="27"/>
          <w:szCs w:val="27"/>
        </w:rPr>
        <w:lastRenderedPageBreak/>
        <w:t>urgency, type of risk, criticality of information assets and of services provided, as well as any other relevant factor, including the financial entity’s ability to take calculated risks, on the other hand.</w:t>
      </w:r>
    </w:p>
    <w:p w14:paraId="7539C330"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26</w:t>
      </w:r>
    </w:p>
    <w:p w14:paraId="4402081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Advanced testing of ICT tools, systems and processes based on TLPT</w:t>
      </w:r>
    </w:p>
    <w:p w14:paraId="1CFE2E2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other than entities referred to in Article 16(1), first subparagraph, and other than microenterprises, which are identified in accordance with paragraph 8, third subparagraph, of this Article, shall carry out at least every 3 years advanced testing by means of TLPT. Based on the risk profile of the financial entity and taking into account operational circumstances, the competent authority may, where necessary, request the financial entity to reduce or increase this frequency.</w:t>
      </w:r>
    </w:p>
    <w:p w14:paraId="5E3D846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Each threat-led penetration test shall cover several or all critical or important functions of a financial entity, and shall be performed on live production systems supporting such functions.</w:t>
      </w:r>
    </w:p>
    <w:p w14:paraId="790D556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identify all relevant underlying ICT systems, processes and technologies supporting critical or important functions and ICT services, including those supporting the critical or important functions which have been outsourced or contracted to ICT third-party service providers.</w:t>
      </w:r>
    </w:p>
    <w:p w14:paraId="0F91750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assess which critical or important functions need to be covered by the TLPT. The result of this assessment shall determine the precise scope of TLPT and shall be validated by the competent authorities.</w:t>
      </w:r>
    </w:p>
    <w:p w14:paraId="5A42907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Where ICT third-party service providers are included in the scope of TLPT, the financial entity shall take the necessary measures and safeguards to ensure the participation of such ICT third-party service providers in the TLPT and shall retain at all times full responsibility for ensuring compliance with this Regulation.</w:t>
      </w:r>
    </w:p>
    <w:p w14:paraId="46ADDF2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Without prejudice to paragraph 2, first and second subparagraphs, where the participation of an ICT third-party service provider in the TLPT, referred to in paragraph 3, is reasonably expected to have an adverse impact on the quality or security of services delivered by the ICT third-party service provider to customers that are entities falling outside the scope of this Regulation, or on the confidentiality of the data related to such services, the financial entity and the ICT third-party service provider may agree in writing that the ICT third-party service provider directly enters into contractual arrangements with an external tester, for the purpose of conducting, under the direction of one designated financial entity, a pooled TLPT involving several financial entities (pooled testing) to which the ICT third-party service provider provides ICT services.</w:t>
      </w:r>
    </w:p>
    <w:p w14:paraId="1757C46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That pooled testing shall cover the relevant range of ICT services supporting critical or important functions contracted to the respective ICT third-party service provider by the financial entities. The pooled testing shall be considered TLPT carried out by the financial entities participating in the pooled testing.</w:t>
      </w:r>
    </w:p>
    <w:p w14:paraId="1D164AF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number of financial entities participating in the pooled testing shall be duly calibrated taking into account the complexity and types of services involved.</w:t>
      </w:r>
    </w:p>
    <w:p w14:paraId="7B47556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Financial entities shall, with the cooperation of ICT third-party service providers and other parties involved, including the testers but excluding the competent authorities, apply effective risk management controls to mitigate the risks of any potential impact on data, damage to assets, and disruption to critical or important functions, services or operations at the financial entity itself, its counterparts or to the financial sector.</w:t>
      </w:r>
    </w:p>
    <w:p w14:paraId="7AA5130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At the end of the testing, after reports and remediation plans have been agreed, the financial entity and, where applicable, the external testers shall provide to the authority, designated in accordance with paragraph 9 or 10, a summary of the relevant findings, the remediation plans and the documentation demonstrating that the TLPT has been conducted in accordance with the requirements.</w:t>
      </w:r>
    </w:p>
    <w:p w14:paraId="29D905F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Authorities shall provide financial entities with an attestation confirming that the test was performed in accordance with the requirements as evidenced in the documentation in order to allow for mutual recognition of threat led penetration tests between competent authorities. The financial entity shall notify the relevant competent authority of the attestation, the summary of the relevant findings and the remediation plans.</w:t>
      </w:r>
    </w:p>
    <w:p w14:paraId="05C75EC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Without prejudice to such attestation, financial entities shall remain at all times fully responsible for the impact of the tests referred to in paragraph 4.</w:t>
      </w:r>
    </w:p>
    <w:p w14:paraId="4C8CB88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Financial entities shall contract testers for the purposes of undertaking TLPT in accordance with Article 27. When financial entities use internal testers for the purposes of undertaking TLPT, they shall contract external testers every three tests.</w:t>
      </w:r>
    </w:p>
    <w:p w14:paraId="4D90465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Credit institutions that are classified as significant in accordance with Article 6(4) of Regulation (EU) No 1024/2013, shall only use external testers in accordance with Article 27(1), points (a) to (e).</w:t>
      </w:r>
    </w:p>
    <w:p w14:paraId="32E7915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Competent authorities shall identify financial entities that are required to perform TLPT taking into account the criteria set out in Article 4(2), based on an assessment of the following: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2901FF1" w14:textId="77777777" w:rsidTr="00DB72C3">
        <w:tc>
          <w:tcPr>
            <w:tcW w:w="0" w:type="auto"/>
            <w:shd w:val="clear" w:color="auto" w:fill="auto"/>
            <w:hideMark/>
          </w:tcPr>
          <w:p w14:paraId="78C045C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3417E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impact-related factors, in particular the extent to which the services provided and activities undertaken by the financial entity impact the financial sector;</w:t>
            </w:r>
          </w:p>
        </w:tc>
      </w:tr>
    </w:tbl>
    <w:p w14:paraId="6E26084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41AB37C" w14:textId="77777777" w:rsidTr="00DB72C3">
        <w:tc>
          <w:tcPr>
            <w:tcW w:w="0" w:type="auto"/>
            <w:shd w:val="clear" w:color="auto" w:fill="auto"/>
            <w:hideMark/>
          </w:tcPr>
          <w:p w14:paraId="4417ED8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64FFCA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possible financial stability concerns, including the systemic character of the financial entity at Union or national level, as applicable;</w:t>
            </w:r>
          </w:p>
        </w:tc>
      </w:tr>
    </w:tbl>
    <w:p w14:paraId="4F646DA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28B6ABB" w14:textId="77777777" w:rsidTr="00DB72C3">
        <w:tc>
          <w:tcPr>
            <w:tcW w:w="0" w:type="auto"/>
            <w:shd w:val="clear" w:color="auto" w:fill="auto"/>
            <w:hideMark/>
          </w:tcPr>
          <w:p w14:paraId="5ACF255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w:t>
            </w:r>
          </w:p>
        </w:tc>
        <w:tc>
          <w:tcPr>
            <w:tcW w:w="0" w:type="auto"/>
            <w:shd w:val="clear" w:color="auto" w:fill="auto"/>
            <w:hideMark/>
          </w:tcPr>
          <w:p w14:paraId="57D9332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specific ICT risk profile, level of ICT maturity of the financial entity or technology features involved.</w:t>
            </w:r>
          </w:p>
        </w:tc>
      </w:tr>
    </w:tbl>
    <w:p w14:paraId="798A576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9.   Member States may designate a single public authority in the financial sector to be responsible for TLPT-related matters in the financial sector at national level and shall entrust it with all competences and tasks to that effect.</w:t>
      </w:r>
    </w:p>
    <w:p w14:paraId="4B490C7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In the absence of a designation in accordance with paragraph 9 of this Article, and without prejudice to the power to identify the financial entities that are required to perform TLPT, a competent authority may delegate the exercise of some or all of the tasks referred to in this Article and Article 27 to another national authority in the financial sector.</w:t>
      </w:r>
    </w:p>
    <w:p w14:paraId="4C6F6A6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11.   The ESAs shall, in agreement with the ECB, develop joint draft regulatory technical standards in accordance with the TIBER-EU framework in order to specify further:</w:t>
      </w:r>
    </w:p>
    <w:tbl>
      <w:tblPr>
        <w:tblW w:w="5000" w:type="pct"/>
        <w:tblCellMar>
          <w:left w:w="0" w:type="dxa"/>
          <w:right w:w="0" w:type="dxa"/>
        </w:tblCellMar>
        <w:tblLook w:val="04A0" w:firstRow="1" w:lastRow="0" w:firstColumn="1" w:lastColumn="0" w:noHBand="0" w:noVBand="1"/>
      </w:tblPr>
      <w:tblGrid>
        <w:gridCol w:w="287"/>
        <w:gridCol w:w="9073"/>
      </w:tblGrid>
      <w:tr w:rsidR="00DB72C3" w:rsidRPr="00DB72C3" w14:paraId="35B9D039" w14:textId="77777777" w:rsidTr="00DB72C3">
        <w:tc>
          <w:tcPr>
            <w:tcW w:w="0" w:type="auto"/>
            <w:shd w:val="clear" w:color="auto" w:fill="auto"/>
            <w:hideMark/>
          </w:tcPr>
          <w:p w14:paraId="6952987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20B0B26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used for the purpose of the application of paragraph 8, second subparagraph;</w:t>
            </w:r>
          </w:p>
        </w:tc>
      </w:tr>
    </w:tbl>
    <w:p w14:paraId="3475DF4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84"/>
        <w:gridCol w:w="8976"/>
      </w:tblGrid>
      <w:tr w:rsidR="00DB72C3" w:rsidRPr="00DB72C3" w14:paraId="7A4368BF" w14:textId="77777777" w:rsidTr="00DB72C3">
        <w:tc>
          <w:tcPr>
            <w:tcW w:w="0" w:type="auto"/>
            <w:shd w:val="clear" w:color="auto" w:fill="auto"/>
            <w:hideMark/>
          </w:tcPr>
          <w:p w14:paraId="2903154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65371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requirements and standards governing the use of internal testers;</w:t>
            </w:r>
          </w:p>
        </w:tc>
      </w:tr>
    </w:tbl>
    <w:p w14:paraId="07165C3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3E9CED4" w14:textId="77777777" w:rsidTr="00DB72C3">
        <w:tc>
          <w:tcPr>
            <w:tcW w:w="0" w:type="auto"/>
            <w:shd w:val="clear" w:color="auto" w:fill="auto"/>
            <w:hideMark/>
          </w:tcPr>
          <w:p w14:paraId="7FDBF1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3C35D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requirements in relation to:</w:t>
            </w:r>
          </w:p>
          <w:tbl>
            <w:tblPr>
              <w:tblW w:w="5000" w:type="pct"/>
              <w:tblCellMar>
                <w:left w:w="0" w:type="dxa"/>
                <w:right w:w="0" w:type="dxa"/>
              </w:tblCellMar>
              <w:tblLook w:val="04A0" w:firstRow="1" w:lastRow="0" w:firstColumn="1" w:lastColumn="0" w:noHBand="0" w:noVBand="1"/>
            </w:tblPr>
            <w:tblGrid>
              <w:gridCol w:w="449"/>
              <w:gridCol w:w="8644"/>
            </w:tblGrid>
            <w:tr w:rsidR="00DB72C3" w:rsidRPr="00DB72C3" w14:paraId="0744B12C" w14:textId="77777777">
              <w:tc>
                <w:tcPr>
                  <w:tcW w:w="0" w:type="auto"/>
                  <w:shd w:val="clear" w:color="auto" w:fill="auto"/>
                  <w:hideMark/>
                </w:tcPr>
                <w:p w14:paraId="68F704C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677ED1D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scope of TLPT referred to in paragraph 2;</w:t>
                  </w:r>
                </w:p>
              </w:tc>
            </w:tr>
          </w:tbl>
          <w:p w14:paraId="714DA1D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99"/>
            </w:tblGrid>
            <w:tr w:rsidR="00DB72C3" w:rsidRPr="00DB72C3" w14:paraId="79556F1E" w14:textId="77777777">
              <w:tc>
                <w:tcPr>
                  <w:tcW w:w="0" w:type="auto"/>
                  <w:shd w:val="clear" w:color="auto" w:fill="auto"/>
                  <w:hideMark/>
                </w:tcPr>
                <w:p w14:paraId="4A4608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7BBC13E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testing methodology and approach to be followed for each specific phase of the testing process;</w:t>
                  </w:r>
                </w:p>
              </w:tc>
            </w:tr>
          </w:tbl>
          <w:p w14:paraId="5D94D432"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565"/>
              <w:gridCol w:w="8528"/>
            </w:tblGrid>
            <w:tr w:rsidR="00DB72C3" w:rsidRPr="00DB72C3" w14:paraId="1C46D5AE" w14:textId="77777777">
              <w:tc>
                <w:tcPr>
                  <w:tcW w:w="0" w:type="auto"/>
                  <w:shd w:val="clear" w:color="auto" w:fill="auto"/>
                  <w:hideMark/>
                </w:tcPr>
                <w:p w14:paraId="319D7D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01E72A1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results, closure and remediation stages of the testing;</w:t>
                  </w:r>
                </w:p>
              </w:tc>
            </w:tr>
          </w:tbl>
          <w:p w14:paraId="64802A76"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5BB06C5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86FE4C4" w14:textId="77777777" w:rsidTr="00DB72C3">
        <w:tc>
          <w:tcPr>
            <w:tcW w:w="0" w:type="auto"/>
            <w:shd w:val="clear" w:color="auto" w:fill="auto"/>
            <w:hideMark/>
          </w:tcPr>
          <w:p w14:paraId="1A3815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74AFD44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type of supervisory and other relevant cooperation which are needed for the implementation of TLPT, and for the facilitation of mutual recognition of that testing, in the context of financial entities that operate in more than one Member State, to allow an appropriate level of supervisory involvement and a flexible implementation to cater for specificities of financial sub-sectors or local financial markets.</w:t>
            </w:r>
          </w:p>
        </w:tc>
      </w:tr>
    </w:tbl>
    <w:p w14:paraId="17A7EA9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developing those draft regulatory technical standards, the ESAs shall give due consideration to any specific feature arising from the distinct nature of activities across different financial services sectors.</w:t>
      </w:r>
    </w:p>
    <w:p w14:paraId="1FDEEC2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those draft regulatory technical standards to the Commission by 17 July 2024.</w:t>
      </w:r>
    </w:p>
    <w:p w14:paraId="4616A3C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the first subparagraph in accordance with Articles 10 to 14 of Regulations (EU) No 1093/2010, (EU) No 1094/2010 and (EU) No 1095/2010.</w:t>
      </w:r>
    </w:p>
    <w:p w14:paraId="6D96F78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lastRenderedPageBreak/>
        <w:t>Article 27</w:t>
      </w:r>
    </w:p>
    <w:p w14:paraId="53A363F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Requirements for testers for the carrying out of TLPT</w:t>
      </w:r>
    </w:p>
    <w:p w14:paraId="3E3DE34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shall only use testers for the carrying out of TLPT, that:</w:t>
      </w:r>
    </w:p>
    <w:tbl>
      <w:tblPr>
        <w:tblW w:w="5000" w:type="pct"/>
        <w:tblCellMar>
          <w:left w:w="0" w:type="dxa"/>
          <w:right w:w="0" w:type="dxa"/>
        </w:tblCellMar>
        <w:tblLook w:val="04A0" w:firstRow="1" w:lastRow="0" w:firstColumn="1" w:lastColumn="0" w:noHBand="0" w:noVBand="1"/>
      </w:tblPr>
      <w:tblGrid>
        <w:gridCol w:w="545"/>
        <w:gridCol w:w="8815"/>
      </w:tblGrid>
      <w:tr w:rsidR="00DB72C3" w:rsidRPr="00DB72C3" w14:paraId="33EEA58B" w14:textId="77777777" w:rsidTr="00DB72C3">
        <w:tc>
          <w:tcPr>
            <w:tcW w:w="0" w:type="auto"/>
            <w:shd w:val="clear" w:color="auto" w:fill="auto"/>
            <w:hideMark/>
          </w:tcPr>
          <w:p w14:paraId="6745D7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D5B55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are of the highest suitability and reputability;</w:t>
            </w:r>
          </w:p>
        </w:tc>
      </w:tr>
    </w:tbl>
    <w:p w14:paraId="6551A7B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2859EFD" w14:textId="77777777" w:rsidTr="00DB72C3">
        <w:tc>
          <w:tcPr>
            <w:tcW w:w="0" w:type="auto"/>
            <w:shd w:val="clear" w:color="auto" w:fill="auto"/>
            <w:hideMark/>
          </w:tcPr>
          <w:p w14:paraId="089C696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38579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possess technical and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capabilities and demonstrate specific expertise in threat intelligence, penetration testing and red team testing;</w:t>
            </w:r>
          </w:p>
        </w:tc>
      </w:tr>
    </w:tbl>
    <w:p w14:paraId="3B31373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1A970DA" w14:textId="77777777" w:rsidTr="00DB72C3">
        <w:tc>
          <w:tcPr>
            <w:tcW w:w="0" w:type="auto"/>
            <w:shd w:val="clear" w:color="auto" w:fill="auto"/>
            <w:hideMark/>
          </w:tcPr>
          <w:p w14:paraId="6A20E52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0B0388F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are certified by an accreditation body in a Member State or adhere to formal codes of conduct or ethical frameworks;</w:t>
            </w:r>
          </w:p>
        </w:tc>
      </w:tr>
    </w:tbl>
    <w:p w14:paraId="7C5B12D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7E6300E" w14:textId="77777777" w:rsidTr="00DB72C3">
        <w:tc>
          <w:tcPr>
            <w:tcW w:w="0" w:type="auto"/>
            <w:shd w:val="clear" w:color="auto" w:fill="auto"/>
            <w:hideMark/>
          </w:tcPr>
          <w:p w14:paraId="4CEFA6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20E337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provide an independent assurance, or an audit report, in relation to the sound management of risks associated with the carrying out of TLPT, including the due protection of the financial entity’s confidential information and redress for the business risks of the financial entity;</w:t>
            </w:r>
          </w:p>
        </w:tc>
      </w:tr>
    </w:tbl>
    <w:p w14:paraId="64CE6D9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529CF07" w14:textId="77777777" w:rsidTr="00DB72C3">
        <w:tc>
          <w:tcPr>
            <w:tcW w:w="0" w:type="auto"/>
            <w:shd w:val="clear" w:color="auto" w:fill="auto"/>
            <w:hideMark/>
          </w:tcPr>
          <w:p w14:paraId="5E4E1D6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75CAEE6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are duly and fully covered by relevant professional indemnity insurances, including against risks of misconduct and negligence.</w:t>
            </w:r>
          </w:p>
        </w:tc>
      </w:tr>
    </w:tbl>
    <w:p w14:paraId="2FF7E3B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When using internal testers, financial entities shall ensure that, in addition to the requirements in paragraph 1, the following conditions are met:</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42FF955" w14:textId="77777777" w:rsidTr="00DB72C3">
        <w:tc>
          <w:tcPr>
            <w:tcW w:w="0" w:type="auto"/>
            <w:shd w:val="clear" w:color="auto" w:fill="auto"/>
            <w:hideMark/>
          </w:tcPr>
          <w:p w14:paraId="53E872D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78BAB1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such use has been approved by the relevant competent authority or by the single public authority designated in accordance with Article 26(9) and (10);</w:t>
            </w:r>
          </w:p>
        </w:tc>
      </w:tr>
    </w:tbl>
    <w:p w14:paraId="1F7D198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C47DB81" w14:textId="77777777" w:rsidTr="00DB72C3">
        <w:tc>
          <w:tcPr>
            <w:tcW w:w="0" w:type="auto"/>
            <w:shd w:val="clear" w:color="auto" w:fill="auto"/>
            <w:hideMark/>
          </w:tcPr>
          <w:p w14:paraId="1D484BB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98DB43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relevant competent authority has verified that the financial entity has sufficient dedicated resources and ensured that conflicts of interest are avoided throughout the design and execution phases of the test; and</w:t>
            </w:r>
          </w:p>
        </w:tc>
      </w:tr>
    </w:tbl>
    <w:p w14:paraId="7BBCB3C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88"/>
        <w:gridCol w:w="8972"/>
      </w:tblGrid>
      <w:tr w:rsidR="00DB72C3" w:rsidRPr="00DB72C3" w14:paraId="4D19F517" w14:textId="77777777" w:rsidTr="00DB72C3">
        <w:tc>
          <w:tcPr>
            <w:tcW w:w="0" w:type="auto"/>
            <w:shd w:val="clear" w:color="auto" w:fill="auto"/>
            <w:hideMark/>
          </w:tcPr>
          <w:p w14:paraId="114B05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0610C9C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threat intelligence provider is external to the financial entity.</w:t>
            </w:r>
          </w:p>
        </w:tc>
      </w:tr>
    </w:tbl>
    <w:p w14:paraId="77DC61B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Financial entities shall ensure that contracts concluded with external testers require a sound management of the TLPT results and that any data processing thereof, including any generation, store, aggregation, draft, report, communication or destruction, do not create risks to the financial entity.</w:t>
      </w:r>
    </w:p>
    <w:p w14:paraId="5C9DE566"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V</w:t>
      </w:r>
    </w:p>
    <w:p w14:paraId="3076692D"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Managing of ICT third-party risk</w:t>
      </w:r>
    </w:p>
    <w:p w14:paraId="49ADA522"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Section I</w:t>
      </w:r>
    </w:p>
    <w:p w14:paraId="25A4F5A0"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Key principles for a sound management of ICT third-party risk</w:t>
      </w:r>
    </w:p>
    <w:p w14:paraId="446FC0A9"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28</w:t>
      </w:r>
    </w:p>
    <w:p w14:paraId="0E3EDC7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General principles</w:t>
      </w:r>
    </w:p>
    <w:p w14:paraId="1C9C057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1.   Financial entities shall manage ICT third-party risk as an integral component of ICT risk within their ICT risk management framework as referred to in Article 6(1), and in accordance with the following principles: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BEAAE07" w14:textId="77777777" w:rsidTr="00DB72C3">
        <w:tc>
          <w:tcPr>
            <w:tcW w:w="0" w:type="auto"/>
            <w:shd w:val="clear" w:color="auto" w:fill="auto"/>
            <w:hideMark/>
          </w:tcPr>
          <w:p w14:paraId="2889757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C6C90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that have in place contractual arrangements for the use of ICT services to run their business operations shall, at all times, remain fully responsible for compliance with, and the discharge of, all obligations under this Regulation and applicable financial services law;</w:t>
            </w:r>
          </w:p>
        </w:tc>
      </w:tr>
    </w:tbl>
    <w:p w14:paraId="65231A8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8738F83" w14:textId="77777777" w:rsidTr="00DB72C3">
        <w:tc>
          <w:tcPr>
            <w:tcW w:w="0" w:type="auto"/>
            <w:shd w:val="clear" w:color="auto" w:fill="auto"/>
            <w:hideMark/>
          </w:tcPr>
          <w:p w14:paraId="0EBCD0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C97D88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management of ICT third-party risk shall be implemented in light of the principle of proportionality, taking into account:</w:t>
            </w:r>
          </w:p>
          <w:tbl>
            <w:tblPr>
              <w:tblW w:w="5000" w:type="pct"/>
              <w:tblCellMar>
                <w:left w:w="0" w:type="dxa"/>
                <w:right w:w="0" w:type="dxa"/>
              </w:tblCellMar>
              <w:tblLook w:val="04A0" w:firstRow="1" w:lastRow="0" w:firstColumn="1" w:lastColumn="0" w:noHBand="0" w:noVBand="1"/>
            </w:tblPr>
            <w:tblGrid>
              <w:gridCol w:w="279"/>
              <w:gridCol w:w="8801"/>
            </w:tblGrid>
            <w:tr w:rsidR="00DB72C3" w:rsidRPr="00DB72C3" w14:paraId="62578AF0" w14:textId="77777777">
              <w:tc>
                <w:tcPr>
                  <w:tcW w:w="0" w:type="auto"/>
                  <w:shd w:val="clear" w:color="auto" w:fill="auto"/>
                  <w:hideMark/>
                </w:tcPr>
                <w:p w14:paraId="685B84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19F4E08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nature, scale, complexity and importance of ICT-related dependencies,</w:t>
                  </w:r>
                </w:p>
              </w:tc>
            </w:tr>
          </w:tbl>
          <w:p w14:paraId="537A13D8"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86"/>
            </w:tblGrid>
            <w:tr w:rsidR="00DB72C3" w:rsidRPr="00DB72C3" w14:paraId="04C2AB8D" w14:textId="77777777">
              <w:tc>
                <w:tcPr>
                  <w:tcW w:w="0" w:type="auto"/>
                  <w:shd w:val="clear" w:color="auto" w:fill="auto"/>
                  <w:hideMark/>
                </w:tcPr>
                <w:p w14:paraId="0D582C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0AB2B47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risks arising from contractual arrangements on the use of ICT services concluded with ICT third-party service providers, taking into account the criticality or importance of the respective service, process or function, and the potential impact on the continuity and availability of financial services and activities, at individual and at group level.</w:t>
                  </w:r>
                </w:p>
              </w:tc>
            </w:tr>
          </w:tbl>
          <w:p w14:paraId="3B3C0409"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5455379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As part of their ICT risk management framework, financial entities, other than entities referred to in Article 16(1), first subparagraph, and other than microenterprises, shall adopt, and regularly review, a strategy on ICT third-party risk, taking into account the multi-vendor strategy referred to in Article 6(9), where applicable. The strategy on ICT third-party risk shall include a policy on the use of ICT services supporting critical or important functions provided by ICT third-party service providers and shall apply on an individual basis and, where relevant, on a sub-consolidated and consolidated basis. The management body shall, on the basis of an assessment of the overall risk profile of the financial entity and the scale and complexity of the business services, regularly review the risks identified in respect to contractual arrangements on the use of ICT services supporting critical or important functions.</w:t>
      </w:r>
    </w:p>
    <w:p w14:paraId="6442224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As part of their ICT risk management framework, financial entities shall maintain and update at entity level, and at sub-consolidated and consolidated levels, a register of information in relation to all contractual arrangements on the use of ICT services provided by ICT third-party service providers.</w:t>
      </w:r>
    </w:p>
    <w:p w14:paraId="582AAF4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contractual arrangements referred to in the first subparagraph shall be appropriately documented, distinguishing between those that cover ICT services supporting critical or important functions and those that do not.</w:t>
      </w:r>
    </w:p>
    <w:p w14:paraId="7892FF5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report at least yearly to the competent authorities on the number of new arrangements on the use of ICT services, the categories of ICT third-party service providers, the type of contractual arrangements and the ICT services and functions which are being provided.</w:t>
      </w:r>
    </w:p>
    <w:p w14:paraId="3A59E66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make available to the competent authority, upon its request, the full register of information or, as requested, specified sections thereof, along with any information deemed necessary to enable the effective supervision of the financial entity.</w:t>
      </w:r>
    </w:p>
    <w:p w14:paraId="25E8A96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Financial entities shall inform the competent authority in a timely manner about any planned contractual arrangement on the use of ICT services supporting critical or important functions as well as when a function has become critical or important.</w:t>
      </w:r>
    </w:p>
    <w:p w14:paraId="69B79FC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Before entering into a contractual arrangement on the use of ICT services, financial entities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2C4BBC2" w14:textId="77777777" w:rsidTr="00DB72C3">
        <w:tc>
          <w:tcPr>
            <w:tcW w:w="0" w:type="auto"/>
            <w:shd w:val="clear" w:color="auto" w:fill="auto"/>
            <w:hideMark/>
          </w:tcPr>
          <w:p w14:paraId="447A249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CDB43C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assess whether the contractual arrangement covers the use of ICT services supporting a critical or important function;</w:t>
            </w:r>
          </w:p>
        </w:tc>
      </w:tr>
    </w:tbl>
    <w:p w14:paraId="7063C25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65"/>
        <w:gridCol w:w="8895"/>
      </w:tblGrid>
      <w:tr w:rsidR="00DB72C3" w:rsidRPr="00DB72C3" w14:paraId="50F95888" w14:textId="77777777" w:rsidTr="00DB72C3">
        <w:tc>
          <w:tcPr>
            <w:tcW w:w="0" w:type="auto"/>
            <w:shd w:val="clear" w:color="auto" w:fill="auto"/>
            <w:hideMark/>
          </w:tcPr>
          <w:p w14:paraId="3E244F2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1FDCEF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assess if supervisory conditions for contracting are met;</w:t>
            </w:r>
          </w:p>
        </w:tc>
      </w:tr>
    </w:tbl>
    <w:p w14:paraId="08C636D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9517D91" w14:textId="77777777" w:rsidTr="00DB72C3">
        <w:tc>
          <w:tcPr>
            <w:tcW w:w="0" w:type="auto"/>
            <w:shd w:val="clear" w:color="auto" w:fill="auto"/>
            <w:hideMark/>
          </w:tcPr>
          <w:p w14:paraId="3732C3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17D271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identify and assess all relevant risks in relation to the contractual arrangement, including the possibility that such contractual arrangement may contribute to reinforcing ICT concentration risk as referred to in Article 29;</w:t>
            </w:r>
          </w:p>
        </w:tc>
      </w:tr>
    </w:tbl>
    <w:p w14:paraId="364ADFD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5733EF6" w14:textId="77777777" w:rsidTr="00DB72C3">
        <w:tc>
          <w:tcPr>
            <w:tcW w:w="0" w:type="auto"/>
            <w:shd w:val="clear" w:color="auto" w:fill="auto"/>
            <w:hideMark/>
          </w:tcPr>
          <w:p w14:paraId="717A35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787040C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undertake all due diligence on prospective ICT third-party service providers and ensure throughout the selection and assessment processes that the ICT third-party service provider is suitable;</w:t>
            </w:r>
          </w:p>
        </w:tc>
      </w:tr>
    </w:tbl>
    <w:p w14:paraId="31431D4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02"/>
        <w:gridCol w:w="9058"/>
      </w:tblGrid>
      <w:tr w:rsidR="00DB72C3" w:rsidRPr="00DB72C3" w14:paraId="46005F55" w14:textId="77777777" w:rsidTr="00DB72C3">
        <w:tc>
          <w:tcPr>
            <w:tcW w:w="0" w:type="auto"/>
            <w:shd w:val="clear" w:color="auto" w:fill="auto"/>
            <w:hideMark/>
          </w:tcPr>
          <w:p w14:paraId="76C763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A2E87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identify and assess conflicts of interest that the contractual arrangement may cause.</w:t>
            </w:r>
          </w:p>
        </w:tc>
      </w:tr>
    </w:tbl>
    <w:p w14:paraId="175616A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Financial entities may only enter into contractual arrangements with ICT third-party service providers that comply with appropriate information security standards. When those contractual arrangements concern critical or important functions, financial entities shall, prior to concluding the arrangements, take due consideration of the use, by ICT third-party service providers, of the most up-to-date and highest quality information security standards.</w:t>
      </w:r>
    </w:p>
    <w:p w14:paraId="5CAF9ED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In exercising access, inspection and audit rights over the ICT third-party service provider, financial entities shall, on the basis of a risk-based approach, pre-determine the frequency of audits and inspections as well as the areas to be audited through adhering to commonly accepted audit standards in line with any supervisory instruction on the use and incorporation of such audit standards.</w:t>
      </w:r>
    </w:p>
    <w:p w14:paraId="586CA0D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Where contractual arrangements concluded with ICT third-party service providers on the use of ICT services entail high technical complexity, the financial entity shall verify that auditors, whether internal or external, or a pool of auditors, possess appropriate skills and knowledge to effectively perform the relevant audits and assessments.</w:t>
      </w:r>
    </w:p>
    <w:p w14:paraId="5A62A3E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Financial entities shall ensure that contractual arrangements on the use of ICT services may be terminated in any of the following circumstances: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E6644E2" w14:textId="77777777" w:rsidTr="00DB72C3">
        <w:tc>
          <w:tcPr>
            <w:tcW w:w="0" w:type="auto"/>
            <w:shd w:val="clear" w:color="auto" w:fill="auto"/>
            <w:hideMark/>
          </w:tcPr>
          <w:p w14:paraId="1535D7C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DA42D2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significant breach by the ICT third-party service provider of applicable laws, regulations or contractual terms;</w:t>
            </w:r>
          </w:p>
        </w:tc>
      </w:tr>
    </w:tbl>
    <w:p w14:paraId="246D5FA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F643E0E" w14:textId="77777777" w:rsidTr="00DB72C3">
        <w:tc>
          <w:tcPr>
            <w:tcW w:w="0" w:type="auto"/>
            <w:shd w:val="clear" w:color="auto" w:fill="auto"/>
            <w:hideMark/>
          </w:tcPr>
          <w:p w14:paraId="12FB636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122640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circumstances identified throughout the monitoring of ICT third-party risk that are deemed capable of altering the performance of the functions provided through the contractual </w:t>
            </w:r>
            <w:r w:rsidRPr="00DB72C3">
              <w:rPr>
                <w:rFonts w:ascii="Times New Roman" w:eastAsia="Times New Roman" w:hAnsi="Times New Roman" w:cs="Times New Roman"/>
                <w:sz w:val="24"/>
                <w:szCs w:val="24"/>
              </w:rPr>
              <w:lastRenderedPageBreak/>
              <w:t>arrangement, including material changes that affect the arrangement or the situation of the ICT third-party service provider;</w:t>
            </w:r>
          </w:p>
        </w:tc>
      </w:tr>
    </w:tbl>
    <w:p w14:paraId="33AD6CF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6AE9FCA" w14:textId="77777777" w:rsidTr="00DB72C3">
        <w:tc>
          <w:tcPr>
            <w:tcW w:w="0" w:type="auto"/>
            <w:shd w:val="clear" w:color="auto" w:fill="auto"/>
            <w:hideMark/>
          </w:tcPr>
          <w:p w14:paraId="1F3902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6920497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provider’s evidenced weaknesses pertaining to its overall ICT risk management and in particular in the way it ensures the availability, authenticity, integrity and, confidentiality, of data, whether personal or otherwise sensitive data, or non-personal data;</w:t>
            </w:r>
          </w:p>
        </w:tc>
      </w:tr>
    </w:tbl>
    <w:p w14:paraId="4434C82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1302827" w14:textId="77777777" w:rsidTr="00DB72C3">
        <w:tc>
          <w:tcPr>
            <w:tcW w:w="0" w:type="auto"/>
            <w:shd w:val="clear" w:color="auto" w:fill="auto"/>
            <w:hideMark/>
          </w:tcPr>
          <w:p w14:paraId="37EF23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C2D4EA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where the competent authority can no longer effectively supervise the financial entity as a result of the conditions of, or circumstances related to, the respective contractual arrangement.</w:t>
            </w:r>
          </w:p>
        </w:tc>
      </w:tr>
    </w:tbl>
    <w:p w14:paraId="4F8129D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For ICT services supporting critical or important functions, financial entities shall put in place exit strategies. The exit strategies shall take into account risks that may emerge at the level of ICT third-party service providers, in particular a possible failure on their part, a deterioration of the quality of the ICT services provided, any business disruption due to inappropriate or failed provision of ICT services or any material risk arising in relation to the appropriate and continuous deployment of the respective ICT service, or the termination of contractual arrangements with ICT third-party service providers under any of the circumstances listed in paragraph 7.</w:t>
      </w:r>
    </w:p>
    <w:p w14:paraId="292E4C5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ensure that they are able to exit contractual arrangements without:</w:t>
      </w:r>
    </w:p>
    <w:tbl>
      <w:tblPr>
        <w:tblW w:w="5000" w:type="pct"/>
        <w:tblCellMar>
          <w:left w:w="0" w:type="dxa"/>
          <w:right w:w="0" w:type="dxa"/>
        </w:tblCellMar>
        <w:tblLook w:val="04A0" w:firstRow="1" w:lastRow="0" w:firstColumn="1" w:lastColumn="0" w:noHBand="0" w:noVBand="1"/>
      </w:tblPr>
      <w:tblGrid>
        <w:gridCol w:w="650"/>
        <w:gridCol w:w="8710"/>
      </w:tblGrid>
      <w:tr w:rsidR="00DB72C3" w:rsidRPr="00DB72C3" w14:paraId="60B5C0A0" w14:textId="77777777" w:rsidTr="00DB72C3">
        <w:tc>
          <w:tcPr>
            <w:tcW w:w="0" w:type="auto"/>
            <w:shd w:val="clear" w:color="auto" w:fill="auto"/>
            <w:hideMark/>
          </w:tcPr>
          <w:p w14:paraId="70333A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84741D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disruption to their business activities,</w:t>
            </w:r>
          </w:p>
        </w:tc>
      </w:tr>
    </w:tbl>
    <w:p w14:paraId="37ABAD2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13"/>
        <w:gridCol w:w="8847"/>
      </w:tblGrid>
      <w:tr w:rsidR="00DB72C3" w:rsidRPr="00DB72C3" w14:paraId="54DE5B8E" w14:textId="77777777" w:rsidTr="00DB72C3">
        <w:tc>
          <w:tcPr>
            <w:tcW w:w="0" w:type="auto"/>
            <w:shd w:val="clear" w:color="auto" w:fill="auto"/>
            <w:hideMark/>
          </w:tcPr>
          <w:p w14:paraId="501E10F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C7D10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limiting compliance with regulatory requirements,</w:t>
            </w:r>
          </w:p>
        </w:tc>
      </w:tr>
    </w:tbl>
    <w:p w14:paraId="716B285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59"/>
        <w:gridCol w:w="9001"/>
      </w:tblGrid>
      <w:tr w:rsidR="00DB72C3" w:rsidRPr="00DB72C3" w14:paraId="6CC53F92" w14:textId="77777777" w:rsidTr="00DB72C3">
        <w:tc>
          <w:tcPr>
            <w:tcW w:w="0" w:type="auto"/>
            <w:shd w:val="clear" w:color="auto" w:fill="auto"/>
            <w:hideMark/>
          </w:tcPr>
          <w:p w14:paraId="36F7253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425C5F6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detriment to the continuity and quality of services provided to clients.</w:t>
            </w:r>
          </w:p>
        </w:tc>
      </w:tr>
    </w:tbl>
    <w:p w14:paraId="6624AA9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Exit plans shall be comprehensive, documented and, in accordance with the criteria set out in Article 4(2), shall be sufficiently tested and reviewed periodically.</w:t>
      </w:r>
    </w:p>
    <w:p w14:paraId="27B23C8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identify alternative solutions and develop transition plans enabling them to remove the contracted ICT services and the relevant data from the ICT third-party service provider and to securely and integrally transfer them to alternative providers or reincorporate them in-house.</w:t>
      </w:r>
    </w:p>
    <w:p w14:paraId="7BC7D0D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have appropriate contingency measures in place to maintain business continuity in the event of the circumstances referred to in the first subparagraph.</w:t>
      </w:r>
    </w:p>
    <w:p w14:paraId="3BA2C55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9.   The ESAs shall, through the Joint Committee, develop draft implementing technical standards to establish the standard templates for the purposes of the register of information referred to in paragraph 3, including information that is common to all contractual arrangements on the use of ICT services. The ESAs shall submit those draft implementing technical standards to the Commission by 17 January 2024.</w:t>
      </w:r>
    </w:p>
    <w:p w14:paraId="6E7A0F6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Power is conferred on the Commission to adopt the implementing technical standards referred to in the first subparagraph in accordance with Article 15 of Regulations (EU) No 1093/2010, (EU) No 1094/2010 and (EU) No 1095/2010.</w:t>
      </w:r>
    </w:p>
    <w:p w14:paraId="5BAD7FA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The ESAs shall, through the Joint Committee, develop draft regulatory technical standards to further specify the detailed content of the policy referred to in paragraph 2 in relation to the contractual arrangements on the use of ICT services supporting critical or important functions provided by ICT third-party service providers.</w:t>
      </w:r>
    </w:p>
    <w:p w14:paraId="2A068A6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developing those draft regulatory technical standards, the ESAs shall take into account the size and the overall risk profile of the financial entity, and the nature, scale and complexity of its services, activities and operations. The ESAs shall submit those draft regulatory technical standards to the Commission by 17 January 2024.</w:t>
      </w:r>
    </w:p>
    <w:p w14:paraId="57F934E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the first subparagraph in accordance with Articles 10 to 14 of Regulations (EU) No 1093/2010, (EU) No 1094/2010 and (EU) No 1095/2010.</w:t>
      </w:r>
    </w:p>
    <w:p w14:paraId="0E6ED8A3"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29</w:t>
      </w:r>
    </w:p>
    <w:p w14:paraId="4D799578"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Preliminary assessment of ICT concentration risk at entity level</w:t>
      </w:r>
    </w:p>
    <w:p w14:paraId="4C67F58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When performing the identification and assessment of risks referred to in Article 28(4), point (c), financial entities shall also take into account whether the envisaged conclusion of a contractual arrangement in relation to ICT services supporting critical or important functions would lead to any of the following:</w:t>
      </w:r>
    </w:p>
    <w:tbl>
      <w:tblPr>
        <w:tblW w:w="5000" w:type="pct"/>
        <w:tblCellMar>
          <w:left w:w="0" w:type="dxa"/>
          <w:right w:w="0" w:type="dxa"/>
        </w:tblCellMar>
        <w:tblLook w:val="04A0" w:firstRow="1" w:lastRow="0" w:firstColumn="1" w:lastColumn="0" w:noHBand="0" w:noVBand="1"/>
      </w:tblPr>
      <w:tblGrid>
        <w:gridCol w:w="312"/>
        <w:gridCol w:w="9048"/>
      </w:tblGrid>
      <w:tr w:rsidR="00DB72C3" w:rsidRPr="00DB72C3" w14:paraId="36A50156" w14:textId="77777777" w:rsidTr="00DB72C3">
        <w:tc>
          <w:tcPr>
            <w:tcW w:w="0" w:type="auto"/>
            <w:shd w:val="clear" w:color="auto" w:fill="auto"/>
            <w:hideMark/>
          </w:tcPr>
          <w:p w14:paraId="4B43538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0E906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contracting an ICT third-party service provider that is not easily substitutable; or</w:t>
            </w:r>
          </w:p>
        </w:tc>
      </w:tr>
    </w:tbl>
    <w:p w14:paraId="73310FE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D4D4A2D" w14:textId="77777777" w:rsidTr="00DB72C3">
        <w:tc>
          <w:tcPr>
            <w:tcW w:w="0" w:type="auto"/>
            <w:shd w:val="clear" w:color="auto" w:fill="auto"/>
            <w:hideMark/>
          </w:tcPr>
          <w:p w14:paraId="3C3B7A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0E6476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having in place multiple contractual arrangements in relation to the provision of ICT services supporting critical or important functions with the same ICT third-party service provider or with closely connected ICT third-party service providers.</w:t>
            </w:r>
          </w:p>
        </w:tc>
      </w:tr>
    </w:tbl>
    <w:p w14:paraId="0923767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Financial entities shall weigh the benefits and costs of alternative solutions, such as the use of different ICT third-party service providers, taking into account if and how envisaged solutions match the business needs and objectives set out in their digital resilience strategy.</w:t>
      </w:r>
    </w:p>
    <w:p w14:paraId="30839B9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Where the contractual arrangements on the use of ICT services supporting critical or important functions include the possibility that an ICT third-party service provider further subcontracts ICT services supporting a critical or important function to other ICT third-party service providers, financial entities shall weigh benefits and risks that may arise in connection with such subcontracting, in particular in the case of an ICT subcontractor established in a third-country.</w:t>
      </w:r>
    </w:p>
    <w:p w14:paraId="43F43E0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Where contractual arrangements concern ICT services supporting critical or important functions, financial entities shall duly consider the insolvency law provisions that would apply in the event of the ICT third-party service provider’s bankruptcy as well as any constraint that may arise in respect to the urgent recovery of the financial entity’s data.</w:t>
      </w:r>
    </w:p>
    <w:p w14:paraId="0BFC746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Where contractual arrangements on the use of ICT services supporting critical or important functions are concluded with an ICT third-party service provider established in a third country, financial entities shall, in addition to the considerations referred to in the second subparagraph, also consider the compliance with Union data protection rules and the effective enforcement of the law in that third country.</w:t>
      </w:r>
    </w:p>
    <w:p w14:paraId="6F0A4F6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Where the contractual arrangements on the use of ICT services supporting critical or important functions provide for subcontracting, financial entities shall assess whether and how potentially long or complex chains of subcontracting may impact their ability to fully monitor the contracted functions and the ability of the competent authority to effectively supervise the financial entity in that respect.</w:t>
      </w:r>
    </w:p>
    <w:p w14:paraId="7996421E"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30</w:t>
      </w:r>
    </w:p>
    <w:p w14:paraId="14736F37"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Key contractual provisions</w:t>
      </w:r>
    </w:p>
    <w:p w14:paraId="2B7E3D4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rights and obligations of the financial entity and of the ICT third-party service provider shall be clearly allocated and set out in writing. The full contract shall include the service level agreements and be documented in one written document which shall be available to the parties on paper, or in a document with another downloadable, durable and accessible format.</w:t>
      </w:r>
    </w:p>
    <w:p w14:paraId="25011A9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contractual arrangements on the use of ICT services shall include at least the following elements: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4C481CB" w14:textId="77777777" w:rsidTr="00DB72C3">
        <w:tc>
          <w:tcPr>
            <w:tcW w:w="0" w:type="auto"/>
            <w:shd w:val="clear" w:color="auto" w:fill="auto"/>
            <w:hideMark/>
          </w:tcPr>
          <w:p w14:paraId="3665F83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0F0E66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clear and complete description of all functions and ICT services to be provided by the ICT third-party service provider, indicating whether subcontracting of an ICT service supporting a critical or important function, or material parts thereof, is permitted and, when that is the case, the conditions applying to such subcontracting;</w:t>
            </w:r>
          </w:p>
        </w:tc>
      </w:tr>
    </w:tbl>
    <w:p w14:paraId="71B42A4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64A2B70" w14:textId="77777777" w:rsidTr="00DB72C3">
        <w:tc>
          <w:tcPr>
            <w:tcW w:w="0" w:type="auto"/>
            <w:shd w:val="clear" w:color="auto" w:fill="auto"/>
            <w:hideMark/>
          </w:tcPr>
          <w:p w14:paraId="27C7C45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5C449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locations, namely the regions or countries, where the contracted or subcontracted functions and ICT services are to be provided and where data is to be processed, including the storage location, and the requirement for the ICT third-party service provider to notify the financial entity in advance if it envisages changing such locations;</w:t>
            </w:r>
          </w:p>
        </w:tc>
      </w:tr>
    </w:tbl>
    <w:p w14:paraId="2671422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23C7CDD" w14:textId="77777777" w:rsidTr="00DB72C3">
        <w:tc>
          <w:tcPr>
            <w:tcW w:w="0" w:type="auto"/>
            <w:shd w:val="clear" w:color="auto" w:fill="auto"/>
            <w:hideMark/>
          </w:tcPr>
          <w:p w14:paraId="6202A8A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1B0DF9F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provisions on availability, authenticity, integrity and confidentiality in relation to the protection of data, including personal data;</w:t>
            </w:r>
          </w:p>
        </w:tc>
      </w:tr>
    </w:tbl>
    <w:p w14:paraId="658ED9D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2E3162A" w14:textId="77777777" w:rsidTr="00DB72C3">
        <w:tc>
          <w:tcPr>
            <w:tcW w:w="0" w:type="auto"/>
            <w:shd w:val="clear" w:color="auto" w:fill="auto"/>
            <w:hideMark/>
          </w:tcPr>
          <w:p w14:paraId="3448DA3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9E936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provisions on ensuring access, recovery and return in an easily accessible format of personal and non-personal data processed by the financial entity in the event of the insolvency, resolution </w:t>
            </w:r>
            <w:r w:rsidRPr="00DB72C3">
              <w:rPr>
                <w:rFonts w:ascii="Times New Roman" w:eastAsia="Times New Roman" w:hAnsi="Times New Roman" w:cs="Times New Roman"/>
                <w:sz w:val="24"/>
                <w:szCs w:val="24"/>
              </w:rPr>
              <w:lastRenderedPageBreak/>
              <w:t>or discontinuation of the business operations of the ICT third-party service provider, or in the event of the termination of the contractual arrangements;</w:t>
            </w:r>
          </w:p>
        </w:tc>
      </w:tr>
    </w:tbl>
    <w:p w14:paraId="4CD60D2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76"/>
        <w:gridCol w:w="8984"/>
      </w:tblGrid>
      <w:tr w:rsidR="00DB72C3" w:rsidRPr="00DB72C3" w14:paraId="750AA7AD" w14:textId="77777777" w:rsidTr="00DB72C3">
        <w:tc>
          <w:tcPr>
            <w:tcW w:w="0" w:type="auto"/>
            <w:shd w:val="clear" w:color="auto" w:fill="auto"/>
            <w:hideMark/>
          </w:tcPr>
          <w:p w14:paraId="4AC30D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37EF5E8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service level descriptions, including updates and revisions thereof;</w:t>
            </w:r>
          </w:p>
        </w:tc>
      </w:tr>
    </w:tbl>
    <w:p w14:paraId="34CF85F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3D71AEC5" w14:textId="77777777" w:rsidTr="00DB72C3">
        <w:tc>
          <w:tcPr>
            <w:tcW w:w="0" w:type="auto"/>
            <w:shd w:val="clear" w:color="auto" w:fill="auto"/>
            <w:hideMark/>
          </w:tcPr>
          <w:p w14:paraId="18543BB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7283982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obligation of the ICT third-party service provider to provide assistance to the financial entity at no additional cost, or at a cost that is determined </w:t>
            </w:r>
            <w:r w:rsidRPr="00DB72C3">
              <w:rPr>
                <w:rFonts w:ascii="Times New Roman" w:eastAsia="Times New Roman" w:hAnsi="Times New Roman" w:cs="Times New Roman"/>
                <w:i/>
                <w:iCs/>
                <w:sz w:val="24"/>
                <w:szCs w:val="24"/>
              </w:rPr>
              <w:t>ex-ante</w:t>
            </w:r>
            <w:r w:rsidRPr="00DB72C3">
              <w:rPr>
                <w:rFonts w:ascii="Times New Roman" w:eastAsia="Times New Roman" w:hAnsi="Times New Roman" w:cs="Times New Roman"/>
                <w:sz w:val="24"/>
                <w:szCs w:val="24"/>
              </w:rPr>
              <w:t>, when an ICT incident that is related to the ICT service provided to the financial entity occurs;</w:t>
            </w:r>
          </w:p>
        </w:tc>
      </w:tr>
    </w:tbl>
    <w:p w14:paraId="4D4A8CD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A17AF85" w14:textId="77777777" w:rsidTr="00DB72C3">
        <w:tc>
          <w:tcPr>
            <w:tcW w:w="0" w:type="auto"/>
            <w:shd w:val="clear" w:color="auto" w:fill="auto"/>
            <w:hideMark/>
          </w:tcPr>
          <w:p w14:paraId="400AD7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7AEE7BF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obligation of the ICT third-party service provider to fully cooperate with the competent authorities and the resolution authorities of the financial entity, including persons appointed by them;</w:t>
            </w:r>
          </w:p>
        </w:tc>
      </w:tr>
    </w:tbl>
    <w:p w14:paraId="69B538B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AC7261C" w14:textId="77777777" w:rsidTr="00DB72C3">
        <w:tc>
          <w:tcPr>
            <w:tcW w:w="0" w:type="auto"/>
            <w:shd w:val="clear" w:color="auto" w:fill="auto"/>
            <w:hideMark/>
          </w:tcPr>
          <w:p w14:paraId="684C9A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5DD761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termination rights and related minimum notice periods for the termination of the contractual arrangements, in accordance with the expectations of competent authorities and resolution authorities;</w:t>
            </w:r>
          </w:p>
        </w:tc>
      </w:tr>
    </w:tbl>
    <w:p w14:paraId="350DD49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18C74723" w14:textId="77777777" w:rsidTr="00DB72C3">
        <w:tc>
          <w:tcPr>
            <w:tcW w:w="0" w:type="auto"/>
            <w:shd w:val="clear" w:color="auto" w:fill="auto"/>
            <w:hideMark/>
          </w:tcPr>
          <w:p w14:paraId="6EA280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6B18281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conditions for the participation of ICT third-party service providers in the financial entities’ ICT security awareness </w:t>
            </w:r>
            <w:proofErr w:type="spellStart"/>
            <w:r w:rsidRPr="00DB72C3">
              <w:rPr>
                <w:rFonts w:ascii="Times New Roman" w:eastAsia="Times New Roman" w:hAnsi="Times New Roman" w:cs="Times New Roman"/>
                <w:sz w:val="24"/>
                <w:szCs w:val="24"/>
              </w:rPr>
              <w:t>programmes</w:t>
            </w:r>
            <w:proofErr w:type="spellEnd"/>
            <w:r w:rsidRPr="00DB72C3">
              <w:rPr>
                <w:rFonts w:ascii="Times New Roman" w:eastAsia="Times New Roman" w:hAnsi="Times New Roman" w:cs="Times New Roman"/>
                <w:sz w:val="24"/>
                <w:szCs w:val="24"/>
              </w:rPr>
              <w:t xml:space="preserve"> and digital operational resilience training in accordance with Article 13(6).</w:t>
            </w:r>
          </w:p>
        </w:tc>
      </w:tr>
    </w:tbl>
    <w:p w14:paraId="3000CD8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contractual arrangements on the use of ICT services supporting critical or important functions shall include, in addition to the elements referred to in paragraph 2, at least the following: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45E81C2" w14:textId="77777777" w:rsidTr="00DB72C3">
        <w:tc>
          <w:tcPr>
            <w:tcW w:w="0" w:type="auto"/>
            <w:shd w:val="clear" w:color="auto" w:fill="auto"/>
            <w:hideMark/>
          </w:tcPr>
          <w:p w14:paraId="29D976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69B718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proofErr w:type="gramStart"/>
            <w:r w:rsidRPr="00DB72C3">
              <w:rPr>
                <w:rFonts w:ascii="Times New Roman" w:eastAsia="Times New Roman" w:hAnsi="Times New Roman" w:cs="Times New Roman"/>
                <w:sz w:val="24"/>
                <w:szCs w:val="24"/>
              </w:rPr>
              <w:t>full service</w:t>
            </w:r>
            <w:proofErr w:type="gramEnd"/>
            <w:r w:rsidRPr="00DB72C3">
              <w:rPr>
                <w:rFonts w:ascii="Times New Roman" w:eastAsia="Times New Roman" w:hAnsi="Times New Roman" w:cs="Times New Roman"/>
                <w:sz w:val="24"/>
                <w:szCs w:val="24"/>
              </w:rPr>
              <w:t xml:space="preserve"> level descriptions, including updates and revisions thereof with precise quantitative and qualitative performance targets within the agreed service levels to allow effective monitoring by the financial entity of ICT services and enable appropriate corrective actions to be taken, without undue delay, when agreed service levels are not met;</w:t>
            </w:r>
          </w:p>
        </w:tc>
      </w:tr>
    </w:tbl>
    <w:p w14:paraId="18A4E12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13B12A9" w14:textId="77777777" w:rsidTr="00DB72C3">
        <w:tc>
          <w:tcPr>
            <w:tcW w:w="0" w:type="auto"/>
            <w:shd w:val="clear" w:color="auto" w:fill="auto"/>
            <w:hideMark/>
          </w:tcPr>
          <w:p w14:paraId="085E10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BBDF3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notice periods and reporting obligations of the ICT third-party service provider to the financial entity, including notification of any development that might have a material impact on the ICT third-party service provider’s ability to effectively provide the ICT services supporting critical or important functions in line with agreed service levels;</w:t>
            </w:r>
          </w:p>
        </w:tc>
      </w:tr>
    </w:tbl>
    <w:p w14:paraId="3247C82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88D7D9A" w14:textId="77777777" w:rsidTr="00DB72C3">
        <w:tc>
          <w:tcPr>
            <w:tcW w:w="0" w:type="auto"/>
            <w:shd w:val="clear" w:color="auto" w:fill="auto"/>
            <w:hideMark/>
          </w:tcPr>
          <w:p w14:paraId="06D6ED3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E58324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requirements for the ICT third-party service provider to implement and test business contingency plans and to have in place ICT security measures, tools and policies that provide an appropriate level of security for the provision of services by the financial entity in line with its regulatory framework;</w:t>
            </w:r>
          </w:p>
        </w:tc>
      </w:tr>
    </w:tbl>
    <w:p w14:paraId="07182C3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FCD025B" w14:textId="77777777" w:rsidTr="00DB72C3">
        <w:tc>
          <w:tcPr>
            <w:tcW w:w="0" w:type="auto"/>
            <w:shd w:val="clear" w:color="auto" w:fill="auto"/>
            <w:hideMark/>
          </w:tcPr>
          <w:p w14:paraId="456578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0BF23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obligation of the ICT third-party service provider to participate and fully cooperate in the financial entity’s TLPT as referred to in Articles 26 and 27;</w:t>
            </w:r>
          </w:p>
        </w:tc>
      </w:tr>
    </w:tbl>
    <w:p w14:paraId="16E02E3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4529BC9" w14:textId="77777777" w:rsidTr="00DB72C3">
        <w:tc>
          <w:tcPr>
            <w:tcW w:w="0" w:type="auto"/>
            <w:shd w:val="clear" w:color="auto" w:fill="auto"/>
            <w:hideMark/>
          </w:tcPr>
          <w:p w14:paraId="3159763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0197A2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right to monitor, on an ongoing basis, the ICT third-party service provider’s performance, which entails the following:</w:t>
            </w:r>
          </w:p>
          <w:tbl>
            <w:tblPr>
              <w:tblW w:w="5000" w:type="pct"/>
              <w:tblCellMar>
                <w:left w:w="0" w:type="dxa"/>
                <w:right w:w="0" w:type="dxa"/>
              </w:tblCellMar>
              <w:tblLook w:val="04A0" w:firstRow="1" w:lastRow="0" w:firstColumn="1" w:lastColumn="0" w:noHBand="0" w:noVBand="1"/>
            </w:tblPr>
            <w:tblGrid>
              <w:gridCol w:w="227"/>
              <w:gridCol w:w="8866"/>
            </w:tblGrid>
            <w:tr w:rsidR="00DB72C3" w:rsidRPr="00DB72C3" w14:paraId="1B3D5EDD" w14:textId="77777777">
              <w:tc>
                <w:tcPr>
                  <w:tcW w:w="0" w:type="auto"/>
                  <w:shd w:val="clear" w:color="auto" w:fill="auto"/>
                  <w:hideMark/>
                </w:tcPr>
                <w:p w14:paraId="7C6FA6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625613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unrestricted rights of access, inspection and audit by the financial entity, or an appointed third party, and by the competent authority, and the right to take copies of relevant documentation </w:t>
                  </w:r>
                  <w:r w:rsidRPr="00DB72C3">
                    <w:rPr>
                      <w:rFonts w:ascii="Times New Roman" w:eastAsia="Times New Roman" w:hAnsi="Times New Roman" w:cs="Times New Roman"/>
                      <w:sz w:val="24"/>
                      <w:szCs w:val="24"/>
                    </w:rPr>
                    <w:lastRenderedPageBreak/>
                    <w:t>on-site if they are critical to the operations of the ICT third-party service provider, the effective exercise of which is not impeded or limited by other contractual arrangements or implementation policies;</w:t>
                  </w:r>
                </w:p>
              </w:tc>
            </w:tr>
          </w:tbl>
          <w:p w14:paraId="1C6D12AA"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22"/>
              <w:gridCol w:w="8771"/>
            </w:tblGrid>
            <w:tr w:rsidR="00DB72C3" w:rsidRPr="00DB72C3" w14:paraId="7F9BE333" w14:textId="77777777">
              <w:tc>
                <w:tcPr>
                  <w:tcW w:w="0" w:type="auto"/>
                  <w:shd w:val="clear" w:color="auto" w:fill="auto"/>
                  <w:hideMark/>
                </w:tcPr>
                <w:p w14:paraId="1F71B7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68898AB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right to agree on alternative assurance levels if other clients’ rights are affected;</w:t>
                  </w:r>
                </w:p>
              </w:tc>
            </w:tr>
          </w:tbl>
          <w:p w14:paraId="1A680F5E"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60"/>
              <w:gridCol w:w="8733"/>
            </w:tblGrid>
            <w:tr w:rsidR="00DB72C3" w:rsidRPr="00DB72C3" w14:paraId="0B5E0095" w14:textId="77777777">
              <w:tc>
                <w:tcPr>
                  <w:tcW w:w="0" w:type="auto"/>
                  <w:shd w:val="clear" w:color="auto" w:fill="auto"/>
                  <w:hideMark/>
                </w:tcPr>
                <w:p w14:paraId="25225C1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3233E1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obligation of the ICT third-party service provider to fully cooperate during the onsite inspections and audits performed by the competent authorities, the Lead Overseer, financial entity or an appointed third party; and</w:t>
                  </w:r>
                </w:p>
              </w:tc>
            </w:tr>
          </w:tbl>
          <w:p w14:paraId="3048FFE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47"/>
              <w:gridCol w:w="8746"/>
            </w:tblGrid>
            <w:tr w:rsidR="00DB72C3" w:rsidRPr="00DB72C3" w14:paraId="0A9834E5" w14:textId="77777777">
              <w:tc>
                <w:tcPr>
                  <w:tcW w:w="0" w:type="auto"/>
                  <w:shd w:val="clear" w:color="auto" w:fill="auto"/>
                  <w:hideMark/>
                </w:tcPr>
                <w:p w14:paraId="7B8D844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(iv)</w:t>
                  </w:r>
                </w:p>
              </w:tc>
              <w:tc>
                <w:tcPr>
                  <w:tcW w:w="0" w:type="auto"/>
                  <w:shd w:val="clear" w:color="auto" w:fill="auto"/>
                  <w:hideMark/>
                </w:tcPr>
                <w:p w14:paraId="7F1959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obligation to provide details on the scope, procedures to be followed and frequency of such inspections and audits;</w:t>
                  </w:r>
                </w:p>
              </w:tc>
            </w:tr>
          </w:tbl>
          <w:p w14:paraId="0C31FA0E"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02F70C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AE5F242" w14:textId="77777777" w:rsidTr="00DB72C3">
        <w:tc>
          <w:tcPr>
            <w:tcW w:w="0" w:type="auto"/>
            <w:shd w:val="clear" w:color="auto" w:fill="auto"/>
            <w:hideMark/>
          </w:tcPr>
          <w:p w14:paraId="57060E0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1E561C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exit strategies, in particular the establishment of a mandatory adequate transition period:</w:t>
            </w:r>
          </w:p>
          <w:tbl>
            <w:tblPr>
              <w:tblW w:w="5000" w:type="pct"/>
              <w:tblCellMar>
                <w:left w:w="0" w:type="dxa"/>
                <w:right w:w="0" w:type="dxa"/>
              </w:tblCellMar>
              <w:tblLook w:val="04A0" w:firstRow="1" w:lastRow="0" w:firstColumn="1" w:lastColumn="0" w:noHBand="0" w:noVBand="1"/>
            </w:tblPr>
            <w:tblGrid>
              <w:gridCol w:w="227"/>
              <w:gridCol w:w="8893"/>
            </w:tblGrid>
            <w:tr w:rsidR="00DB72C3" w:rsidRPr="00DB72C3" w14:paraId="062A95F7" w14:textId="77777777">
              <w:tc>
                <w:tcPr>
                  <w:tcW w:w="0" w:type="auto"/>
                  <w:shd w:val="clear" w:color="auto" w:fill="auto"/>
                  <w:hideMark/>
                </w:tcPr>
                <w:p w14:paraId="689AFB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1CAF24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during which the ICT third-party service provider will continue providing the respective functions, or ICT services, with a view to reducing the risk of disruption at the financial entity or to ensure its effective resolution and restructuring;</w:t>
                  </w:r>
                </w:p>
              </w:tc>
            </w:tr>
          </w:tbl>
          <w:p w14:paraId="2AC7E3F9"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826"/>
            </w:tblGrid>
            <w:tr w:rsidR="00DB72C3" w:rsidRPr="00DB72C3" w14:paraId="027A0C79" w14:textId="77777777">
              <w:tc>
                <w:tcPr>
                  <w:tcW w:w="0" w:type="auto"/>
                  <w:shd w:val="clear" w:color="auto" w:fill="auto"/>
                  <w:hideMark/>
                </w:tcPr>
                <w:p w14:paraId="5181869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711660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allowing the financial entity to migrate to another ICT third-party service provider or change to in-house solutions consistent with the complexity of the service provided.</w:t>
                  </w:r>
                </w:p>
              </w:tc>
            </w:tr>
          </w:tbl>
          <w:p w14:paraId="1F3D39FA"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328B8E9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By way of derogation from point (e), the ICT third-party service provider and the financial entity that is a microenterprise may agree that the financial entity’s rights of access, inspection and audit can be delegated to an independent third party, appointed by the ICT third-party service provider, and that the financial entity is able to request information and assurance on the ICT third-party service provider’s performance from the third party at any time.</w:t>
      </w:r>
    </w:p>
    <w:p w14:paraId="2EE91A2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When negotiating contractual arrangements, financial entities and ICT third-party service providers shall consider the use of standard contractual clauses developed by public authorities for specific services.</w:t>
      </w:r>
    </w:p>
    <w:p w14:paraId="3F9E37D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The ESAs shall, through the Joint Committee, develop draft regulatory technical standards to specify further the elements referred to in paragraph 2, point (a), which a financial entity needs to determine and assess when subcontracting ICT services supporting critical or important functions.</w:t>
      </w:r>
    </w:p>
    <w:p w14:paraId="33D0365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developing those draft regulatory technical standards, the ESAs shall take into consideration the size and overall risk profile of the financial entity, and the nature, scale and complexity of its services, activities and operations.</w:t>
      </w:r>
    </w:p>
    <w:p w14:paraId="55C1E3F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ESAs shall submit those draft regulatory technical standards to the Commission by 17 July 2024.</w:t>
      </w:r>
    </w:p>
    <w:p w14:paraId="0A53BA0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Power is delegated to the Commission to supplement this Regulation by adopting the regulatory technical standards referred to in the first subparagraph in accordance with </w:t>
      </w:r>
      <w:r w:rsidRPr="00DB72C3">
        <w:rPr>
          <w:rFonts w:ascii="Times New Roman" w:eastAsia="Times New Roman" w:hAnsi="Times New Roman" w:cs="Times New Roman"/>
          <w:color w:val="333333"/>
          <w:sz w:val="27"/>
          <w:szCs w:val="27"/>
        </w:rPr>
        <w:lastRenderedPageBreak/>
        <w:t>Articles 10 to 14 of Regulations (EU) No 1093/2010, (EU) No 1094/2010 and (EU) No 1095/2010.</w:t>
      </w:r>
    </w:p>
    <w:p w14:paraId="4914479A"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Section II</w:t>
      </w:r>
    </w:p>
    <w:p w14:paraId="2A0BCD77"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Oversight Framework of critical ICT third-party service providers</w:t>
      </w:r>
    </w:p>
    <w:p w14:paraId="21D62500"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31</w:t>
      </w:r>
    </w:p>
    <w:p w14:paraId="2F56318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Designation of critical ICT third-party service providers</w:t>
      </w:r>
    </w:p>
    <w:p w14:paraId="18B6577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ESAs, through the Joint Committee and upon recommendation from the Oversight Forum established pursuant to Article 32(1),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BE78E82" w14:textId="77777777" w:rsidTr="00DB72C3">
        <w:tc>
          <w:tcPr>
            <w:tcW w:w="0" w:type="auto"/>
            <w:shd w:val="clear" w:color="auto" w:fill="auto"/>
            <w:hideMark/>
          </w:tcPr>
          <w:p w14:paraId="26473B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5C7C54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designate the ICT third-party service providers that are critical for financial entities, following an assessment that takes into account the criteria specified in paragraph 2;</w:t>
            </w:r>
          </w:p>
        </w:tc>
      </w:tr>
    </w:tbl>
    <w:p w14:paraId="6D52CBA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58FB5D7" w14:textId="77777777" w:rsidTr="00DB72C3">
        <w:tc>
          <w:tcPr>
            <w:tcW w:w="0" w:type="auto"/>
            <w:shd w:val="clear" w:color="auto" w:fill="auto"/>
            <w:hideMark/>
          </w:tcPr>
          <w:p w14:paraId="1C5C530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CEA5A1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appoint as Lead Overseer for each critical ICT third-party service provider the ESA that is responsible, in accordance with Regulations (EU) No 1093/2010, (EU) No 1094/2010 or (EU) No 1095/2010, for the financial entities having together the largest share of total assets out of the value of total assets of all financial entities using the services of the relevant critical ICT third-party service provider, as evidenced by the sum of the individual balance sheets of those financial entities.</w:t>
            </w:r>
          </w:p>
        </w:tc>
      </w:tr>
    </w:tbl>
    <w:p w14:paraId="553FF8D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designation referred to in paragraph 1, point (a), shall be based on all of the following criteria in relation to ICT services provided by the ICT third-party service provider:</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785F0EE" w14:textId="77777777" w:rsidTr="00DB72C3">
        <w:tc>
          <w:tcPr>
            <w:tcW w:w="0" w:type="auto"/>
            <w:shd w:val="clear" w:color="auto" w:fill="auto"/>
            <w:hideMark/>
          </w:tcPr>
          <w:p w14:paraId="123ADE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769238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systemic impact on the stability, continuity or quality of the provision of financial services in the event that the relevant ICT third-party service provider would face a </w:t>
            </w:r>
            <w:proofErr w:type="gramStart"/>
            <w:r w:rsidRPr="00DB72C3">
              <w:rPr>
                <w:rFonts w:ascii="Times New Roman" w:eastAsia="Times New Roman" w:hAnsi="Times New Roman" w:cs="Times New Roman"/>
                <w:sz w:val="24"/>
                <w:szCs w:val="24"/>
              </w:rPr>
              <w:t>large scale</w:t>
            </w:r>
            <w:proofErr w:type="gramEnd"/>
            <w:r w:rsidRPr="00DB72C3">
              <w:rPr>
                <w:rFonts w:ascii="Times New Roman" w:eastAsia="Times New Roman" w:hAnsi="Times New Roman" w:cs="Times New Roman"/>
                <w:sz w:val="24"/>
                <w:szCs w:val="24"/>
              </w:rPr>
              <w:t xml:space="preserve"> operational failure to provide its services, taking into account the number of financial entities and the total value of assets of financial entities to which the relevant ICT third-party service provider provides services;</w:t>
            </w:r>
          </w:p>
        </w:tc>
      </w:tr>
    </w:tbl>
    <w:p w14:paraId="0878952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687A57F" w14:textId="77777777" w:rsidTr="00DB72C3">
        <w:tc>
          <w:tcPr>
            <w:tcW w:w="0" w:type="auto"/>
            <w:shd w:val="clear" w:color="auto" w:fill="auto"/>
            <w:hideMark/>
          </w:tcPr>
          <w:p w14:paraId="14FDF5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6DBDE3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systemic character or importance of the financial entities that rely on the relevant ICT third-party service provider, assessed in accordance with the following parameters:</w:t>
            </w:r>
          </w:p>
          <w:tbl>
            <w:tblPr>
              <w:tblW w:w="5000" w:type="pct"/>
              <w:tblCellMar>
                <w:left w:w="0" w:type="dxa"/>
                <w:right w:w="0" w:type="dxa"/>
              </w:tblCellMar>
              <w:tblLook w:val="04A0" w:firstRow="1" w:lastRow="0" w:firstColumn="1" w:lastColumn="0" w:noHBand="0" w:noVBand="1"/>
            </w:tblPr>
            <w:tblGrid>
              <w:gridCol w:w="227"/>
              <w:gridCol w:w="8853"/>
            </w:tblGrid>
            <w:tr w:rsidR="00DB72C3" w:rsidRPr="00DB72C3" w14:paraId="4CACB336" w14:textId="77777777">
              <w:tc>
                <w:tcPr>
                  <w:tcW w:w="0" w:type="auto"/>
                  <w:shd w:val="clear" w:color="auto" w:fill="auto"/>
                  <w:hideMark/>
                </w:tcPr>
                <w:p w14:paraId="28D994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3E2C83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number of global systemically important institutions (G-SIIs) or other systemically important institutions (O-SIIs) that rely on the respective ICT third-party service provider;</w:t>
                  </w:r>
                </w:p>
              </w:tc>
            </w:tr>
          </w:tbl>
          <w:p w14:paraId="1863F384"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86"/>
            </w:tblGrid>
            <w:tr w:rsidR="00DB72C3" w:rsidRPr="00DB72C3" w14:paraId="54FED080" w14:textId="77777777">
              <w:tc>
                <w:tcPr>
                  <w:tcW w:w="0" w:type="auto"/>
                  <w:shd w:val="clear" w:color="auto" w:fill="auto"/>
                  <w:hideMark/>
                </w:tcPr>
                <w:p w14:paraId="4D81BAB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04E4B4F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interdependence between the G-SIIs or O-SIIs referred to in point (</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 and other financial entities, including situations where the G-SIIs or O-SIIs provide financial infrastructure services to other financial entities;</w:t>
                  </w:r>
                </w:p>
              </w:tc>
            </w:tr>
          </w:tbl>
          <w:p w14:paraId="4E91B2DD"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5CE4D17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590666D" w14:textId="77777777" w:rsidTr="00DB72C3">
        <w:tc>
          <w:tcPr>
            <w:tcW w:w="0" w:type="auto"/>
            <w:shd w:val="clear" w:color="auto" w:fill="auto"/>
            <w:hideMark/>
          </w:tcPr>
          <w:p w14:paraId="5145151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62467F5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reliance of financial entities on the services provided by the relevant ICT third-party service provider in relation to critical or important functions of financial entities that ultimately involve </w:t>
            </w:r>
            <w:r w:rsidRPr="00DB72C3">
              <w:rPr>
                <w:rFonts w:ascii="Times New Roman" w:eastAsia="Times New Roman" w:hAnsi="Times New Roman" w:cs="Times New Roman"/>
                <w:sz w:val="24"/>
                <w:szCs w:val="24"/>
              </w:rPr>
              <w:lastRenderedPageBreak/>
              <w:t>the same ICT third-party service provider, irrespective of whether financial entities rely on those services directly or indirectly, through subcontracting arrangements;</w:t>
            </w:r>
          </w:p>
        </w:tc>
      </w:tr>
    </w:tbl>
    <w:p w14:paraId="4FB64F6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F2240B0" w14:textId="77777777" w:rsidTr="00DB72C3">
        <w:tc>
          <w:tcPr>
            <w:tcW w:w="0" w:type="auto"/>
            <w:shd w:val="clear" w:color="auto" w:fill="auto"/>
            <w:hideMark/>
          </w:tcPr>
          <w:p w14:paraId="2011A4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5FD9BF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degree of substitutability of the ICT third-party service provider, taking into account the following parameters:</w:t>
            </w:r>
          </w:p>
          <w:tbl>
            <w:tblPr>
              <w:tblW w:w="5000" w:type="pct"/>
              <w:tblCellMar>
                <w:left w:w="0" w:type="dxa"/>
                <w:right w:w="0" w:type="dxa"/>
              </w:tblCellMar>
              <w:tblLook w:val="04A0" w:firstRow="1" w:lastRow="0" w:firstColumn="1" w:lastColumn="0" w:noHBand="0" w:noVBand="1"/>
            </w:tblPr>
            <w:tblGrid>
              <w:gridCol w:w="227"/>
              <w:gridCol w:w="8853"/>
            </w:tblGrid>
            <w:tr w:rsidR="00DB72C3" w:rsidRPr="00DB72C3" w14:paraId="102FCF3E" w14:textId="77777777">
              <w:tc>
                <w:tcPr>
                  <w:tcW w:w="0" w:type="auto"/>
                  <w:shd w:val="clear" w:color="auto" w:fill="auto"/>
                  <w:hideMark/>
                </w:tcPr>
                <w:p w14:paraId="3F971F7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239E6F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lack of real alternatives, even partial, due to the limited number of ICT third-party service providers active on a specific market, or the market share of the relevant ICT third-party service provider, or the technical complexity or sophistication involved, including in relation to any proprietary technology, or the specific features of the ICT third-party service provider’s </w:t>
                  </w:r>
                  <w:proofErr w:type="spellStart"/>
                  <w:r w:rsidRPr="00DB72C3">
                    <w:rPr>
                      <w:rFonts w:ascii="Times New Roman" w:eastAsia="Times New Roman" w:hAnsi="Times New Roman" w:cs="Times New Roman"/>
                      <w:sz w:val="24"/>
                      <w:szCs w:val="24"/>
                    </w:rPr>
                    <w:t>organisation</w:t>
                  </w:r>
                  <w:proofErr w:type="spellEnd"/>
                  <w:r w:rsidRPr="00DB72C3">
                    <w:rPr>
                      <w:rFonts w:ascii="Times New Roman" w:eastAsia="Times New Roman" w:hAnsi="Times New Roman" w:cs="Times New Roman"/>
                      <w:sz w:val="24"/>
                      <w:szCs w:val="24"/>
                    </w:rPr>
                    <w:t xml:space="preserve"> or activity;</w:t>
                  </w:r>
                </w:p>
              </w:tc>
            </w:tr>
          </w:tbl>
          <w:p w14:paraId="152E2D41"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86"/>
            </w:tblGrid>
            <w:tr w:rsidR="00DB72C3" w:rsidRPr="00DB72C3" w14:paraId="14748677" w14:textId="77777777">
              <w:tc>
                <w:tcPr>
                  <w:tcW w:w="0" w:type="auto"/>
                  <w:shd w:val="clear" w:color="auto" w:fill="auto"/>
                  <w:hideMark/>
                </w:tcPr>
                <w:p w14:paraId="278AE52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1685575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difficulties in relation to partially or fully migrating the relevant data and workloads from the relevant ICT third-party service provider to another ICT third-party service provider, due either to significant financial costs, time or other resources that the migration process may entail, or to increased ICT risk or other operational risks to which the financial entity may be exposed through such migration.</w:t>
                  </w:r>
                </w:p>
              </w:tc>
            </w:tr>
          </w:tbl>
          <w:p w14:paraId="55573F3F"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3018498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Where the ICT third-party service provider belongs to a group, the criteria referred to in paragraph 2 shall be considered in relation to the ICT services provided by the group as a whole.</w:t>
      </w:r>
    </w:p>
    <w:p w14:paraId="2EC96C4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Critical ICT third-party service providers which are part of a group shall designate one legal person as a coordination point to ensure adequate representation and communication with the Lead Overseer.</w:t>
      </w:r>
    </w:p>
    <w:p w14:paraId="004AB38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The Lead Overseer shall notify the ICT third-party service provider of the outcome of the assessment leading to the designation referred in paragraph 1, point (a). Within 6 weeks from the date of the notification, the ICT third-party service provider may submit to the Lead Overseer a reasoned statement with any relevant information for the purposes of the assessment. The Lead Overseer shall consider the reasoned statement and may request additional information to be submitted within 30 calendar days of the receipt of such statement.</w:t>
      </w:r>
    </w:p>
    <w:p w14:paraId="4CD651E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After designating an ICT third-party service provider as critical, the ESAs, through the Joint Committee, shall notify the ICT third-party service provider of such designation and the starting date as from which they will effectively be subject to oversight activities. That starting date shall be no later than one month after the notification. The ICT third-party service provider shall notify the financial entities to which they provide services of their designation as critical.</w:t>
      </w:r>
    </w:p>
    <w:p w14:paraId="5511018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The Commission is empowered to adopt a delegated act in accordance with Article 57 to supplement this Regulation by specifying further the criteria referred to in paragraph 2 of this Article, by 17 July 2024.</w:t>
      </w:r>
    </w:p>
    <w:p w14:paraId="087494E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The designation referred to in paragraph 1, point (a), shall not be used until the Commission has adopted a delegated act in accordance with paragraph 6.</w:t>
      </w:r>
    </w:p>
    <w:p w14:paraId="7B80206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8.   The designation referred to in paragraph 1, point (a), shall not apply to the following:</w:t>
      </w:r>
    </w:p>
    <w:tbl>
      <w:tblPr>
        <w:tblW w:w="5000" w:type="pct"/>
        <w:tblCellMar>
          <w:left w:w="0" w:type="dxa"/>
          <w:right w:w="0" w:type="dxa"/>
        </w:tblCellMar>
        <w:tblLook w:val="04A0" w:firstRow="1" w:lastRow="0" w:firstColumn="1" w:lastColumn="0" w:noHBand="0" w:noVBand="1"/>
      </w:tblPr>
      <w:tblGrid>
        <w:gridCol w:w="321"/>
        <w:gridCol w:w="9039"/>
      </w:tblGrid>
      <w:tr w:rsidR="00DB72C3" w:rsidRPr="00DB72C3" w14:paraId="55E0179A" w14:textId="77777777" w:rsidTr="00DB72C3">
        <w:tc>
          <w:tcPr>
            <w:tcW w:w="0" w:type="auto"/>
            <w:shd w:val="clear" w:color="auto" w:fill="auto"/>
            <w:hideMark/>
          </w:tcPr>
          <w:p w14:paraId="7D66FC4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72E853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financial entities providing ICT services to other financial entities;</w:t>
            </w:r>
          </w:p>
        </w:tc>
      </w:tr>
    </w:tbl>
    <w:p w14:paraId="10F6487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94"/>
        <w:gridCol w:w="9066"/>
      </w:tblGrid>
      <w:tr w:rsidR="00DB72C3" w:rsidRPr="00DB72C3" w14:paraId="70536EB6" w14:textId="77777777" w:rsidTr="00DB72C3">
        <w:tc>
          <w:tcPr>
            <w:tcW w:w="0" w:type="auto"/>
            <w:shd w:val="clear" w:color="auto" w:fill="auto"/>
            <w:hideMark/>
          </w:tcPr>
          <w:p w14:paraId="5347993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7CCD70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providers that are subject to oversight frameworks established for the purposes of supporting the tasks referred to in Article 127(2) of the Treaty on the Functioning of the European Union;</w:t>
            </w:r>
          </w:p>
        </w:tc>
      </w:tr>
    </w:tbl>
    <w:p w14:paraId="4BCB3C5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921"/>
        <w:gridCol w:w="8439"/>
      </w:tblGrid>
      <w:tr w:rsidR="00DB72C3" w:rsidRPr="00DB72C3" w14:paraId="1621E318" w14:textId="77777777" w:rsidTr="00DB72C3">
        <w:tc>
          <w:tcPr>
            <w:tcW w:w="0" w:type="auto"/>
            <w:shd w:val="clear" w:color="auto" w:fill="auto"/>
            <w:hideMark/>
          </w:tcPr>
          <w:p w14:paraId="4ED5E78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7F20532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intra-group service providers;</w:t>
            </w:r>
          </w:p>
        </w:tc>
      </w:tr>
    </w:tbl>
    <w:p w14:paraId="2D11DBE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47"/>
        <w:gridCol w:w="9013"/>
      </w:tblGrid>
      <w:tr w:rsidR="00DB72C3" w:rsidRPr="00DB72C3" w14:paraId="129A7E7E" w14:textId="77777777" w:rsidTr="00DB72C3">
        <w:tc>
          <w:tcPr>
            <w:tcW w:w="0" w:type="auto"/>
            <w:shd w:val="clear" w:color="auto" w:fill="auto"/>
            <w:hideMark/>
          </w:tcPr>
          <w:p w14:paraId="212EBC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(iv)</w:t>
            </w:r>
          </w:p>
        </w:tc>
        <w:tc>
          <w:tcPr>
            <w:tcW w:w="0" w:type="auto"/>
            <w:shd w:val="clear" w:color="auto" w:fill="auto"/>
            <w:hideMark/>
          </w:tcPr>
          <w:p w14:paraId="18F5390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third-party service providers providing ICT services solely in one Member State to financial entities that are only active in that Member State.</w:t>
            </w:r>
          </w:p>
        </w:tc>
      </w:tr>
    </w:tbl>
    <w:p w14:paraId="4BF3684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9.   The ESAs, through the Joint Committee, shall establish, publish and update yearly the list of critical ICT third-party service providers at Union level.</w:t>
      </w:r>
    </w:p>
    <w:p w14:paraId="53F4A16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For the purposes of paragraph 1, point (a), competent authorities shall, on a yearly and aggregated basis, transmit the reports referred to in Article 28(3), third subparagraph, to the Oversight Forum established pursuant to Article 32. The Oversight Forum shall assess the ICT third-party dependencies of financial entities based on the information received from the competent authorities.</w:t>
      </w:r>
    </w:p>
    <w:p w14:paraId="6AE16B1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11.   The ICT third-party service providers that are not included in the list referred to in paragraph 9 may request to be designated as critical in accordance with paragraph 1, point (a).</w:t>
      </w:r>
    </w:p>
    <w:p w14:paraId="64D6872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 of the first subparagraph, the ICT third-party service provider shall submit a reasoned application to EBA, ESMA or EIOPA, which, through the Joint Committee, shall decide whether to designate that ICT third-party service provider as critical in accordance with paragraph 1, point (a).</w:t>
      </w:r>
    </w:p>
    <w:p w14:paraId="150AF04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decision referred to in the second subparagraph shall be adopted and notified to the ICT third-party service provider within 6 months of receipt of the application.</w:t>
      </w:r>
    </w:p>
    <w:p w14:paraId="5FB1A8B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12.   Financial entities shall only make use of the services of an ICT third-party service provider established in a third country and which has been designated as critical in accordance with paragraph 1, point (a), if the latter has established a subsidiary in the Union within the 12 months following the designation.</w:t>
      </w:r>
    </w:p>
    <w:p w14:paraId="3DA2602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13.   The critical ICT third-party service provider referred to in paragraph 12 shall notify the Lead Overseer of any changes to the structure of the management of the subsidiary established in the Union.</w:t>
      </w:r>
    </w:p>
    <w:p w14:paraId="194F92AF"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32</w:t>
      </w:r>
    </w:p>
    <w:p w14:paraId="1CBB073D"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Structure of the Oversight Framework</w:t>
      </w:r>
    </w:p>
    <w:p w14:paraId="4E11637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1.   The Joint Committee, in accordance with Article 57(1) of Regulations (EU) No 1093/2010, (EU) No 1094/2010 and (EU) No 1095/2010, shall establish the Oversight Forum as a sub-committee for the purposes of supporting the work of the Joint Committee and of the Lead Overseer referred to in Article 31(1), point (b), in the area of ICT third-party risk across financial sectors. The Oversight Forum shall prepare the draft joint positions and the draft common acts of the Joint Committee in that area.</w:t>
      </w:r>
    </w:p>
    <w:p w14:paraId="0C21777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Oversight Forum shall regularly discuss relevant developments on ICT risk and vulnerabilities and promote a consistent approach in the monitoring of ICT third-party risk at Union level.</w:t>
      </w:r>
    </w:p>
    <w:p w14:paraId="7AF0E2A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Oversight Forum shall, on a yearly basis, undertake a collective assessment of the results and findings of the oversight activities conducted for all critical ICT third-party service providers and promote coordination measures to increase the digital operational resilience of financial entities, foster best practices on addressing ICT concentration risk and explore mitigants for cross-sector risk transfers.</w:t>
      </w:r>
    </w:p>
    <w:p w14:paraId="0633F30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Oversight Forum shall submit comprehensive benchmarks for critical ICT third-party service providers to be adopted by the Joint Committee as joint positions of the ESAs in accordance with Article 56(1) of Regulations (EU) No 1093/2010, (EU) No 1094/2010 and (EU) No 1095/2010.</w:t>
      </w:r>
    </w:p>
    <w:p w14:paraId="11FEABE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The Oversight Forum shall be composed of:</w:t>
      </w:r>
    </w:p>
    <w:tbl>
      <w:tblPr>
        <w:tblW w:w="5000" w:type="pct"/>
        <w:tblCellMar>
          <w:left w:w="0" w:type="dxa"/>
          <w:right w:w="0" w:type="dxa"/>
        </w:tblCellMar>
        <w:tblLook w:val="04A0" w:firstRow="1" w:lastRow="0" w:firstColumn="1" w:lastColumn="0" w:noHBand="0" w:noVBand="1"/>
      </w:tblPr>
      <w:tblGrid>
        <w:gridCol w:w="787"/>
        <w:gridCol w:w="8573"/>
      </w:tblGrid>
      <w:tr w:rsidR="00DB72C3" w:rsidRPr="00DB72C3" w14:paraId="48465035" w14:textId="77777777" w:rsidTr="00DB72C3">
        <w:tc>
          <w:tcPr>
            <w:tcW w:w="0" w:type="auto"/>
            <w:shd w:val="clear" w:color="auto" w:fill="auto"/>
            <w:hideMark/>
          </w:tcPr>
          <w:p w14:paraId="7215B9B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683C5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Chairpersons of the ESAs;</w:t>
            </w:r>
          </w:p>
        </w:tc>
      </w:tr>
    </w:tbl>
    <w:p w14:paraId="4C7FEBF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2B1C0B1" w14:textId="77777777" w:rsidTr="00DB72C3">
        <w:tc>
          <w:tcPr>
            <w:tcW w:w="0" w:type="auto"/>
            <w:shd w:val="clear" w:color="auto" w:fill="auto"/>
            <w:hideMark/>
          </w:tcPr>
          <w:p w14:paraId="628BBC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5C35C1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one high-level representative from the current staff of the relevant competent authority referred to in Article 46 from each Member State;</w:t>
            </w:r>
          </w:p>
        </w:tc>
      </w:tr>
    </w:tbl>
    <w:p w14:paraId="083A1F5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1D08A12" w14:textId="77777777" w:rsidTr="00DB72C3">
        <w:tc>
          <w:tcPr>
            <w:tcW w:w="0" w:type="auto"/>
            <w:shd w:val="clear" w:color="auto" w:fill="auto"/>
            <w:hideMark/>
          </w:tcPr>
          <w:p w14:paraId="38D0382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707D05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Executive Directors of each ESA and one representative from the Commission, from the ESRB, from ECB and from ENISA as observers;</w:t>
            </w:r>
          </w:p>
        </w:tc>
      </w:tr>
    </w:tbl>
    <w:p w14:paraId="684DC70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2F37E35" w14:textId="77777777" w:rsidTr="00DB72C3">
        <w:tc>
          <w:tcPr>
            <w:tcW w:w="0" w:type="auto"/>
            <w:shd w:val="clear" w:color="auto" w:fill="auto"/>
            <w:hideMark/>
          </w:tcPr>
          <w:p w14:paraId="0AD9465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C6D2A1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where appropriate, one additional representative of a competent authority referred to in Article 46 from each Member State as observer;</w:t>
            </w:r>
          </w:p>
        </w:tc>
      </w:tr>
    </w:tbl>
    <w:p w14:paraId="223D7B4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1C4A611" w14:textId="77777777" w:rsidTr="00DB72C3">
        <w:tc>
          <w:tcPr>
            <w:tcW w:w="0" w:type="auto"/>
            <w:shd w:val="clear" w:color="auto" w:fill="auto"/>
            <w:hideMark/>
          </w:tcPr>
          <w:p w14:paraId="2BAF9D0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0B27D28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where applicable, one representative of the competent authorities designated or established in accordance with Directive (EU) 2022/2555 responsible for the supervision of an essential or important entity subject to that Directive, which has been designated as a critical ICT third-party service provider, as observer.</w:t>
            </w:r>
          </w:p>
        </w:tc>
      </w:tr>
    </w:tbl>
    <w:p w14:paraId="40239AE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Oversight Forum may, where appropriate, seek the advice of independent experts appointed in accordance with paragraph 6.</w:t>
      </w:r>
    </w:p>
    <w:p w14:paraId="30FADA7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Each Member State shall designate the relevant competent authority whose staff member shall be the high-level representative referred in paragraph 4, first subparagraph, point (b), and shall inform the Lead Overseer thereof.</w:t>
      </w:r>
    </w:p>
    <w:p w14:paraId="229B46A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The ESAs shall publish on their website the list of high-level representatives from the current staff of the relevant competent authority designated by Member States.</w:t>
      </w:r>
    </w:p>
    <w:p w14:paraId="39F1EBC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The independent experts referred to in paragraph 4, second subparagraph, shall be appointed by the Oversight Forum from a pool of experts selected following a public and transparent application process.</w:t>
      </w:r>
    </w:p>
    <w:p w14:paraId="10EE0D5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independent experts shall be appointed on the basis of their expertise in financial stability, digital operational resilience and ICT security matters. They shall act independently and objectively in the sole interest of the Union as a whole and shall neither seek nor take instructions from Union institutions or bodies, from any government of a Member State or from any other public or private body.</w:t>
      </w:r>
    </w:p>
    <w:p w14:paraId="1782FF0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In accordance with Article 16 of Regulations (EU) No 1093/2010, (EU) No 1094/2010 and (EU) No 1095/2010, the ESAs shall by 17 July 2024 issue, for the purposes of this Section, guidelines on the cooperation between the ESAs and the competent authorities covering the detailed procedures and conditions for the allocation and execution of tasks between competent authorities and the ESAs and the details on the exchanges of information which are necessary for competent authorities to ensure the follow-up of recommendations pursuant to Article 35(1), point (d), addressed to critical ICT third-party service providers.</w:t>
      </w:r>
    </w:p>
    <w:p w14:paraId="177F68E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The requirements set out in this Section shall be without prejudice to the application of Directive (EU) 2022/2555 and of other Union rules on oversight applicable to providers of cloud computing services.</w:t>
      </w:r>
    </w:p>
    <w:p w14:paraId="0DE7E47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9.   The ESAs, through the Joint Committee and based on preparatory work conducted by the Oversight Forum, shall, on yearly basis, submit a report on the application of this Section to the European Parliament, the Council and the Commission.</w:t>
      </w:r>
    </w:p>
    <w:p w14:paraId="1435A4AC"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33</w:t>
      </w:r>
    </w:p>
    <w:p w14:paraId="68FB075D"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Tasks of the Lead Overseer</w:t>
      </w:r>
    </w:p>
    <w:p w14:paraId="0156736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Lead Overseer, appointed in accordance with Article 31(1), point (b), shall conduct the oversight of the assigned critical ICT third-party service providers and shall be, for the purposes of all matters related to the oversight, the primary point of contact for those critical ICT third-party service providers.</w:t>
      </w:r>
    </w:p>
    <w:p w14:paraId="6C96BAA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For the purposes of paragraph 1, the Lead Overseer shall assess whether each critical ICT third-party service provider has in place comprehensive, sound and effective rules, procedures, mechanisms and arrangements to manage the ICT risk which it may pose to financial entities.</w:t>
      </w:r>
    </w:p>
    <w:p w14:paraId="6D831F8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The assessment referred to in the first subparagraph shall focus mainly on ICT services provided by the critical ICT third-party service provider supporting the critical or </w:t>
      </w:r>
      <w:r w:rsidRPr="00DB72C3">
        <w:rPr>
          <w:rFonts w:ascii="Times New Roman" w:eastAsia="Times New Roman" w:hAnsi="Times New Roman" w:cs="Times New Roman"/>
          <w:color w:val="333333"/>
          <w:sz w:val="27"/>
          <w:szCs w:val="27"/>
        </w:rPr>
        <w:lastRenderedPageBreak/>
        <w:t>important functions of financial entities. Where necessary to address all relevant risks, that assessment shall extend to ICT services supporting functions other than those that are critical or important.</w:t>
      </w:r>
    </w:p>
    <w:p w14:paraId="5A5EB19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assessment referred to in paragraph 2 shall cover:</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DA27477" w14:textId="77777777" w:rsidTr="00DB72C3">
        <w:tc>
          <w:tcPr>
            <w:tcW w:w="0" w:type="auto"/>
            <w:shd w:val="clear" w:color="auto" w:fill="auto"/>
            <w:hideMark/>
          </w:tcPr>
          <w:p w14:paraId="7DD036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7B9CAB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ICT requirements to ensure, in particular, the security, availability, continuity, scalability and quality of services which the critical ICT third-party service provider provides to financial entities, as well as the ability to maintain at all times high standards of availability, authenticity, integrity or confidentiality of data;</w:t>
            </w:r>
          </w:p>
        </w:tc>
      </w:tr>
    </w:tbl>
    <w:p w14:paraId="0C5AFCF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8DF6014" w14:textId="77777777" w:rsidTr="00DB72C3">
        <w:tc>
          <w:tcPr>
            <w:tcW w:w="0" w:type="auto"/>
            <w:shd w:val="clear" w:color="auto" w:fill="auto"/>
            <w:hideMark/>
          </w:tcPr>
          <w:p w14:paraId="19A703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72D88A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physical security contributing to ensuring the ICT security, including the security of premises, facilities, data </w:t>
            </w:r>
            <w:proofErr w:type="spellStart"/>
            <w:r w:rsidRPr="00DB72C3">
              <w:rPr>
                <w:rFonts w:ascii="Times New Roman" w:eastAsia="Times New Roman" w:hAnsi="Times New Roman" w:cs="Times New Roman"/>
                <w:sz w:val="24"/>
                <w:szCs w:val="24"/>
              </w:rPr>
              <w:t>centres</w:t>
            </w:r>
            <w:proofErr w:type="spellEnd"/>
            <w:r w:rsidRPr="00DB72C3">
              <w:rPr>
                <w:rFonts w:ascii="Times New Roman" w:eastAsia="Times New Roman" w:hAnsi="Times New Roman" w:cs="Times New Roman"/>
                <w:sz w:val="24"/>
                <w:szCs w:val="24"/>
              </w:rPr>
              <w:t>;</w:t>
            </w:r>
          </w:p>
        </w:tc>
      </w:tr>
    </w:tbl>
    <w:p w14:paraId="5C75C61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CEA2435" w14:textId="77777777" w:rsidTr="00DB72C3">
        <w:tc>
          <w:tcPr>
            <w:tcW w:w="0" w:type="auto"/>
            <w:shd w:val="clear" w:color="auto" w:fill="auto"/>
            <w:hideMark/>
          </w:tcPr>
          <w:p w14:paraId="2D3C5C1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FA6612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risk management processes, including ICT risk management policies, ICT business continuity policy and ICT response and recovery plans;</w:t>
            </w:r>
          </w:p>
        </w:tc>
      </w:tr>
    </w:tbl>
    <w:p w14:paraId="2D7BD5A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11BDD85" w14:textId="77777777" w:rsidTr="00DB72C3">
        <w:tc>
          <w:tcPr>
            <w:tcW w:w="0" w:type="auto"/>
            <w:shd w:val="clear" w:color="auto" w:fill="auto"/>
            <w:hideMark/>
          </w:tcPr>
          <w:p w14:paraId="02C03D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240B50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governance arrangements, including an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structure with clear, transparent and consistent lines of responsibility and accountability rules enabling effective ICT risk management;</w:t>
            </w:r>
          </w:p>
        </w:tc>
      </w:tr>
    </w:tbl>
    <w:p w14:paraId="050E2FC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5BEF450" w14:textId="77777777" w:rsidTr="00DB72C3">
        <w:tc>
          <w:tcPr>
            <w:tcW w:w="0" w:type="auto"/>
            <w:shd w:val="clear" w:color="auto" w:fill="auto"/>
            <w:hideMark/>
          </w:tcPr>
          <w:p w14:paraId="0C4CA8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73E1BA8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identification, monitoring and prompt reporting of material ICT-related incidents to financial entities, the management and resolution of those incidents, in particular cyber-attacks;</w:t>
            </w:r>
          </w:p>
        </w:tc>
      </w:tr>
    </w:tbl>
    <w:p w14:paraId="79AF7E5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06BA8371" w14:textId="77777777" w:rsidTr="00DB72C3">
        <w:tc>
          <w:tcPr>
            <w:tcW w:w="0" w:type="auto"/>
            <w:shd w:val="clear" w:color="auto" w:fill="auto"/>
            <w:hideMark/>
          </w:tcPr>
          <w:p w14:paraId="5C8EFB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74589E3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mechanisms for data portability, application portability and interoperability, which ensure an effective exercise of termination rights by the financial entities;</w:t>
            </w:r>
          </w:p>
        </w:tc>
      </w:tr>
    </w:tbl>
    <w:p w14:paraId="3C51496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75"/>
        <w:gridCol w:w="8885"/>
      </w:tblGrid>
      <w:tr w:rsidR="00DB72C3" w:rsidRPr="00DB72C3" w14:paraId="722C3E38" w14:textId="77777777" w:rsidTr="00DB72C3">
        <w:tc>
          <w:tcPr>
            <w:tcW w:w="0" w:type="auto"/>
            <w:shd w:val="clear" w:color="auto" w:fill="auto"/>
            <w:hideMark/>
          </w:tcPr>
          <w:p w14:paraId="157A26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0A1C13B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testing of ICT systems, infrastructure and controls;</w:t>
            </w:r>
          </w:p>
        </w:tc>
      </w:tr>
    </w:tbl>
    <w:p w14:paraId="265BF12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524"/>
        <w:gridCol w:w="7836"/>
      </w:tblGrid>
      <w:tr w:rsidR="00DB72C3" w:rsidRPr="00DB72C3" w14:paraId="571C2C11" w14:textId="77777777" w:rsidTr="00DB72C3">
        <w:tc>
          <w:tcPr>
            <w:tcW w:w="0" w:type="auto"/>
            <w:shd w:val="clear" w:color="auto" w:fill="auto"/>
            <w:hideMark/>
          </w:tcPr>
          <w:p w14:paraId="303EC33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w:t>
            </w:r>
          </w:p>
        </w:tc>
        <w:tc>
          <w:tcPr>
            <w:tcW w:w="0" w:type="auto"/>
            <w:shd w:val="clear" w:color="auto" w:fill="auto"/>
            <w:hideMark/>
          </w:tcPr>
          <w:p w14:paraId="72D4570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ICT audits;</w:t>
            </w:r>
          </w:p>
        </w:tc>
      </w:tr>
    </w:tbl>
    <w:p w14:paraId="6ED377B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5AA0207B" w14:textId="77777777" w:rsidTr="00DB72C3">
        <w:tc>
          <w:tcPr>
            <w:tcW w:w="0" w:type="auto"/>
            <w:shd w:val="clear" w:color="auto" w:fill="auto"/>
            <w:hideMark/>
          </w:tcPr>
          <w:p w14:paraId="41A59F9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09E96A4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use of relevant national and international standards applicable to the provision of its ICT services to the financial entities.</w:t>
            </w:r>
          </w:p>
        </w:tc>
      </w:tr>
    </w:tbl>
    <w:p w14:paraId="4C0AE8F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Based on the assessment referred to in paragraph 2, and in coordination with the Joint Oversight Network (JON) referred to in Article 34(1), the Lead Overseer shall adopt a clear, detailed and reasoned individual oversight plan describing the annual oversight objectives and the main oversight actions planned for each critical ICT third-party service provider. That plan shall be communicated yearly to the critical ICT third-party service provider.</w:t>
      </w:r>
    </w:p>
    <w:p w14:paraId="59986D9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Prior to the adoption of the oversight plan, the Lead Overseer shall communicate the draft oversight plan to the critical ICT third-party service provider.</w:t>
      </w:r>
    </w:p>
    <w:p w14:paraId="47B0876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Upon receipt of the draft oversight plan, the critical ICT third-party service provider may submit a reasoned statement within 15 calendar days evidencing the expected impact on customers which are entities falling outside of the scope of this Regulation and where appropriate, formulating solutions to mitigate risks.</w:t>
      </w:r>
    </w:p>
    <w:p w14:paraId="5A48576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5.   Once the annual oversight plans referred to in paragraph 4 have been adopted and notified to the critical ICT third-party service providers, competent authorities may take measures concerning such critical ICT third-party service providers only in agreement with the Lead Overseer.</w:t>
      </w:r>
    </w:p>
    <w:p w14:paraId="244F1A50"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34</w:t>
      </w:r>
    </w:p>
    <w:p w14:paraId="09B1328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Operational coordination between Lead Overseers</w:t>
      </w:r>
    </w:p>
    <w:p w14:paraId="6DEB1E4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To ensure a consistent approach to oversight activities and with a view to enabling coordinated general oversight strategies and cohesive operational approaches and work methodologies, the three Lead Overseers appointed in accordance with Article 31(1), point (b), shall set up a JON to coordinate among themselves in the preparatory stages and to coordinate the conduct of oversight activities over their respective overseen critical ICT third-party service providers, as well as in the course of any action that may be needed pursuant to Article 42.</w:t>
      </w:r>
    </w:p>
    <w:p w14:paraId="6FF4A7E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For the purposes of paragraph 1, the Lead Overseers shall draw up a common oversight protocol specifying the detailed procedures to be followed for carrying out the day-to-day coordination and for ensuring swift exchanges and reactions. The protocol shall be periodically revised to reflect operational needs, in particular the evolution of practical oversight arrangements.</w:t>
      </w:r>
    </w:p>
    <w:p w14:paraId="17DB73A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Lead Overseers may, on an ad-hoc basis, call on the ECB and ENISA to provide technical advice, share hands-on experience or join specific coordination meetings of the JON.</w:t>
      </w:r>
    </w:p>
    <w:p w14:paraId="58EFF8C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35</w:t>
      </w:r>
    </w:p>
    <w:p w14:paraId="0927A57D"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Powers of the Lead Overseer</w:t>
      </w:r>
    </w:p>
    <w:p w14:paraId="510472E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For the purposes of carrying out the duties laid down in this Section, the Lead Overseer shall have the following powers in respect of the critical ICT third-party service providers:</w:t>
      </w:r>
    </w:p>
    <w:tbl>
      <w:tblPr>
        <w:tblW w:w="5000" w:type="pct"/>
        <w:tblCellMar>
          <w:left w:w="0" w:type="dxa"/>
          <w:right w:w="0" w:type="dxa"/>
        </w:tblCellMar>
        <w:tblLook w:val="04A0" w:firstRow="1" w:lastRow="0" w:firstColumn="1" w:lastColumn="0" w:noHBand="0" w:noVBand="1"/>
      </w:tblPr>
      <w:tblGrid>
        <w:gridCol w:w="298"/>
        <w:gridCol w:w="9062"/>
      </w:tblGrid>
      <w:tr w:rsidR="00DB72C3" w:rsidRPr="00DB72C3" w14:paraId="47FD0689" w14:textId="77777777" w:rsidTr="00DB72C3">
        <w:tc>
          <w:tcPr>
            <w:tcW w:w="0" w:type="auto"/>
            <w:shd w:val="clear" w:color="auto" w:fill="auto"/>
            <w:hideMark/>
          </w:tcPr>
          <w:p w14:paraId="32B978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0487D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request all relevant information and documentation in accordance with Article 37;</w:t>
            </w:r>
          </w:p>
        </w:tc>
      </w:tr>
    </w:tbl>
    <w:p w14:paraId="50F09BB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EF0AA7F" w14:textId="77777777" w:rsidTr="00DB72C3">
        <w:tc>
          <w:tcPr>
            <w:tcW w:w="0" w:type="auto"/>
            <w:shd w:val="clear" w:color="auto" w:fill="auto"/>
            <w:hideMark/>
          </w:tcPr>
          <w:p w14:paraId="3993D06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6AE7C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conduct general investigations and inspections in accordance with Articles 38 and 39, respectively;</w:t>
            </w:r>
          </w:p>
        </w:tc>
      </w:tr>
    </w:tbl>
    <w:p w14:paraId="11C99AF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A81273B" w14:textId="77777777" w:rsidTr="00DB72C3">
        <w:tc>
          <w:tcPr>
            <w:tcW w:w="0" w:type="auto"/>
            <w:shd w:val="clear" w:color="auto" w:fill="auto"/>
            <w:hideMark/>
          </w:tcPr>
          <w:p w14:paraId="7E4B8F0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3BA3B4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request, after the completion of the oversight activities, reports specifying the actions that have been taken or the remedies that have been implemented by the critical ICT third-party service providers in relation to the recommendations referred to in point (d) of this paragraph;</w:t>
            </w:r>
          </w:p>
        </w:tc>
      </w:tr>
    </w:tbl>
    <w:p w14:paraId="17CAAF6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2145D02" w14:textId="77777777" w:rsidTr="00DB72C3">
        <w:tc>
          <w:tcPr>
            <w:tcW w:w="0" w:type="auto"/>
            <w:shd w:val="clear" w:color="auto" w:fill="auto"/>
            <w:hideMark/>
          </w:tcPr>
          <w:p w14:paraId="55B768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783369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to issue recommendations on the areas referred to in Article 33(3), in particular concerning the following:</w:t>
            </w:r>
          </w:p>
          <w:tbl>
            <w:tblPr>
              <w:tblW w:w="5000" w:type="pct"/>
              <w:tblCellMar>
                <w:left w:w="0" w:type="dxa"/>
                <w:right w:w="0" w:type="dxa"/>
              </w:tblCellMar>
              <w:tblLook w:val="04A0" w:firstRow="1" w:lastRow="0" w:firstColumn="1" w:lastColumn="0" w:noHBand="0" w:noVBand="1"/>
            </w:tblPr>
            <w:tblGrid>
              <w:gridCol w:w="227"/>
              <w:gridCol w:w="8853"/>
            </w:tblGrid>
            <w:tr w:rsidR="00DB72C3" w:rsidRPr="00DB72C3" w14:paraId="743D9CB8" w14:textId="77777777">
              <w:tc>
                <w:tcPr>
                  <w:tcW w:w="0" w:type="auto"/>
                  <w:shd w:val="clear" w:color="auto" w:fill="auto"/>
                  <w:hideMark/>
                </w:tcPr>
                <w:p w14:paraId="675C8F8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64FA5F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use of specific ICT security and quality requirements or processes, in particular in relation to the roll-out of patches, updates, encryption and other security measures which the Lead Overseer deems relevant for ensuring the ICT security of services provided to financial entities;</w:t>
                  </w:r>
                </w:p>
              </w:tc>
            </w:tr>
          </w:tbl>
          <w:p w14:paraId="7AB2387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86"/>
            </w:tblGrid>
            <w:tr w:rsidR="00DB72C3" w:rsidRPr="00DB72C3" w14:paraId="4FDB8EC0" w14:textId="77777777">
              <w:tc>
                <w:tcPr>
                  <w:tcW w:w="0" w:type="auto"/>
                  <w:shd w:val="clear" w:color="auto" w:fill="auto"/>
                  <w:hideMark/>
                </w:tcPr>
                <w:p w14:paraId="222C8C7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221662D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use of conditions and terms, including their technical implementation, under which the critical ICT third-party service providers provide ICT services to financial entities, which the Lead Overseer deems relevant for preventing the generation of single points of failure, the amplification thereof, or for </w:t>
                  </w:r>
                  <w:proofErr w:type="spellStart"/>
                  <w:r w:rsidRPr="00DB72C3">
                    <w:rPr>
                      <w:rFonts w:ascii="Times New Roman" w:eastAsia="Times New Roman" w:hAnsi="Times New Roman" w:cs="Times New Roman"/>
                      <w:sz w:val="24"/>
                      <w:szCs w:val="24"/>
                    </w:rPr>
                    <w:t>minimising</w:t>
                  </w:r>
                  <w:proofErr w:type="spellEnd"/>
                  <w:r w:rsidRPr="00DB72C3">
                    <w:rPr>
                      <w:rFonts w:ascii="Times New Roman" w:eastAsia="Times New Roman" w:hAnsi="Times New Roman" w:cs="Times New Roman"/>
                      <w:sz w:val="24"/>
                      <w:szCs w:val="24"/>
                    </w:rPr>
                    <w:t xml:space="preserve"> the possible systemic impact across the Union’s financial sector in the event of ICT concentration risk;</w:t>
                  </w:r>
                </w:p>
              </w:tc>
            </w:tr>
          </w:tbl>
          <w:p w14:paraId="35004D1E"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60"/>
              <w:gridCol w:w="8720"/>
            </w:tblGrid>
            <w:tr w:rsidR="00DB72C3" w:rsidRPr="00DB72C3" w14:paraId="541B9F38" w14:textId="77777777">
              <w:tc>
                <w:tcPr>
                  <w:tcW w:w="0" w:type="auto"/>
                  <w:shd w:val="clear" w:color="auto" w:fill="auto"/>
                  <w:hideMark/>
                </w:tcPr>
                <w:p w14:paraId="679B4AE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4B95FD1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any planned subcontracting, where the Lead Overseer deems that further subcontracting, including subcontracting arrangements which the critical ICT third-party service providers plan to enter into with ICT third-party service providers or with ICT subcontractors established in a third country, may trigger risks for the provision of services by the financial entity, or risks to the financial stability, based on the examination of the information gathered in accordance with Articles 37 and 38;</w:t>
                  </w:r>
                </w:p>
              </w:tc>
            </w:tr>
          </w:tbl>
          <w:p w14:paraId="42B7F9D7"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47"/>
              <w:gridCol w:w="8733"/>
            </w:tblGrid>
            <w:tr w:rsidR="00DB72C3" w:rsidRPr="00DB72C3" w14:paraId="1D60C78E" w14:textId="77777777">
              <w:tc>
                <w:tcPr>
                  <w:tcW w:w="0" w:type="auto"/>
                  <w:shd w:val="clear" w:color="auto" w:fill="auto"/>
                  <w:hideMark/>
                </w:tcPr>
                <w:p w14:paraId="26F8866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(iv)</w:t>
                  </w:r>
                </w:p>
              </w:tc>
              <w:tc>
                <w:tcPr>
                  <w:tcW w:w="0" w:type="auto"/>
                  <w:shd w:val="clear" w:color="auto" w:fill="auto"/>
                  <w:hideMark/>
                </w:tcPr>
                <w:p w14:paraId="2749A47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refraining from entering into a further subcontracting arrangement, where the following cumulative conditions are met:</w:t>
                  </w:r>
                </w:p>
                <w:tbl>
                  <w:tblPr>
                    <w:tblW w:w="5000" w:type="pct"/>
                    <w:tblCellMar>
                      <w:left w:w="0" w:type="dxa"/>
                      <w:right w:w="0" w:type="dxa"/>
                    </w:tblCellMar>
                    <w:tblLook w:val="04A0" w:firstRow="1" w:lastRow="0" w:firstColumn="1" w:lastColumn="0" w:noHBand="0" w:noVBand="1"/>
                  </w:tblPr>
                  <w:tblGrid>
                    <w:gridCol w:w="240"/>
                    <w:gridCol w:w="8493"/>
                  </w:tblGrid>
                  <w:tr w:rsidR="00DB72C3" w:rsidRPr="00DB72C3" w14:paraId="485FF4AF" w14:textId="77777777">
                    <w:tc>
                      <w:tcPr>
                        <w:tcW w:w="0" w:type="auto"/>
                        <w:shd w:val="clear" w:color="auto" w:fill="auto"/>
                        <w:hideMark/>
                      </w:tcPr>
                      <w:p w14:paraId="4F3845A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
                    </w:tc>
                    <w:tc>
                      <w:tcPr>
                        <w:tcW w:w="0" w:type="auto"/>
                        <w:shd w:val="clear" w:color="auto" w:fill="auto"/>
                        <w:hideMark/>
                      </w:tcPr>
                      <w:p w14:paraId="3CD4BCE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envisaged subcontractor is an ICT third-party service provider or an ICT subcontractor established in a third country;</w:t>
                        </w:r>
                      </w:p>
                    </w:tc>
                  </w:tr>
                </w:tbl>
                <w:p w14:paraId="243AC6B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48"/>
                    <w:gridCol w:w="8485"/>
                  </w:tblGrid>
                  <w:tr w:rsidR="00DB72C3" w:rsidRPr="00DB72C3" w14:paraId="2FCB8A1C" w14:textId="77777777">
                    <w:tc>
                      <w:tcPr>
                        <w:tcW w:w="0" w:type="auto"/>
                        <w:shd w:val="clear" w:color="auto" w:fill="auto"/>
                        <w:hideMark/>
                      </w:tcPr>
                      <w:p w14:paraId="7DE594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
                    </w:tc>
                    <w:tc>
                      <w:tcPr>
                        <w:tcW w:w="0" w:type="auto"/>
                        <w:shd w:val="clear" w:color="auto" w:fill="auto"/>
                        <w:hideMark/>
                      </w:tcPr>
                      <w:p w14:paraId="6B8A32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subcontracting concerns critical or important functions of the financial entity; and</w:t>
                        </w:r>
                      </w:p>
                    </w:tc>
                  </w:tr>
                </w:tbl>
                <w:p w14:paraId="2E7E3176"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40"/>
                    <w:gridCol w:w="8493"/>
                  </w:tblGrid>
                  <w:tr w:rsidR="00DB72C3" w:rsidRPr="00DB72C3" w14:paraId="7AC5E2FC" w14:textId="77777777">
                    <w:tc>
                      <w:tcPr>
                        <w:tcW w:w="0" w:type="auto"/>
                        <w:shd w:val="clear" w:color="auto" w:fill="auto"/>
                        <w:hideMark/>
                      </w:tcPr>
                      <w:p w14:paraId="3A3C34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
                    </w:tc>
                    <w:tc>
                      <w:tcPr>
                        <w:tcW w:w="0" w:type="auto"/>
                        <w:shd w:val="clear" w:color="auto" w:fill="auto"/>
                        <w:hideMark/>
                      </w:tcPr>
                      <w:p w14:paraId="32C2EB3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Lead Overseer deems that the use of such subcontracting poses a clear and serious risk to the financial stability of the Union or to financial entities, including to the ability of financial entities to comply with supervisory requirements.</w:t>
                        </w:r>
                      </w:p>
                    </w:tc>
                  </w:tr>
                </w:tbl>
                <w:p w14:paraId="14A1C720"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4D45D8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the purpose of point (iv) of this point, ICT third-party service providers shall, using the template referred to in Article 41(1), point (b), transmit the information regarding subcontracting to the Lead Overseer.</w:t>
            </w:r>
          </w:p>
        </w:tc>
      </w:tr>
    </w:tbl>
    <w:p w14:paraId="6240D73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2.   When exercising the powers referred to in this Article, the Lead Overseer shall:</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0AED7E8" w14:textId="77777777" w:rsidTr="00DB72C3">
        <w:tc>
          <w:tcPr>
            <w:tcW w:w="0" w:type="auto"/>
            <w:shd w:val="clear" w:color="auto" w:fill="auto"/>
            <w:hideMark/>
          </w:tcPr>
          <w:p w14:paraId="6C8D29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E795B4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ensure regular coordination within the JON, and in particular shall seek consistent approaches, as appropriate, with regard to the oversight of critical ICT third-party service providers;</w:t>
            </w:r>
          </w:p>
        </w:tc>
      </w:tr>
    </w:tbl>
    <w:p w14:paraId="1E9DAC8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65A6F25" w14:textId="77777777" w:rsidTr="00DB72C3">
        <w:tc>
          <w:tcPr>
            <w:tcW w:w="0" w:type="auto"/>
            <w:shd w:val="clear" w:color="auto" w:fill="auto"/>
            <w:hideMark/>
          </w:tcPr>
          <w:p w14:paraId="21F0C1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C424B9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take due account of the framework established by Directive (EU) 2022/2555 and, where necessary, consult the relevant competent authorities designated or established in accordance with that Directive, in order to avoid duplication of technical and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measures that might apply to critical ICT third-party service providers pursuant to that Directive;</w:t>
            </w:r>
          </w:p>
        </w:tc>
      </w:tr>
    </w:tbl>
    <w:p w14:paraId="5666940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D3772DE" w14:textId="77777777" w:rsidTr="00DB72C3">
        <w:tc>
          <w:tcPr>
            <w:tcW w:w="0" w:type="auto"/>
            <w:shd w:val="clear" w:color="auto" w:fill="auto"/>
            <w:hideMark/>
          </w:tcPr>
          <w:p w14:paraId="3849326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6B2032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seek to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to the extent possible, the risk of disruption to services provided by critical ICT third-party service providers to customers that are entities falling outside the scope of this Regulation.</w:t>
            </w:r>
          </w:p>
        </w:tc>
      </w:tr>
    </w:tbl>
    <w:p w14:paraId="633E8AE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The Lead Overseer shall consult the Oversight Forum before exercising the powers referred to in paragraph 1.</w:t>
      </w:r>
    </w:p>
    <w:p w14:paraId="7162F0F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Before issuing recommendations in accordance with paragraph 1, point (d), the Lead Overseer shall give the opportunity to the ICT third-party service provider to provide, within 30 calendar days, relevant information evidencing the expected impact on customers that are entities falling outside the scope of this Regulation and, where appropriate, formulating solutions to mitigate risks.</w:t>
      </w:r>
    </w:p>
    <w:p w14:paraId="7BC23C8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The Lead Overseer shall inform the JON of the outcome of the exercise of the powers referred to in paragraph 1, points (a) and (b). The Lead Overseer shall, without undue delay, transmit the reports referred to in paragraph 1, point (c), to the JON and to the competent authorities of the financial entities using the ICT services of that critical ICT third-party service provider.</w:t>
      </w:r>
    </w:p>
    <w:p w14:paraId="6598949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Critical ICT third-party service providers shall cooperate in good faith with the Lead Overseer, and assist it in the fulfilment of its tasks.</w:t>
      </w:r>
    </w:p>
    <w:p w14:paraId="2989D38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In the event of whole or partial non-compliance with the measures required to be taken pursuant to the exercise of the powers under paragraph 1, points (a), (b) and (c), and after the expiry of a period of at least 30 calendar days from the date on which the critical ICT third-party service provider received notification of the respective measures, the Lead Overseer shall adopt a decision imposing a periodic penalty payment to compel the critical ICT third-party service provider to comply with those measures.</w:t>
      </w:r>
    </w:p>
    <w:p w14:paraId="2783C37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The periodic penalty payment referred to in paragraph 6 shall be imposed on a daily basis until compliance is achieved and for no more than a period of six months following the notification of the decision to impose a periodic penalty payment to the critical ICT third-party service provider.</w:t>
      </w:r>
    </w:p>
    <w:p w14:paraId="04EFAB7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The amount of the periodic penalty payment, calculated from the date stipulated in the decision imposing the periodic penalty payment, shall be up to 1 % of the average daily worldwide turnover of the critical ICT third-party service provider in the preceding business year. When determining the amount of the penalty payment, the Lead Overseer shall take into account the following criteria regarding non-compliance with the measures referred to in paragraph 6:</w:t>
      </w:r>
    </w:p>
    <w:tbl>
      <w:tblPr>
        <w:tblW w:w="5000" w:type="pct"/>
        <w:tblCellMar>
          <w:left w:w="0" w:type="dxa"/>
          <w:right w:w="0" w:type="dxa"/>
        </w:tblCellMar>
        <w:tblLook w:val="04A0" w:firstRow="1" w:lastRow="0" w:firstColumn="1" w:lastColumn="0" w:noHBand="0" w:noVBand="1"/>
      </w:tblPr>
      <w:tblGrid>
        <w:gridCol w:w="515"/>
        <w:gridCol w:w="8845"/>
      </w:tblGrid>
      <w:tr w:rsidR="00DB72C3" w:rsidRPr="00DB72C3" w14:paraId="13C4C410" w14:textId="77777777" w:rsidTr="00DB72C3">
        <w:tc>
          <w:tcPr>
            <w:tcW w:w="0" w:type="auto"/>
            <w:shd w:val="clear" w:color="auto" w:fill="auto"/>
            <w:hideMark/>
          </w:tcPr>
          <w:p w14:paraId="7992B7C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CA0E6D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gravity and the duration of non-compliance;</w:t>
            </w:r>
          </w:p>
        </w:tc>
      </w:tr>
    </w:tbl>
    <w:p w14:paraId="7EA25A3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55"/>
        <w:gridCol w:w="9005"/>
      </w:tblGrid>
      <w:tr w:rsidR="00DB72C3" w:rsidRPr="00DB72C3" w14:paraId="024DA100" w14:textId="77777777" w:rsidTr="00DB72C3">
        <w:tc>
          <w:tcPr>
            <w:tcW w:w="0" w:type="auto"/>
            <w:shd w:val="clear" w:color="auto" w:fill="auto"/>
            <w:hideMark/>
          </w:tcPr>
          <w:p w14:paraId="356D2B2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81E6D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whether non-compliance has been committed intentionally or negligently;</w:t>
            </w:r>
          </w:p>
        </w:tc>
      </w:tr>
    </w:tbl>
    <w:p w14:paraId="772622D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8"/>
        <w:gridCol w:w="9072"/>
      </w:tblGrid>
      <w:tr w:rsidR="00DB72C3" w:rsidRPr="00DB72C3" w14:paraId="578DD13F" w14:textId="77777777" w:rsidTr="00DB72C3">
        <w:tc>
          <w:tcPr>
            <w:tcW w:w="0" w:type="auto"/>
            <w:shd w:val="clear" w:color="auto" w:fill="auto"/>
            <w:hideMark/>
          </w:tcPr>
          <w:p w14:paraId="0D13618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B917D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level of cooperation of the ICT third-party service provider with the Lead Overseer.</w:t>
            </w:r>
          </w:p>
        </w:tc>
      </w:tr>
    </w:tbl>
    <w:p w14:paraId="76A1417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the first subparagraph, in order to ensure a consistent approach, the Lead Overseer shall engage in consultation within the JON.</w:t>
      </w:r>
    </w:p>
    <w:p w14:paraId="23595B6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9.   Penalty payments shall be of an administrative nature and shall be enforceable. Enforcement shall be governed by the rules of civil procedure in force in the Member State on the territory of which inspections and access shall be carried out. Courts of the Member State concerned shall have jurisdiction over complaints related to irregular conduct of enforcement. The amounts of the penalty payments shall be allocated to the general budget of the European Union.</w:t>
      </w:r>
    </w:p>
    <w:p w14:paraId="361565B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10.   The Lead Overseer shall disclose to the public every periodic penalty payment that has been imposed, unless such disclosure would seriously </w:t>
      </w:r>
      <w:proofErr w:type="spellStart"/>
      <w:r w:rsidRPr="00DB72C3">
        <w:rPr>
          <w:rFonts w:ascii="Times New Roman" w:eastAsia="Times New Roman" w:hAnsi="Times New Roman" w:cs="Times New Roman"/>
          <w:color w:val="333333"/>
          <w:sz w:val="27"/>
          <w:szCs w:val="27"/>
        </w:rPr>
        <w:t>jeopardise</w:t>
      </w:r>
      <w:proofErr w:type="spellEnd"/>
      <w:r w:rsidRPr="00DB72C3">
        <w:rPr>
          <w:rFonts w:ascii="Times New Roman" w:eastAsia="Times New Roman" w:hAnsi="Times New Roman" w:cs="Times New Roman"/>
          <w:color w:val="333333"/>
          <w:sz w:val="27"/>
          <w:szCs w:val="27"/>
        </w:rPr>
        <w:t xml:space="preserve"> the financial markets or cause disproportionate damage to the parties involved.</w:t>
      </w:r>
    </w:p>
    <w:p w14:paraId="6DEB5C9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11.   Before imposing a periodic penalty payment under paragraph 6, the Lead Overseer shall give the representatives of the critical ICT third-party service provider subject to the proceedings the opportunity to be heard on the findings and shall base its decisions only on findings on which the critical ICT third-party service provider subject to the proceedings has had an opportunity to comment.</w:t>
      </w:r>
    </w:p>
    <w:p w14:paraId="794C018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The rights of the </w:t>
      </w:r>
      <w:proofErr w:type="spellStart"/>
      <w:r w:rsidRPr="00DB72C3">
        <w:rPr>
          <w:rFonts w:ascii="Times New Roman" w:eastAsia="Times New Roman" w:hAnsi="Times New Roman" w:cs="Times New Roman"/>
          <w:color w:val="333333"/>
          <w:sz w:val="27"/>
          <w:szCs w:val="27"/>
        </w:rPr>
        <w:t>defence</w:t>
      </w:r>
      <w:proofErr w:type="spellEnd"/>
      <w:r w:rsidRPr="00DB72C3">
        <w:rPr>
          <w:rFonts w:ascii="Times New Roman" w:eastAsia="Times New Roman" w:hAnsi="Times New Roman" w:cs="Times New Roman"/>
          <w:color w:val="333333"/>
          <w:sz w:val="27"/>
          <w:szCs w:val="27"/>
        </w:rPr>
        <w:t xml:space="preserve"> of the persons subject to the proceedings shall be fully respected in the proceedings. The critical ICT third-party service provider subject to the proceedings shall be entitled to have access to the file, subject to the legitimate interest of other persons in the protection of their business secrets. The right of access to the file shall not extend to confidential information or to the Lead Overseer’s internal preparatory documents.</w:t>
      </w:r>
    </w:p>
    <w:p w14:paraId="73E31E1C"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36</w:t>
      </w:r>
    </w:p>
    <w:p w14:paraId="6B070D6F"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Exercise of the powers of the Lead Overseer outside the Union</w:t>
      </w:r>
    </w:p>
    <w:p w14:paraId="089B3F8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When oversight objectives cannot be attained by means of interacting with the subsidiary set up for the purpose of Article 31(12), or by exercising oversight activities on premises located in the Union, the Lead Overseer may exercise the powers, referred to in the following provisions, on any premises located in a third-country which is owned, or used in any way, for the purposes of providing services to Union financial entities, by a critical ICT third-party service provider, in connection with its business operations, functions or services, including any administrative, business or operational offices, premises, lands, buildings or other properties:</w:t>
      </w:r>
    </w:p>
    <w:tbl>
      <w:tblPr>
        <w:tblW w:w="5000" w:type="pct"/>
        <w:tblCellMar>
          <w:left w:w="0" w:type="dxa"/>
          <w:right w:w="0" w:type="dxa"/>
        </w:tblCellMar>
        <w:tblLook w:val="04A0" w:firstRow="1" w:lastRow="0" w:firstColumn="1" w:lastColumn="0" w:noHBand="0" w:noVBand="1"/>
      </w:tblPr>
      <w:tblGrid>
        <w:gridCol w:w="788"/>
        <w:gridCol w:w="8572"/>
      </w:tblGrid>
      <w:tr w:rsidR="00DB72C3" w:rsidRPr="00DB72C3" w14:paraId="41C5BB4B" w14:textId="77777777" w:rsidTr="00DB72C3">
        <w:tc>
          <w:tcPr>
            <w:tcW w:w="0" w:type="auto"/>
            <w:shd w:val="clear" w:color="auto" w:fill="auto"/>
            <w:hideMark/>
          </w:tcPr>
          <w:p w14:paraId="46E00C2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C3F41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Article 35(1), point (a); and</w:t>
            </w:r>
          </w:p>
        </w:tc>
      </w:tr>
    </w:tbl>
    <w:p w14:paraId="59AF051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49B7765" w14:textId="77777777" w:rsidTr="00DB72C3">
        <w:tc>
          <w:tcPr>
            <w:tcW w:w="0" w:type="auto"/>
            <w:shd w:val="clear" w:color="auto" w:fill="auto"/>
            <w:hideMark/>
          </w:tcPr>
          <w:p w14:paraId="2A63ED5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69531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Article 35(1), point (b), in accordance with Article 38(2), points (a), (b) and (d), and in Article 39(1) and (2), point (a).</w:t>
            </w:r>
          </w:p>
        </w:tc>
      </w:tr>
    </w:tbl>
    <w:p w14:paraId="4B4030D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powers referred to in the first subparagraph may be exercised subject to all of the following conditions:</w:t>
      </w: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7960AF35" w14:textId="77777777" w:rsidTr="00DB72C3">
        <w:tc>
          <w:tcPr>
            <w:tcW w:w="0" w:type="auto"/>
            <w:shd w:val="clear" w:color="auto" w:fill="auto"/>
            <w:hideMark/>
          </w:tcPr>
          <w:p w14:paraId="789F599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143CBE6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conduct of an inspection in a third-country is deemed necessary by the Lead Overseer to allow it to fully and effectively perform its duties under this Regulation;</w:t>
            </w:r>
          </w:p>
        </w:tc>
      </w:tr>
    </w:tbl>
    <w:p w14:paraId="0D2E7CE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94"/>
        <w:gridCol w:w="9066"/>
      </w:tblGrid>
      <w:tr w:rsidR="00DB72C3" w:rsidRPr="00DB72C3" w14:paraId="27716930" w14:textId="77777777" w:rsidTr="00DB72C3">
        <w:tc>
          <w:tcPr>
            <w:tcW w:w="0" w:type="auto"/>
            <w:shd w:val="clear" w:color="auto" w:fill="auto"/>
            <w:hideMark/>
          </w:tcPr>
          <w:p w14:paraId="4B79FB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21ADE6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inspection in a third-country is directly related to the provision of ICT services to financial entities in the Union;</w:t>
            </w:r>
          </w:p>
        </w:tc>
      </w:tr>
    </w:tbl>
    <w:p w14:paraId="44DD2D5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60"/>
        <w:gridCol w:w="9000"/>
      </w:tblGrid>
      <w:tr w:rsidR="00DB72C3" w:rsidRPr="00DB72C3" w14:paraId="1A1B6D3B" w14:textId="77777777" w:rsidTr="00DB72C3">
        <w:tc>
          <w:tcPr>
            <w:tcW w:w="0" w:type="auto"/>
            <w:shd w:val="clear" w:color="auto" w:fill="auto"/>
            <w:hideMark/>
          </w:tcPr>
          <w:p w14:paraId="7421CA8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(iii)</w:t>
            </w:r>
          </w:p>
        </w:tc>
        <w:tc>
          <w:tcPr>
            <w:tcW w:w="0" w:type="auto"/>
            <w:shd w:val="clear" w:color="auto" w:fill="auto"/>
            <w:hideMark/>
          </w:tcPr>
          <w:p w14:paraId="4F62BDE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critical ICT third-party service provider concerned consents to the conduct of an inspection in a third-country; and</w:t>
            </w:r>
          </w:p>
        </w:tc>
      </w:tr>
    </w:tbl>
    <w:p w14:paraId="293A3A0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47"/>
        <w:gridCol w:w="9013"/>
      </w:tblGrid>
      <w:tr w:rsidR="00DB72C3" w:rsidRPr="00DB72C3" w14:paraId="625962F7" w14:textId="77777777" w:rsidTr="00DB72C3">
        <w:tc>
          <w:tcPr>
            <w:tcW w:w="0" w:type="auto"/>
            <w:shd w:val="clear" w:color="auto" w:fill="auto"/>
            <w:hideMark/>
          </w:tcPr>
          <w:p w14:paraId="39D06D2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(iv)</w:t>
            </w:r>
          </w:p>
        </w:tc>
        <w:tc>
          <w:tcPr>
            <w:tcW w:w="0" w:type="auto"/>
            <w:shd w:val="clear" w:color="auto" w:fill="auto"/>
            <w:hideMark/>
          </w:tcPr>
          <w:p w14:paraId="0BF8C99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relevant authority of the third-country concerned has been officially notified by the Lead Overseer and raised no objection thereto.</w:t>
            </w:r>
          </w:p>
        </w:tc>
      </w:tr>
    </w:tbl>
    <w:p w14:paraId="1A368CC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Without prejudice to the respective competences of the Union institutions and of Member States, for the purposes of paragraph 1, EBA, ESMA or EIOPA shall conclude administrative cooperation arrangements with the relevant authority of the third country in order to enable the smooth conduct of inspections in the third country concerned by the Lead Overseer and its designated team for its mission in that third country. Those cooperation arrangements shall not create legal obligations in respect of the Union and its Member States nor shall they prevent Member States and their competent authorities from concluding bilateral or multilateral arrangements with those third countries and their relevant authorities.</w:t>
      </w:r>
    </w:p>
    <w:p w14:paraId="39C3691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Those cooperation arrangements shall specify at least the following elements: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FF5C052" w14:textId="77777777" w:rsidTr="00DB72C3">
        <w:tc>
          <w:tcPr>
            <w:tcW w:w="0" w:type="auto"/>
            <w:shd w:val="clear" w:color="auto" w:fill="auto"/>
            <w:hideMark/>
          </w:tcPr>
          <w:p w14:paraId="18A4479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15A4AD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procedures for the coordination of oversight activities carried out under this Regulation and any analogous monitoring of ICT third-party risk in the financial sector exercised by the relevant authority of the third country concerned, including details for transmitting the agreement of the latter to allow the conduct, by the Lead Overseer and its designated team, of general investigations and on-site inspections as referred to in paragraph 1, first subparagraph, on the territory under its jurisdiction;</w:t>
            </w:r>
          </w:p>
        </w:tc>
      </w:tr>
    </w:tbl>
    <w:p w14:paraId="01DFD5D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43BE770" w14:textId="77777777" w:rsidTr="00DB72C3">
        <w:tc>
          <w:tcPr>
            <w:tcW w:w="0" w:type="auto"/>
            <w:shd w:val="clear" w:color="auto" w:fill="auto"/>
            <w:hideMark/>
          </w:tcPr>
          <w:p w14:paraId="031B80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12F076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mechanism for the transmission of any relevant information between EBA, ESMA or EIOPA and the relevant authority of the third country concerned, in particular in connection with information that may be requested by the Lead Overseer pursuant to Article 37;</w:t>
            </w:r>
          </w:p>
        </w:tc>
      </w:tr>
    </w:tbl>
    <w:p w14:paraId="592A6A8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8A2288B" w14:textId="77777777" w:rsidTr="00DB72C3">
        <w:tc>
          <w:tcPr>
            <w:tcW w:w="0" w:type="auto"/>
            <w:shd w:val="clear" w:color="auto" w:fill="auto"/>
            <w:hideMark/>
          </w:tcPr>
          <w:p w14:paraId="4B45E21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53002BE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mechanisms for the prompt notification by the relevant authority of the third-country concerned to EBA, ESMA or EIOPA of cases where an ICT third-party service provider established in a third country and designated as critical in accordance with Article 31(1), point (a), is deemed to have infringed the requirements to which it is obliged to adhere pursuant to the applicable law of the third country concerned when providing services to financial institutions in that third country, as well as the remedies and penalties applied;</w:t>
            </w:r>
          </w:p>
        </w:tc>
      </w:tr>
    </w:tbl>
    <w:p w14:paraId="0FFA499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101FF64" w14:textId="77777777" w:rsidTr="00DB72C3">
        <w:tc>
          <w:tcPr>
            <w:tcW w:w="0" w:type="auto"/>
            <w:shd w:val="clear" w:color="auto" w:fill="auto"/>
            <w:hideMark/>
          </w:tcPr>
          <w:p w14:paraId="0FE611A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084102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regular transmission of updates on regulatory or supervisory developments on the monitoring of ICT third-party risk of financial institutions in the third country concerned;</w:t>
            </w:r>
          </w:p>
        </w:tc>
      </w:tr>
    </w:tbl>
    <w:p w14:paraId="04AF7AB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BF7C5B3" w14:textId="77777777" w:rsidTr="00DB72C3">
        <w:tc>
          <w:tcPr>
            <w:tcW w:w="0" w:type="auto"/>
            <w:shd w:val="clear" w:color="auto" w:fill="auto"/>
            <w:hideMark/>
          </w:tcPr>
          <w:p w14:paraId="5B0495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59EB1E5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details for allowing, if needed, the participation of one representative of the relevant third-country authority in the inspections conducted by the Lead Overseer and the designated team.</w:t>
            </w:r>
          </w:p>
        </w:tc>
      </w:tr>
    </w:tbl>
    <w:p w14:paraId="5B68328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When the Lead Overseer is not able to conduct oversight activities outside the Union, referred to in paragraphs 1 and 2, the Lead Overseer shall:</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3829253" w14:textId="77777777" w:rsidTr="00DB72C3">
        <w:tc>
          <w:tcPr>
            <w:tcW w:w="0" w:type="auto"/>
            <w:shd w:val="clear" w:color="auto" w:fill="auto"/>
            <w:hideMark/>
          </w:tcPr>
          <w:p w14:paraId="476832D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37390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exercise its powers under Article 35 on the basis of all facts and documents available to it;</w:t>
            </w:r>
          </w:p>
        </w:tc>
      </w:tr>
    </w:tbl>
    <w:p w14:paraId="43341A3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B55C33B" w14:textId="77777777" w:rsidTr="00DB72C3">
        <w:tc>
          <w:tcPr>
            <w:tcW w:w="0" w:type="auto"/>
            <w:shd w:val="clear" w:color="auto" w:fill="auto"/>
            <w:hideMark/>
          </w:tcPr>
          <w:p w14:paraId="40DECCA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E5E1B9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document and explain any consequence of its inability to conduct the envisaged oversight activities as referred to in this Article.</w:t>
            </w:r>
          </w:p>
        </w:tc>
      </w:tr>
    </w:tbl>
    <w:p w14:paraId="642F719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potential consequences referred to in point (b) of this paragraph shall be taken into consideration in the Lead Overseer’s recommendations issued pursuant to Article 35(1), point (d).</w:t>
      </w:r>
    </w:p>
    <w:p w14:paraId="0B24BE4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37</w:t>
      </w:r>
    </w:p>
    <w:p w14:paraId="1BA4E4F7"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Request for information</w:t>
      </w:r>
    </w:p>
    <w:p w14:paraId="1FF0A78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Lead Overseer may, by simple request or by decision, require critical ICT third-party service providers to provide all information that is necessary for the Lead Overseer to carry out its duties under this Regulation, including all relevant business or operational documents, contracts, policies, documentation, ICT security audit reports, ICT-related incident reports, as well as any information relating to parties to whom the critical ICT third-party service provider has outsourced operational functions or activities.</w:t>
      </w:r>
    </w:p>
    <w:p w14:paraId="6E57D10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When sending a simple request for information under paragraph 1, the Lead Overseer shall:</w:t>
      </w:r>
    </w:p>
    <w:tbl>
      <w:tblPr>
        <w:tblW w:w="5000" w:type="pct"/>
        <w:tblCellMar>
          <w:left w:w="0" w:type="dxa"/>
          <w:right w:w="0" w:type="dxa"/>
        </w:tblCellMar>
        <w:tblLook w:val="04A0" w:firstRow="1" w:lastRow="0" w:firstColumn="1" w:lastColumn="0" w:noHBand="0" w:noVBand="1"/>
      </w:tblPr>
      <w:tblGrid>
        <w:gridCol w:w="479"/>
        <w:gridCol w:w="8881"/>
      </w:tblGrid>
      <w:tr w:rsidR="00DB72C3" w:rsidRPr="00DB72C3" w14:paraId="3E592952" w14:textId="77777777" w:rsidTr="00DB72C3">
        <w:tc>
          <w:tcPr>
            <w:tcW w:w="0" w:type="auto"/>
            <w:shd w:val="clear" w:color="auto" w:fill="auto"/>
            <w:hideMark/>
          </w:tcPr>
          <w:p w14:paraId="39FB55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9FEC8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refer to this Article as the legal basis of the request;</w:t>
            </w:r>
          </w:p>
        </w:tc>
      </w:tr>
    </w:tbl>
    <w:p w14:paraId="7D92F5B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788"/>
        <w:gridCol w:w="8572"/>
      </w:tblGrid>
      <w:tr w:rsidR="00DB72C3" w:rsidRPr="00DB72C3" w14:paraId="1263FB64" w14:textId="77777777" w:rsidTr="00DB72C3">
        <w:tc>
          <w:tcPr>
            <w:tcW w:w="0" w:type="auto"/>
            <w:shd w:val="clear" w:color="auto" w:fill="auto"/>
            <w:hideMark/>
          </w:tcPr>
          <w:p w14:paraId="09EA7A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373F3F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state the purpose of the request;</w:t>
            </w:r>
          </w:p>
        </w:tc>
      </w:tr>
    </w:tbl>
    <w:p w14:paraId="20AFF3F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53"/>
        <w:gridCol w:w="8707"/>
      </w:tblGrid>
      <w:tr w:rsidR="00DB72C3" w:rsidRPr="00DB72C3" w14:paraId="4D87DECE" w14:textId="77777777" w:rsidTr="00DB72C3">
        <w:tc>
          <w:tcPr>
            <w:tcW w:w="0" w:type="auto"/>
            <w:shd w:val="clear" w:color="auto" w:fill="auto"/>
            <w:hideMark/>
          </w:tcPr>
          <w:p w14:paraId="192DF20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12AB37C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what information is required;</w:t>
            </w:r>
          </w:p>
        </w:tc>
      </w:tr>
    </w:tbl>
    <w:p w14:paraId="707B54E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15"/>
        <w:gridCol w:w="8945"/>
      </w:tblGrid>
      <w:tr w:rsidR="00DB72C3" w:rsidRPr="00DB72C3" w14:paraId="6263829E" w14:textId="77777777" w:rsidTr="00DB72C3">
        <w:tc>
          <w:tcPr>
            <w:tcW w:w="0" w:type="auto"/>
            <w:shd w:val="clear" w:color="auto" w:fill="auto"/>
            <w:hideMark/>
          </w:tcPr>
          <w:p w14:paraId="467635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3FE8D5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 a time limit within which the information is to be provided;</w:t>
            </w:r>
          </w:p>
        </w:tc>
      </w:tr>
    </w:tbl>
    <w:p w14:paraId="1E96D6F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13D08499" w14:textId="77777777" w:rsidTr="00DB72C3">
        <w:tc>
          <w:tcPr>
            <w:tcW w:w="0" w:type="auto"/>
            <w:shd w:val="clear" w:color="auto" w:fill="auto"/>
            <w:hideMark/>
          </w:tcPr>
          <w:p w14:paraId="1BC1AD5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702343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inform the representative of the critical ICT third-party service provider from whom the information is requested that he or she is not obliged to provide the information, but in the event of a voluntary reply to the request the information provided must not be incorrect or misleading.</w:t>
            </w:r>
          </w:p>
        </w:tc>
      </w:tr>
    </w:tbl>
    <w:p w14:paraId="417B95A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When requiring by decision to supply information under paragraph 1, the Lead Overseer shall:</w:t>
      </w:r>
    </w:p>
    <w:tbl>
      <w:tblPr>
        <w:tblW w:w="5000" w:type="pct"/>
        <w:tblCellMar>
          <w:left w:w="0" w:type="dxa"/>
          <w:right w:w="0" w:type="dxa"/>
        </w:tblCellMar>
        <w:tblLook w:val="04A0" w:firstRow="1" w:lastRow="0" w:firstColumn="1" w:lastColumn="0" w:noHBand="0" w:noVBand="1"/>
      </w:tblPr>
      <w:tblGrid>
        <w:gridCol w:w="479"/>
        <w:gridCol w:w="8881"/>
      </w:tblGrid>
      <w:tr w:rsidR="00DB72C3" w:rsidRPr="00DB72C3" w14:paraId="53CA5E84" w14:textId="77777777" w:rsidTr="00DB72C3">
        <w:tc>
          <w:tcPr>
            <w:tcW w:w="0" w:type="auto"/>
            <w:shd w:val="clear" w:color="auto" w:fill="auto"/>
            <w:hideMark/>
          </w:tcPr>
          <w:p w14:paraId="3D29311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04CF7C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refer to this Article as the legal basis of the request;</w:t>
            </w:r>
          </w:p>
        </w:tc>
      </w:tr>
    </w:tbl>
    <w:p w14:paraId="1598C3E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788"/>
        <w:gridCol w:w="8572"/>
      </w:tblGrid>
      <w:tr w:rsidR="00DB72C3" w:rsidRPr="00DB72C3" w14:paraId="23107006" w14:textId="77777777" w:rsidTr="00DB72C3">
        <w:tc>
          <w:tcPr>
            <w:tcW w:w="0" w:type="auto"/>
            <w:shd w:val="clear" w:color="auto" w:fill="auto"/>
            <w:hideMark/>
          </w:tcPr>
          <w:p w14:paraId="20A00F2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771C7F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state the purpose of the request;</w:t>
            </w:r>
          </w:p>
        </w:tc>
      </w:tr>
    </w:tbl>
    <w:p w14:paraId="48A6593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53"/>
        <w:gridCol w:w="8707"/>
      </w:tblGrid>
      <w:tr w:rsidR="00DB72C3" w:rsidRPr="00DB72C3" w14:paraId="6E71160E" w14:textId="77777777" w:rsidTr="00DB72C3">
        <w:tc>
          <w:tcPr>
            <w:tcW w:w="0" w:type="auto"/>
            <w:shd w:val="clear" w:color="auto" w:fill="auto"/>
            <w:hideMark/>
          </w:tcPr>
          <w:p w14:paraId="30BA68C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A5373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specify what information is required;</w:t>
            </w:r>
          </w:p>
        </w:tc>
      </w:tr>
    </w:tbl>
    <w:p w14:paraId="0368059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15"/>
        <w:gridCol w:w="8945"/>
      </w:tblGrid>
      <w:tr w:rsidR="00DB72C3" w:rsidRPr="00DB72C3" w14:paraId="4751FA15" w14:textId="77777777" w:rsidTr="00DB72C3">
        <w:tc>
          <w:tcPr>
            <w:tcW w:w="0" w:type="auto"/>
            <w:shd w:val="clear" w:color="auto" w:fill="auto"/>
            <w:hideMark/>
          </w:tcPr>
          <w:p w14:paraId="48ABE2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050FB9A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set a time limit within which the information is to be provided;</w:t>
            </w:r>
          </w:p>
        </w:tc>
      </w:tr>
    </w:tbl>
    <w:p w14:paraId="2EF3DD3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84B42C8" w14:textId="77777777" w:rsidTr="00DB72C3">
        <w:tc>
          <w:tcPr>
            <w:tcW w:w="0" w:type="auto"/>
            <w:shd w:val="clear" w:color="auto" w:fill="auto"/>
            <w:hideMark/>
          </w:tcPr>
          <w:p w14:paraId="5C7B05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(e)</w:t>
            </w:r>
          </w:p>
        </w:tc>
        <w:tc>
          <w:tcPr>
            <w:tcW w:w="0" w:type="auto"/>
            <w:shd w:val="clear" w:color="auto" w:fill="auto"/>
            <w:hideMark/>
          </w:tcPr>
          <w:p w14:paraId="76A08CE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indicate the periodic penalty payments provided for in Article 35(6) where the production of the required information is incomplete or when such information is not provided within the time limit referred to in point (d) of this paragraph;</w:t>
            </w:r>
          </w:p>
        </w:tc>
      </w:tr>
    </w:tbl>
    <w:p w14:paraId="4A4DAEA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717DC160" w14:textId="77777777" w:rsidTr="00DB72C3">
        <w:tc>
          <w:tcPr>
            <w:tcW w:w="0" w:type="auto"/>
            <w:shd w:val="clear" w:color="auto" w:fill="auto"/>
            <w:hideMark/>
          </w:tcPr>
          <w:p w14:paraId="2132E9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392C3F1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indicate the right to appeal the decision to ESA’s Board of Appeal and to have the decision reviewed by the Court of Justice of the European Union (Court of Justice) in accordance with Articles 60 and 61 of Regulations (EU) No 1093/2010, (EU) No 1094/2010 and (EU) No 1095/2010.</w:t>
            </w:r>
          </w:p>
        </w:tc>
      </w:tr>
    </w:tbl>
    <w:p w14:paraId="0070868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4.   The representatives of the critical ICT third-party service providers shall supply the information requested. Lawyers duly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to act may supply the information on behalf of their clients. The critical ICT third-party service provider shall remain fully responsible if the information supplied is incomplete, incorrect or misleading.</w:t>
      </w:r>
    </w:p>
    <w:p w14:paraId="77E585E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The Lead Overseer shall, without delay, transmit a copy of the decision to supply information to the competent authorities of the financial entities using the services of the relevant critical ICT third-party service providers and to the JON.</w:t>
      </w:r>
    </w:p>
    <w:p w14:paraId="3B4E530C"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38</w:t>
      </w:r>
    </w:p>
    <w:p w14:paraId="46D4C2DC"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General investigations</w:t>
      </w:r>
    </w:p>
    <w:p w14:paraId="6B44410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In order to carry out its duties under this Regulation, the Lead Overseer, assisted by the joint examination team referred to in Article 40(1), may, where necessary, conduct investigations of critical ICT third-party service providers.</w:t>
      </w:r>
    </w:p>
    <w:p w14:paraId="34803C0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Lead Overseer shall have the power to:</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9DFBA06" w14:textId="77777777" w:rsidTr="00DB72C3">
        <w:tc>
          <w:tcPr>
            <w:tcW w:w="0" w:type="auto"/>
            <w:shd w:val="clear" w:color="auto" w:fill="auto"/>
            <w:hideMark/>
          </w:tcPr>
          <w:p w14:paraId="368AD9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7CE21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examine records, data, procedures and any other material relevant to the execution of its tasks, irrespective of the medium on which they are stored;</w:t>
            </w:r>
          </w:p>
        </w:tc>
      </w:tr>
    </w:tbl>
    <w:p w14:paraId="66F03D1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6E65520" w14:textId="77777777" w:rsidTr="00DB72C3">
        <w:tc>
          <w:tcPr>
            <w:tcW w:w="0" w:type="auto"/>
            <w:shd w:val="clear" w:color="auto" w:fill="auto"/>
            <w:hideMark/>
          </w:tcPr>
          <w:p w14:paraId="29655F9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1103C4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take or obtain certified copies of, or extracts from, such records, data, documented procedures and any other material;</w:t>
            </w:r>
          </w:p>
        </w:tc>
      </w:tr>
    </w:tbl>
    <w:p w14:paraId="5D5C8FD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660FD44" w14:textId="77777777" w:rsidTr="00DB72C3">
        <w:tc>
          <w:tcPr>
            <w:tcW w:w="0" w:type="auto"/>
            <w:shd w:val="clear" w:color="auto" w:fill="auto"/>
            <w:hideMark/>
          </w:tcPr>
          <w:p w14:paraId="4306A4B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0EAAF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summon representatives of the critical ICT third-party service provider for oral or written explanations on facts or documents relating to the subject matter and purpose of the investigation and to record the answers;</w:t>
            </w:r>
          </w:p>
        </w:tc>
      </w:tr>
    </w:tbl>
    <w:p w14:paraId="01E1200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2C02EA6" w14:textId="77777777" w:rsidTr="00DB72C3">
        <w:tc>
          <w:tcPr>
            <w:tcW w:w="0" w:type="auto"/>
            <w:shd w:val="clear" w:color="auto" w:fill="auto"/>
            <w:hideMark/>
          </w:tcPr>
          <w:p w14:paraId="3497606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2E5AF6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interview any other natural or legal person who consents to be interviewed for the purpose of collecting information relating to the subject matter of an investigation;</w:t>
            </w:r>
          </w:p>
        </w:tc>
      </w:tr>
    </w:tbl>
    <w:p w14:paraId="51CA91D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49"/>
        <w:gridCol w:w="8811"/>
      </w:tblGrid>
      <w:tr w:rsidR="00DB72C3" w:rsidRPr="00DB72C3" w14:paraId="7BA8B974" w14:textId="77777777" w:rsidTr="00DB72C3">
        <w:tc>
          <w:tcPr>
            <w:tcW w:w="0" w:type="auto"/>
            <w:shd w:val="clear" w:color="auto" w:fill="auto"/>
            <w:hideMark/>
          </w:tcPr>
          <w:p w14:paraId="634A92F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3EF5ED9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request records of telephone and data traffic.</w:t>
            </w:r>
          </w:p>
        </w:tc>
      </w:tr>
    </w:tbl>
    <w:p w14:paraId="12DFA42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The officials and other persons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by the Lead Overseer for the purposes of the investigation referred to in paragraph 1 shall exercise their powers upon production of a written </w:t>
      </w:r>
      <w:proofErr w:type="spellStart"/>
      <w:r w:rsidRPr="00DB72C3">
        <w:rPr>
          <w:rFonts w:ascii="Times New Roman" w:eastAsia="Times New Roman" w:hAnsi="Times New Roman" w:cs="Times New Roman"/>
          <w:color w:val="333333"/>
          <w:sz w:val="27"/>
          <w:szCs w:val="27"/>
        </w:rPr>
        <w:t>authorisation</w:t>
      </w:r>
      <w:proofErr w:type="spellEnd"/>
      <w:r w:rsidRPr="00DB72C3">
        <w:rPr>
          <w:rFonts w:ascii="Times New Roman" w:eastAsia="Times New Roman" w:hAnsi="Times New Roman" w:cs="Times New Roman"/>
          <w:color w:val="333333"/>
          <w:sz w:val="27"/>
          <w:szCs w:val="27"/>
        </w:rPr>
        <w:t xml:space="preserve"> specifying the subject matter and purpose of the investigation.</w:t>
      </w:r>
    </w:p>
    <w:p w14:paraId="28A966A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 xml:space="preserve">That </w:t>
      </w:r>
      <w:proofErr w:type="spellStart"/>
      <w:r w:rsidRPr="00DB72C3">
        <w:rPr>
          <w:rFonts w:ascii="Times New Roman" w:eastAsia="Times New Roman" w:hAnsi="Times New Roman" w:cs="Times New Roman"/>
          <w:color w:val="333333"/>
          <w:sz w:val="27"/>
          <w:szCs w:val="27"/>
        </w:rPr>
        <w:t>authorisation</w:t>
      </w:r>
      <w:proofErr w:type="spellEnd"/>
      <w:r w:rsidRPr="00DB72C3">
        <w:rPr>
          <w:rFonts w:ascii="Times New Roman" w:eastAsia="Times New Roman" w:hAnsi="Times New Roman" w:cs="Times New Roman"/>
          <w:color w:val="333333"/>
          <w:sz w:val="27"/>
          <w:szCs w:val="27"/>
        </w:rPr>
        <w:t xml:space="preserve"> shall also indicate the periodic penalty payments provided for in Article 35(6) where the production of the required records, data, documented procedures or any other material, or the answers to questions asked to representatives of the ICT third-party service provider are not provided or are incomplete.</w:t>
      </w:r>
    </w:p>
    <w:p w14:paraId="05D4D40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The representatives of the critical ICT third-party service providers are required to submit to the investigations on the basis of a decision of the Lead Overseer. The decision shall specify the subject matter and purpose of the investigation, the periodic penalty payments provided for in Article 35(6), the legal remedies available under Regulations (EU) No 1093/2010, (EU) No 1094/2010 and (EU) No 1095/2010, and the right to have the decision reviewed by the Court of Justice.</w:t>
      </w:r>
    </w:p>
    <w:p w14:paraId="50D656C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5.   In good time before the start of the investigation, the Lead Overseer shall inform competent authorities of the financial entities using the ICT services of that critical ICT third-party service provider of the envisaged investigation and of the identity of the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persons.</w:t>
      </w:r>
    </w:p>
    <w:p w14:paraId="49CBC20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Lead Overseer shall communicate to the JON all information transmitted pursuant to the first subparagraph.</w:t>
      </w:r>
    </w:p>
    <w:p w14:paraId="28E01137"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39</w:t>
      </w:r>
    </w:p>
    <w:p w14:paraId="37013011"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Inspections</w:t>
      </w:r>
    </w:p>
    <w:p w14:paraId="439DC1C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1.   In order to carry out its duties under this Regulation, the Lead Overseer, assisted by the joint examination teams referred to in Article 40(1), may enter in, and conduct all necessary onsite inspections on, any business premises, land or property of the ICT third-party service providers, such as head offices, operation </w:t>
      </w:r>
      <w:proofErr w:type="spellStart"/>
      <w:r w:rsidRPr="00DB72C3">
        <w:rPr>
          <w:rFonts w:ascii="Times New Roman" w:eastAsia="Times New Roman" w:hAnsi="Times New Roman" w:cs="Times New Roman"/>
          <w:color w:val="333333"/>
          <w:sz w:val="27"/>
          <w:szCs w:val="27"/>
        </w:rPr>
        <w:t>centres</w:t>
      </w:r>
      <w:proofErr w:type="spellEnd"/>
      <w:r w:rsidRPr="00DB72C3">
        <w:rPr>
          <w:rFonts w:ascii="Times New Roman" w:eastAsia="Times New Roman" w:hAnsi="Times New Roman" w:cs="Times New Roman"/>
          <w:color w:val="333333"/>
          <w:sz w:val="27"/>
          <w:szCs w:val="27"/>
        </w:rPr>
        <w:t>, secondary premises, as well as to conduct off-site inspections.</w:t>
      </w:r>
    </w:p>
    <w:p w14:paraId="16200C0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exercising the powers referred to in the first subparagraph, the Lead Overseer shall consult the JON.</w:t>
      </w:r>
    </w:p>
    <w:p w14:paraId="667ADB8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officials and other persons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by the Lead Overseer to conduct an on-site inspection shall have the power to:</w:t>
      </w:r>
    </w:p>
    <w:tbl>
      <w:tblPr>
        <w:tblW w:w="5000" w:type="pct"/>
        <w:tblCellMar>
          <w:left w:w="0" w:type="dxa"/>
          <w:right w:w="0" w:type="dxa"/>
        </w:tblCellMar>
        <w:tblLook w:val="04A0" w:firstRow="1" w:lastRow="0" w:firstColumn="1" w:lastColumn="0" w:noHBand="0" w:noVBand="1"/>
      </w:tblPr>
      <w:tblGrid>
        <w:gridCol w:w="448"/>
        <w:gridCol w:w="8912"/>
      </w:tblGrid>
      <w:tr w:rsidR="00DB72C3" w:rsidRPr="00DB72C3" w14:paraId="7E8375F7" w14:textId="77777777" w:rsidTr="00DB72C3">
        <w:tc>
          <w:tcPr>
            <w:tcW w:w="0" w:type="auto"/>
            <w:shd w:val="clear" w:color="auto" w:fill="auto"/>
            <w:hideMark/>
          </w:tcPr>
          <w:p w14:paraId="1244F2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A287E5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enter any such business premises, land or property; and</w:t>
            </w:r>
          </w:p>
        </w:tc>
      </w:tr>
    </w:tbl>
    <w:p w14:paraId="145184F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EE2F629" w14:textId="77777777" w:rsidTr="00DB72C3">
        <w:tc>
          <w:tcPr>
            <w:tcW w:w="0" w:type="auto"/>
            <w:shd w:val="clear" w:color="auto" w:fill="auto"/>
            <w:hideMark/>
          </w:tcPr>
          <w:p w14:paraId="166596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524E3F6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seal any such business premises, books or records, for the period of, and to the extent necessary for, the inspection.</w:t>
            </w:r>
          </w:p>
        </w:tc>
      </w:tr>
    </w:tbl>
    <w:p w14:paraId="040A4F0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The officials and other persons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by the Lead Overseer shall exercise their powers upon production of a written </w:t>
      </w:r>
      <w:proofErr w:type="spellStart"/>
      <w:r w:rsidRPr="00DB72C3">
        <w:rPr>
          <w:rFonts w:ascii="Times New Roman" w:eastAsia="Times New Roman" w:hAnsi="Times New Roman" w:cs="Times New Roman"/>
          <w:color w:val="333333"/>
          <w:sz w:val="27"/>
          <w:szCs w:val="27"/>
        </w:rPr>
        <w:t>authorisation</w:t>
      </w:r>
      <w:proofErr w:type="spellEnd"/>
      <w:r w:rsidRPr="00DB72C3">
        <w:rPr>
          <w:rFonts w:ascii="Times New Roman" w:eastAsia="Times New Roman" w:hAnsi="Times New Roman" w:cs="Times New Roman"/>
          <w:color w:val="333333"/>
          <w:sz w:val="27"/>
          <w:szCs w:val="27"/>
        </w:rPr>
        <w:t xml:space="preserve"> specifying the subject matter and the purpose of the inspection, and the periodic penalty payments provided for in Article 35(6) where the representatives of the critical ICT third-party service providers concerned do not submit to the inspection.</w:t>
      </w:r>
    </w:p>
    <w:p w14:paraId="1A8661A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In good time before the start of the inspection, the Lead Overseer shall inform the competent authorities of the financial entities using that ICT third-party service provider.</w:t>
      </w:r>
    </w:p>
    <w:p w14:paraId="305C767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Inspections shall cover the full range of relevant ICT systems, networks, devices, information and data either used for, or contributing to, the provision of ICT services to financial entities.</w:t>
      </w:r>
    </w:p>
    <w:p w14:paraId="663A962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Before any planned on-site inspection, the Lead Overseer shall give reasonable notice to the critical ICT third-party service providers, unless such notice is not possible due to an emergency or crisis situation, or if it would lead to a situation where the inspection or audit would no longer be effective.</w:t>
      </w:r>
    </w:p>
    <w:p w14:paraId="709FB3A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The critical ICT third-party service provider shall submit to on-site inspections ordered by decision of the Lead Overseer. The decision shall specify the subject matter and purpose of the inspection, fix the date on which the inspection shall begin and shall indicate the periodic penalty payments provided for in Article 35(6), the legal remedies available under Regulations (EU) No 1093/2010, (EU) No 1094/2010 and (EU) No 1095/2010, as well as the right to have the decision reviewed by the Court of Justice.</w:t>
      </w:r>
    </w:p>
    <w:p w14:paraId="39BC0B2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7.   Where the officials and other persons </w:t>
      </w:r>
      <w:proofErr w:type="spellStart"/>
      <w:r w:rsidRPr="00DB72C3">
        <w:rPr>
          <w:rFonts w:ascii="Times New Roman" w:eastAsia="Times New Roman" w:hAnsi="Times New Roman" w:cs="Times New Roman"/>
          <w:color w:val="333333"/>
          <w:sz w:val="27"/>
          <w:szCs w:val="27"/>
        </w:rPr>
        <w:t>authorised</w:t>
      </w:r>
      <w:proofErr w:type="spellEnd"/>
      <w:r w:rsidRPr="00DB72C3">
        <w:rPr>
          <w:rFonts w:ascii="Times New Roman" w:eastAsia="Times New Roman" w:hAnsi="Times New Roman" w:cs="Times New Roman"/>
          <w:color w:val="333333"/>
          <w:sz w:val="27"/>
          <w:szCs w:val="27"/>
        </w:rPr>
        <w:t xml:space="preserve"> by the Lead Overseer find that a critical ICT third-party service provider opposes an inspection ordered pursuant to this Article, the Lead Overseer shall inform the critical ICT third-party service provider of the consequences of such opposition, including the possibility for competent authorities of the relevant financial entities to require financial entities to terminate the contractual arrangements concluded with that critical ICT third-party service provider.</w:t>
      </w:r>
    </w:p>
    <w:p w14:paraId="7E057A69"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40</w:t>
      </w:r>
    </w:p>
    <w:p w14:paraId="33360FC6"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Ongoing oversight</w:t>
      </w:r>
    </w:p>
    <w:p w14:paraId="3C07DBB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When conducting oversight activities, in particular general investigations or inspections, the Lead Overseer shall be assisted by a joint examination team established for each critical ICT third-party service provider.</w:t>
      </w:r>
    </w:p>
    <w:p w14:paraId="1484216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joint examination team referred to in paragraph 1 shall be composed of staff members from:</w:t>
      </w:r>
    </w:p>
    <w:tbl>
      <w:tblPr>
        <w:tblW w:w="5000" w:type="pct"/>
        <w:tblCellMar>
          <w:left w:w="0" w:type="dxa"/>
          <w:right w:w="0" w:type="dxa"/>
        </w:tblCellMar>
        <w:tblLook w:val="04A0" w:firstRow="1" w:lastRow="0" w:firstColumn="1" w:lastColumn="0" w:noHBand="0" w:noVBand="1"/>
      </w:tblPr>
      <w:tblGrid>
        <w:gridCol w:w="2025"/>
        <w:gridCol w:w="7335"/>
      </w:tblGrid>
      <w:tr w:rsidR="00DB72C3" w:rsidRPr="00DB72C3" w14:paraId="3F473F5C" w14:textId="77777777" w:rsidTr="00DB72C3">
        <w:tc>
          <w:tcPr>
            <w:tcW w:w="0" w:type="auto"/>
            <w:shd w:val="clear" w:color="auto" w:fill="auto"/>
            <w:hideMark/>
          </w:tcPr>
          <w:p w14:paraId="2C02D2F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036470C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ESAs;</w:t>
            </w:r>
          </w:p>
        </w:tc>
      </w:tr>
    </w:tbl>
    <w:p w14:paraId="2B5687B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3A526C3" w14:textId="77777777" w:rsidTr="00DB72C3">
        <w:tc>
          <w:tcPr>
            <w:tcW w:w="0" w:type="auto"/>
            <w:shd w:val="clear" w:color="auto" w:fill="auto"/>
            <w:hideMark/>
          </w:tcPr>
          <w:p w14:paraId="31A0278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681A4A6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relevant competent authorities supervising the financial entities to which the critical ICT third-party service provider provides ICT services;</w:t>
            </w:r>
          </w:p>
        </w:tc>
      </w:tr>
    </w:tbl>
    <w:p w14:paraId="01CCDC6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76"/>
        <w:gridCol w:w="9084"/>
      </w:tblGrid>
      <w:tr w:rsidR="00DB72C3" w:rsidRPr="00DB72C3" w14:paraId="0A21CA73" w14:textId="77777777" w:rsidTr="00DB72C3">
        <w:tc>
          <w:tcPr>
            <w:tcW w:w="0" w:type="auto"/>
            <w:shd w:val="clear" w:color="auto" w:fill="auto"/>
            <w:hideMark/>
          </w:tcPr>
          <w:p w14:paraId="2B306C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BB5D7B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national competent authority referred to in Article 32(4), point (e), on a voluntary basis;</w:t>
            </w:r>
          </w:p>
        </w:tc>
      </w:tr>
    </w:tbl>
    <w:p w14:paraId="4D60432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111B3C1" w14:textId="77777777" w:rsidTr="00DB72C3">
        <w:tc>
          <w:tcPr>
            <w:tcW w:w="0" w:type="auto"/>
            <w:shd w:val="clear" w:color="auto" w:fill="auto"/>
            <w:hideMark/>
          </w:tcPr>
          <w:p w14:paraId="00FD949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1B3A927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one national competent authority from the Member State where the critical ICT third-party service provider is established, on a voluntary basis.</w:t>
            </w:r>
          </w:p>
        </w:tc>
      </w:tr>
    </w:tbl>
    <w:p w14:paraId="0F29ADE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Members of the joint examination team shall have expertise in ICT matters and in operational risk. The joint examination team shall work under the coordination of a designated Lead Overseer staff member (the ‘Lead Overseer coordinator’).</w:t>
      </w:r>
    </w:p>
    <w:p w14:paraId="4D0103E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Within 3 months of the completion of an investigation or inspection, the Lead Overseer, after consulting the Oversight Forum, shall adopt recommendations to be addressed to the critical ICT third-party service provider pursuant to the powers referred to in Article 35.</w:t>
      </w:r>
    </w:p>
    <w:p w14:paraId="3B0028C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The recommendations referred to in paragraph 3 shall be immediately communicated to the critical ICT third-party service provider and to the competent authorities of the financial entities to which it provides ICT services.</w:t>
      </w:r>
    </w:p>
    <w:p w14:paraId="1029005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For the purposes of fulfilling the oversight activities, the Lead Overseer may take into consideration any relevant third-party certifications and ICT third-party internal or external audit reports made available by the critical ICT third-party service provider.</w:t>
      </w:r>
    </w:p>
    <w:p w14:paraId="0FFF8764"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41</w:t>
      </w:r>
    </w:p>
    <w:p w14:paraId="58F9C31F"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proofErr w:type="spellStart"/>
      <w:r w:rsidRPr="00DB72C3">
        <w:rPr>
          <w:rFonts w:ascii="Times New Roman" w:eastAsia="Times New Roman" w:hAnsi="Times New Roman" w:cs="Times New Roman"/>
          <w:b/>
          <w:bCs/>
          <w:color w:val="333333"/>
          <w:sz w:val="27"/>
          <w:szCs w:val="27"/>
        </w:rPr>
        <w:t>Harmonisation</w:t>
      </w:r>
      <w:proofErr w:type="spellEnd"/>
      <w:r w:rsidRPr="00DB72C3">
        <w:rPr>
          <w:rFonts w:ascii="Times New Roman" w:eastAsia="Times New Roman" w:hAnsi="Times New Roman" w:cs="Times New Roman"/>
          <w:b/>
          <w:bCs/>
          <w:color w:val="333333"/>
          <w:sz w:val="27"/>
          <w:szCs w:val="27"/>
        </w:rPr>
        <w:t xml:space="preserve"> of conditions enabling the conduct of the oversight activities</w:t>
      </w:r>
    </w:p>
    <w:p w14:paraId="00BF542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ESAs shall, through the Joint Committee, develop draft regulatory technical standards to specify:</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2EDC204D" w14:textId="77777777" w:rsidTr="00DB72C3">
        <w:tc>
          <w:tcPr>
            <w:tcW w:w="0" w:type="auto"/>
            <w:shd w:val="clear" w:color="auto" w:fill="auto"/>
            <w:hideMark/>
          </w:tcPr>
          <w:p w14:paraId="470C387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ADF982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information to be provided by an ICT third-party service provider in the application for a voluntary request to be designated as critical under Article 31(11);</w:t>
            </w:r>
          </w:p>
        </w:tc>
      </w:tr>
    </w:tbl>
    <w:p w14:paraId="4DCFFC8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2BD6B00" w14:textId="77777777" w:rsidTr="00DB72C3">
        <w:tc>
          <w:tcPr>
            <w:tcW w:w="0" w:type="auto"/>
            <w:shd w:val="clear" w:color="auto" w:fill="auto"/>
            <w:hideMark/>
          </w:tcPr>
          <w:p w14:paraId="3F1840C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079FB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content, structure and format of the information to be submitted, disclosed or reported by the ICT third-party service providers pursuant to Article 35(1), including the template for providing information on subcontracting arrangements;</w:t>
            </w:r>
          </w:p>
        </w:tc>
      </w:tr>
    </w:tbl>
    <w:p w14:paraId="37BE80B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7AFA03A" w14:textId="77777777" w:rsidTr="00DB72C3">
        <w:tc>
          <w:tcPr>
            <w:tcW w:w="0" w:type="auto"/>
            <w:shd w:val="clear" w:color="auto" w:fill="auto"/>
            <w:hideMark/>
          </w:tcPr>
          <w:p w14:paraId="225CE2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606FAF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for determining the composition of the joint examination team ensuring a balanced participation of staff members from the ESAs and from the relevant competent authorities, their designation, tasks, and working arrangements.</w:t>
            </w:r>
          </w:p>
        </w:tc>
      </w:tr>
    </w:tbl>
    <w:p w14:paraId="67A2944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7E4FCEA" w14:textId="77777777" w:rsidTr="00DB72C3">
        <w:tc>
          <w:tcPr>
            <w:tcW w:w="0" w:type="auto"/>
            <w:shd w:val="clear" w:color="auto" w:fill="auto"/>
            <w:hideMark/>
          </w:tcPr>
          <w:p w14:paraId="631F65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680D7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details of the competent authorities’ assessment of the measures taken by critical ICT third-party service providers based on the recommendations of the Lead Overseer pursuant to Article 42(3).</w:t>
            </w:r>
          </w:p>
        </w:tc>
      </w:tr>
    </w:tbl>
    <w:p w14:paraId="06C7847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ESAs shall submit those draft regulatory technical standards to the Commission by 17 July 2024.</w:t>
      </w:r>
    </w:p>
    <w:p w14:paraId="2F325CF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Power is delegated to the Commission to supplement this Regulation by adopting the regulatory technical standards referred to in paragraph 1 in accordance with the procedure laid down in Articles 10 to 14 of Regulations (EU) No 1093/2010, (EU) No 1094/2010 and (EU) No 1095/2010.</w:t>
      </w:r>
    </w:p>
    <w:p w14:paraId="3A255A5B"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lastRenderedPageBreak/>
        <w:t>Article 42</w:t>
      </w:r>
    </w:p>
    <w:p w14:paraId="46081AB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Follow-up by competent authorities</w:t>
      </w:r>
    </w:p>
    <w:p w14:paraId="3FF6C20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Within 60 calendar days of the receipt of the recommendations issued by the Lead Overseer pursuant to Article 35(1), point (d), critical ICT third-party service providers shall either notify the Lead Overseer of their intention to follow the recommendations or provide a reasoned explanation for not following such recommendations. The Lead Overseer shall immediately transmit this information to the competent authorities of the financial entities concerned.</w:t>
      </w:r>
    </w:p>
    <w:p w14:paraId="787DE8D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Lead Overseer shall publicly disclose where a critical ICT third-party service provider fails to notify the Lead Overseer in accordance with paragraph 1 or where the explanation provided by the critical ICT third-party service provider is not deemed sufficient. The information published shall disclose the identity of the critical ICT third-party service provider as well as information on the type and nature of the non-compliance. Such information shall be limited to what is relevant and proportionate for the purpose of ensuring public awareness, unless such publication would cause disproportionate damage to the parties involved or could seriously </w:t>
      </w:r>
      <w:proofErr w:type="spellStart"/>
      <w:r w:rsidRPr="00DB72C3">
        <w:rPr>
          <w:rFonts w:ascii="Times New Roman" w:eastAsia="Times New Roman" w:hAnsi="Times New Roman" w:cs="Times New Roman"/>
          <w:color w:val="333333"/>
          <w:sz w:val="27"/>
          <w:szCs w:val="27"/>
        </w:rPr>
        <w:t>jeopardise</w:t>
      </w:r>
      <w:proofErr w:type="spellEnd"/>
      <w:r w:rsidRPr="00DB72C3">
        <w:rPr>
          <w:rFonts w:ascii="Times New Roman" w:eastAsia="Times New Roman" w:hAnsi="Times New Roman" w:cs="Times New Roman"/>
          <w:color w:val="333333"/>
          <w:sz w:val="27"/>
          <w:szCs w:val="27"/>
        </w:rPr>
        <w:t xml:space="preserve"> the orderly functioning and integrity of financial markets or the stability of the whole or part of the financial system of the Union.</w:t>
      </w:r>
    </w:p>
    <w:p w14:paraId="115B8F8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Lead Overseer shall notify the ICT third-party service provider of that public disclosure.</w:t>
      </w:r>
    </w:p>
    <w:p w14:paraId="009ED44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Competent authorities shall inform the relevant financial entities of the risks identified in the recommendations addressed to critical ICT third-party service providers in accordance with Article 35(1), point (d).</w:t>
      </w:r>
    </w:p>
    <w:p w14:paraId="6842D9F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When managing ICT third-party risk, financial entities shall take into account the risks referred to in the first subparagraph.</w:t>
      </w:r>
    </w:p>
    <w:p w14:paraId="67B0FD0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Where a competent authority deems that a financial entity fails to take into account or to sufficiently address within its management of ICT third-party risk the specific risks identified in the recommendations, it shall notify the financial entity of the possibility of a decision being taken, within 60 calendar days of the receipt of such notification, pursuant to paragraph 6, in the absence of appropriate contractual arrangements aiming to address such risks.</w:t>
      </w:r>
    </w:p>
    <w:p w14:paraId="0BE8A7A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Upon receiving the reports referred to in Article 35(1), point (c), and prior to taking a decision as referred to in paragraph 6 of this Article, competent authorities may, on a voluntary basis, consult the competent authorities designated or established in accordance with Directive (EU) 2022/2555 responsible for the supervision of an essential or important entity subject to that Directive, which has been designated as a critical ICT third-party service provider.</w:t>
      </w:r>
    </w:p>
    <w:p w14:paraId="77737F0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6.   Competent authorities may, as a measure of last resort, following the notification and, if appropriate, the consultation as set out in paragraph 4 and 5 of this Article, in accordance with Article 50, take a decision requiring financial entities to temporarily suspend, either in part or completely, the use or deployment of a service provided by the critical ICT third-party service provider until the risks identified in the recommendations addressed to critical ICT third-party service providers have been addressed. Where necessary, they may require financial entities to terminate, in part or completely, the relevant contractual arrangements concluded with the critical ICT third-party service providers.</w:t>
      </w:r>
    </w:p>
    <w:p w14:paraId="24DD7B4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7.   Where a critical ICT third-party service provider refuses to endorse recommendations, based on a divergent approach from the one advised by the Lead Overseer, and such a divergent approach may adversely impact a large number of financial entities, or a significant part of the financial sector, and individual warnings issued by competent authorities have not resulted in consistent approaches mitigating the potential risk to financial stability, the Lead Overseer may, after consulting the Oversight Forum, issue non-binding and non-public opinions to competent authorities, in order to promote consistent and convergent supervisory follow-up measures, as appropriate.</w:t>
      </w:r>
    </w:p>
    <w:p w14:paraId="5FCF01C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8.   Upon receiving the reports referred to in Article 35(1), point (c), competent authorities, when taking a decision as referred to in paragraph 6 of this Article, shall take into account the type and magnitude of risk that is not addressed by the critical ICT third-party service provider, as well as the seriousness of the non-compliance, having regard to the following criteria:</w:t>
      </w:r>
    </w:p>
    <w:tbl>
      <w:tblPr>
        <w:tblW w:w="5000" w:type="pct"/>
        <w:tblCellMar>
          <w:left w:w="0" w:type="dxa"/>
          <w:right w:w="0" w:type="dxa"/>
        </w:tblCellMar>
        <w:tblLook w:val="04A0" w:firstRow="1" w:lastRow="0" w:firstColumn="1" w:lastColumn="0" w:noHBand="0" w:noVBand="1"/>
      </w:tblPr>
      <w:tblGrid>
        <w:gridCol w:w="480"/>
        <w:gridCol w:w="8880"/>
      </w:tblGrid>
      <w:tr w:rsidR="00DB72C3" w:rsidRPr="00DB72C3" w14:paraId="131A76C9" w14:textId="77777777" w:rsidTr="00DB72C3">
        <w:tc>
          <w:tcPr>
            <w:tcW w:w="0" w:type="auto"/>
            <w:shd w:val="clear" w:color="auto" w:fill="auto"/>
            <w:hideMark/>
          </w:tcPr>
          <w:p w14:paraId="2383DE8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4FB98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gravity and the duration of the non-compliance;</w:t>
            </w:r>
          </w:p>
        </w:tc>
      </w:tr>
    </w:tbl>
    <w:p w14:paraId="794BB5E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0B4346C" w14:textId="77777777" w:rsidTr="00DB72C3">
        <w:tc>
          <w:tcPr>
            <w:tcW w:w="0" w:type="auto"/>
            <w:shd w:val="clear" w:color="auto" w:fill="auto"/>
            <w:hideMark/>
          </w:tcPr>
          <w:p w14:paraId="688DC07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11EABD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whether the non-compliance has revealed serious weaknesses in the critical ICT third-party service provider’s procedures, management systems, risk management and internal controls;</w:t>
            </w:r>
          </w:p>
        </w:tc>
      </w:tr>
    </w:tbl>
    <w:p w14:paraId="0C4BE5B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C520119" w14:textId="77777777" w:rsidTr="00DB72C3">
        <w:tc>
          <w:tcPr>
            <w:tcW w:w="0" w:type="auto"/>
            <w:shd w:val="clear" w:color="auto" w:fill="auto"/>
            <w:hideMark/>
          </w:tcPr>
          <w:p w14:paraId="56B9103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14B12E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whether a financial crime was facilitated, occasioned or is otherwise attributable to the non-compliance;</w:t>
            </w:r>
          </w:p>
        </w:tc>
      </w:tr>
    </w:tbl>
    <w:p w14:paraId="21010E0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18"/>
        <w:gridCol w:w="8942"/>
      </w:tblGrid>
      <w:tr w:rsidR="00DB72C3" w:rsidRPr="00DB72C3" w14:paraId="1119B465" w14:textId="77777777" w:rsidTr="00DB72C3">
        <w:tc>
          <w:tcPr>
            <w:tcW w:w="0" w:type="auto"/>
            <w:shd w:val="clear" w:color="auto" w:fill="auto"/>
            <w:hideMark/>
          </w:tcPr>
          <w:p w14:paraId="4084C6D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0CCEF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whether the non-compliance has been intentional or negligent;</w:t>
            </w:r>
          </w:p>
        </w:tc>
      </w:tr>
    </w:tbl>
    <w:p w14:paraId="222A3D6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1B46F2A" w14:textId="77777777" w:rsidTr="00DB72C3">
        <w:tc>
          <w:tcPr>
            <w:tcW w:w="0" w:type="auto"/>
            <w:shd w:val="clear" w:color="auto" w:fill="auto"/>
            <w:hideMark/>
          </w:tcPr>
          <w:p w14:paraId="4981EFB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8D6C0F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whether the suspension or termination of the contractual arrangements introduces a risk for continuity of the financial entity’s business operations notwithstanding the financial entity’s efforts to avoid disruption in the provision of its services;</w:t>
            </w:r>
          </w:p>
        </w:tc>
      </w:tr>
    </w:tbl>
    <w:p w14:paraId="021945A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46EE8DEB" w14:textId="77777777" w:rsidTr="00DB72C3">
        <w:tc>
          <w:tcPr>
            <w:tcW w:w="0" w:type="auto"/>
            <w:shd w:val="clear" w:color="auto" w:fill="auto"/>
            <w:hideMark/>
          </w:tcPr>
          <w:p w14:paraId="1E929F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7A09041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where applicable, the opinion of the competent authorities designated or established in accordance with Directive (EU) 2022/2555 responsible for the supervision of an essential or important entity subject to that Directive, which has been designated as a critical ICT third-party service provider, requested on a voluntary basis in accordance with paragraph 5 of this Article.</w:t>
            </w:r>
          </w:p>
        </w:tc>
      </w:tr>
    </w:tbl>
    <w:p w14:paraId="48C7469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Competent authorities shall grant financial entities the necessary period of time to enable them to adjust the contractual arrangements with critical ICT third-party service </w:t>
      </w:r>
      <w:r w:rsidRPr="00DB72C3">
        <w:rPr>
          <w:rFonts w:ascii="Times New Roman" w:eastAsia="Times New Roman" w:hAnsi="Times New Roman" w:cs="Times New Roman"/>
          <w:color w:val="333333"/>
          <w:sz w:val="27"/>
          <w:szCs w:val="27"/>
        </w:rPr>
        <w:lastRenderedPageBreak/>
        <w:t>providers in order to avoid detrimental effects on their digital operational resilience and to allow them to deploy exit strategies and transition plans as referred to in Article 28.</w:t>
      </w:r>
    </w:p>
    <w:p w14:paraId="1FECD18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9.   The decision referred to in paragraph 6 of this Article shall be notified to the members of the Oversight Forum referred to in Article 32(4), points (a), (b) and (c), and to the JON.</w:t>
      </w:r>
    </w:p>
    <w:p w14:paraId="5B2DD48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critical ICT third-party service providers affected by the decisions provided for in paragraph 6 shall fully cooperate with the financial entities impacted, in particular in the context of the process of suspension or termination of their contractual arrangements.</w:t>
      </w:r>
    </w:p>
    <w:p w14:paraId="083ED4E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10.   Competent authorities shall regularly inform the Lead Overseer on the approaches and measures taken in their supervisory tasks in relation to financial entities as well as on the contractual arrangements concluded by financial entities where critical ICT third-party service providers have not endorsed in part or entirely recommendations addressed to them by the Lead Overseer.</w:t>
      </w:r>
    </w:p>
    <w:p w14:paraId="6D7B3D1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11.   The Lead Overseer may, upon request, provide further clarifications on the recommendations issued to guide the competent authorities on the follow-up measures.</w:t>
      </w:r>
    </w:p>
    <w:p w14:paraId="2BE2C57D"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43</w:t>
      </w:r>
    </w:p>
    <w:p w14:paraId="35BF2042"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Oversight fees</w:t>
      </w:r>
    </w:p>
    <w:p w14:paraId="0045414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Lead Overseer shall, in accordance with the delegated act referred to in paragraph 2 of this Article, charge critical ICT third-party service providers fees that fully cover the Lead Overseer’s necessary expenditure in relation to the conduct of oversight tasks pursuant to this Regulation, including the reimbursement of any costs which may be incurred as a result of work carried out by the joint examination team referred to in Article 40, as well as the costs of advice provided by the independent experts as referred to in Article 32(4), second subparagraph, in relation to matters falling under the remit of direct oversight activities.</w:t>
      </w:r>
    </w:p>
    <w:p w14:paraId="7BE5BDD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 amount of a fee charged to a critical ICT third-party service provider shall cover all costs derived from the execution of the duties set out in this Section and shall be proportionate to its turnover.</w:t>
      </w:r>
    </w:p>
    <w:p w14:paraId="37B1EAA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Commission is empowered to adopt a delegated act in accordance with Article 57 to supplement this Regulation by determining the amount of the fees and the way in which they are to be paid by 17 July 2024.</w:t>
      </w:r>
    </w:p>
    <w:p w14:paraId="3F8309D1"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44</w:t>
      </w:r>
    </w:p>
    <w:p w14:paraId="211C5CE9"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International cooperation</w:t>
      </w:r>
    </w:p>
    <w:p w14:paraId="5825232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1.   Without prejudice to Article 36, EBA, ESMA and EIOPA may, in accordance with Article 33 of Regulations (EU) No 1093/2010, (EU) No 1095/2010 and (EU) No 1094/2010, respectively, conclude administrative arrangements with third-country regulatory and supervisory authorities to foster international cooperation on ICT third-party risk across different financial sectors, in particular by developing best practices for the review of ICT risk management practices and controls, mitigation measures and incident responses.</w:t>
      </w:r>
    </w:p>
    <w:p w14:paraId="23C22DB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ESAs shall, through the Joint Committee, submit every five years a joint confidential report to the European Parliament, to the Council and to the Commission, </w:t>
      </w:r>
      <w:proofErr w:type="spellStart"/>
      <w:r w:rsidRPr="00DB72C3">
        <w:rPr>
          <w:rFonts w:ascii="Times New Roman" w:eastAsia="Times New Roman" w:hAnsi="Times New Roman" w:cs="Times New Roman"/>
          <w:color w:val="333333"/>
          <w:sz w:val="27"/>
          <w:szCs w:val="27"/>
        </w:rPr>
        <w:t>summarising</w:t>
      </w:r>
      <w:proofErr w:type="spellEnd"/>
      <w:r w:rsidRPr="00DB72C3">
        <w:rPr>
          <w:rFonts w:ascii="Times New Roman" w:eastAsia="Times New Roman" w:hAnsi="Times New Roman" w:cs="Times New Roman"/>
          <w:color w:val="333333"/>
          <w:sz w:val="27"/>
          <w:szCs w:val="27"/>
        </w:rPr>
        <w:t xml:space="preserve"> the findings of relevant discussions held with the third countries’ authorities referred to in paragraph 1, focusing on the evolution of ICT third-party risk and the implications for financial stability, market integrity, investor protection and the functioning of the internal market.</w:t>
      </w:r>
    </w:p>
    <w:p w14:paraId="6B6189B1"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VI</w:t>
      </w:r>
    </w:p>
    <w:p w14:paraId="17EC49EF"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Information-sharing arrangements</w:t>
      </w:r>
    </w:p>
    <w:p w14:paraId="5EDD086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45</w:t>
      </w:r>
    </w:p>
    <w:p w14:paraId="60982232"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Information-sharing arrangements on cyber threat information and intelligence</w:t>
      </w:r>
    </w:p>
    <w:p w14:paraId="4764BCA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Financial entities may exchange amongst themselves cyber threat information and intelligence, including indicators of compromise, tactics, techniques, and procedures, cyber security alerts and configuration tools, to the extent that such information and intelligence sharing: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D5CFA7C" w14:textId="77777777" w:rsidTr="00DB72C3">
        <w:tc>
          <w:tcPr>
            <w:tcW w:w="0" w:type="auto"/>
            <w:shd w:val="clear" w:color="auto" w:fill="auto"/>
            <w:hideMark/>
          </w:tcPr>
          <w:p w14:paraId="7EA5CFA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A1CC92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aims to enhance the digital operational resilience of financial entities, in particular through raising awareness in relation to cyber threats, limiting or impeding the cyber threats’ ability to spread, supporting </w:t>
            </w:r>
            <w:proofErr w:type="spellStart"/>
            <w:r w:rsidRPr="00DB72C3">
              <w:rPr>
                <w:rFonts w:ascii="Times New Roman" w:eastAsia="Times New Roman" w:hAnsi="Times New Roman" w:cs="Times New Roman"/>
                <w:sz w:val="24"/>
                <w:szCs w:val="24"/>
              </w:rPr>
              <w:t>defence</w:t>
            </w:r>
            <w:proofErr w:type="spellEnd"/>
            <w:r w:rsidRPr="00DB72C3">
              <w:rPr>
                <w:rFonts w:ascii="Times New Roman" w:eastAsia="Times New Roman" w:hAnsi="Times New Roman" w:cs="Times New Roman"/>
                <w:sz w:val="24"/>
                <w:szCs w:val="24"/>
              </w:rPr>
              <w:t xml:space="preserve"> capabilities, threat detection techniques, mitigation strategies or response and recovery stages;</w:t>
            </w:r>
          </w:p>
        </w:tc>
      </w:tr>
    </w:tbl>
    <w:p w14:paraId="73025EC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30"/>
        <w:gridCol w:w="8930"/>
      </w:tblGrid>
      <w:tr w:rsidR="00DB72C3" w:rsidRPr="00DB72C3" w14:paraId="77838C96" w14:textId="77777777" w:rsidTr="00DB72C3">
        <w:tc>
          <w:tcPr>
            <w:tcW w:w="0" w:type="auto"/>
            <w:shd w:val="clear" w:color="auto" w:fill="auto"/>
            <w:hideMark/>
          </w:tcPr>
          <w:p w14:paraId="3CFB02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4A2E0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takes places within trusted communities of financial entities;</w:t>
            </w:r>
          </w:p>
        </w:tc>
      </w:tr>
    </w:tbl>
    <w:p w14:paraId="0CB5538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1EA3E73" w14:textId="77777777" w:rsidTr="00DB72C3">
        <w:tc>
          <w:tcPr>
            <w:tcW w:w="0" w:type="auto"/>
            <w:shd w:val="clear" w:color="auto" w:fill="auto"/>
            <w:hideMark/>
          </w:tcPr>
          <w:p w14:paraId="235301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427A891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is implemented through information-sharing arrangements that protect the potentially sensitive nature of the information shared, and that are governed by rules of conduct in full respect of business confidentiality, protection of personal data in accordance with Regulation (EU) 2016/679 and guidelines on competition policy.</w:t>
            </w:r>
          </w:p>
        </w:tc>
      </w:tr>
    </w:tbl>
    <w:p w14:paraId="426AAEB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For the purpose of paragraph 1, point (c), the information-sharing arrangements shall define the conditions for participation and, where appropriate, shall set out the details on the involvement of public authorities and the capacity in which they may be associated to the information-sharing arrangements, on the involvement of ICT third-</w:t>
      </w:r>
      <w:r w:rsidRPr="00DB72C3">
        <w:rPr>
          <w:rFonts w:ascii="Times New Roman" w:eastAsia="Times New Roman" w:hAnsi="Times New Roman" w:cs="Times New Roman"/>
          <w:color w:val="333333"/>
          <w:sz w:val="27"/>
          <w:szCs w:val="27"/>
        </w:rPr>
        <w:lastRenderedPageBreak/>
        <w:t>party service providers, and on operational elements, including the use of dedicated IT platforms.</w:t>
      </w:r>
    </w:p>
    <w:p w14:paraId="11BDCD3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Financial entities shall notify competent authorities of their participation in the information-sharing arrangements referred to in paragraph 1, upon validation of their membership, or, as applicable, of the cessation of their membership, once it takes effect.</w:t>
      </w:r>
    </w:p>
    <w:p w14:paraId="39779BCA"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VII</w:t>
      </w:r>
    </w:p>
    <w:p w14:paraId="3CA06D2C"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Competent authorities</w:t>
      </w:r>
    </w:p>
    <w:p w14:paraId="71891430"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46</w:t>
      </w:r>
    </w:p>
    <w:p w14:paraId="32D86229"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Competent authorities</w:t>
      </w:r>
    </w:p>
    <w:p w14:paraId="323A87F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Without prejudice to the provisions on the Oversight Framework for critical ICT third-party service providers referred to in Chapter V, Section II, of this Regulation, compliance with this Regulation shall be ensured by the following competent authorities in accordance with the powers granted by the respective legal acts:</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8D2E9DA" w14:textId="77777777" w:rsidTr="00DB72C3">
        <w:tc>
          <w:tcPr>
            <w:tcW w:w="0" w:type="auto"/>
            <w:shd w:val="clear" w:color="auto" w:fill="auto"/>
            <w:hideMark/>
          </w:tcPr>
          <w:p w14:paraId="0A7E52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2B409CF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credit institutions and for institutions exempted pursuant to Directive 2013/36/EU, the competent authority designated in accordance with Article 4 of that Directive, and for credit institutions classified as significant in accordance with Article 6(4) of Regulation (EU) No 1024/2013, the ECB in accordance with the powers and tasks conferred by that Regulation;</w:t>
            </w:r>
          </w:p>
        </w:tc>
      </w:tr>
    </w:tbl>
    <w:p w14:paraId="7E62318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A2F29CB" w14:textId="77777777" w:rsidTr="00DB72C3">
        <w:tc>
          <w:tcPr>
            <w:tcW w:w="0" w:type="auto"/>
            <w:shd w:val="clear" w:color="auto" w:fill="auto"/>
            <w:hideMark/>
          </w:tcPr>
          <w:p w14:paraId="1812E00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72890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payment institutions, including payment institutions exempted pursuant to Directive (EU) 2015/2366, electronic money institutions, including those exempted pursuant to Directive 2009/110/EC, and account information service providers as referred to in Article 33(1) of Directive (EU) 2015/2366, the competent authority designated in accordance with Article 22 of Directive (EU) 2015/2366;</w:t>
            </w:r>
          </w:p>
        </w:tc>
      </w:tr>
    </w:tbl>
    <w:p w14:paraId="5E6333B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B627944" w14:textId="77777777" w:rsidTr="00DB72C3">
        <w:tc>
          <w:tcPr>
            <w:tcW w:w="0" w:type="auto"/>
            <w:shd w:val="clear" w:color="auto" w:fill="auto"/>
            <w:hideMark/>
          </w:tcPr>
          <w:p w14:paraId="1EC43E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699A314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investment firms, the competent authority designated in accordance with Article 4 of Directive (EU) 2019/2034 of the European Parliament and of the Council </w:t>
            </w:r>
            <w:hyperlink r:id="rId41" w:anchor="ntr38-L_2022333EN.01000101-E0038" w:history="1">
              <w:r w:rsidRPr="00DB72C3">
                <w:rPr>
                  <w:rFonts w:ascii="Times New Roman" w:eastAsia="Times New Roman" w:hAnsi="Times New Roman" w:cs="Times New Roman"/>
                  <w:color w:val="337AB7"/>
                  <w:sz w:val="24"/>
                  <w:szCs w:val="24"/>
                </w:rPr>
                <w:t>(</w:t>
              </w:r>
              <w:r w:rsidRPr="00DB72C3">
                <w:rPr>
                  <w:rFonts w:ascii="Times New Roman" w:eastAsia="Times New Roman" w:hAnsi="Times New Roman" w:cs="Times New Roman"/>
                  <w:color w:val="337AB7"/>
                  <w:sz w:val="17"/>
                  <w:szCs w:val="17"/>
                  <w:vertAlign w:val="superscript"/>
                </w:rPr>
                <w:t>38</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6BD3102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8AF5E54" w14:textId="77777777" w:rsidTr="00DB72C3">
        <w:tc>
          <w:tcPr>
            <w:tcW w:w="0" w:type="auto"/>
            <w:shd w:val="clear" w:color="auto" w:fill="auto"/>
            <w:hideMark/>
          </w:tcPr>
          <w:p w14:paraId="1B206C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5EDA3B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for crypto-asset service providers as </w:t>
            </w:r>
            <w:proofErr w:type="spellStart"/>
            <w:r w:rsidRPr="00DB72C3">
              <w:rPr>
                <w:rFonts w:ascii="Times New Roman" w:eastAsia="Times New Roman" w:hAnsi="Times New Roman" w:cs="Times New Roman"/>
                <w:sz w:val="24"/>
                <w:szCs w:val="24"/>
              </w:rPr>
              <w:t>authorised</w:t>
            </w:r>
            <w:proofErr w:type="spellEnd"/>
            <w:r w:rsidRPr="00DB72C3">
              <w:rPr>
                <w:rFonts w:ascii="Times New Roman" w:eastAsia="Times New Roman" w:hAnsi="Times New Roman" w:cs="Times New Roman"/>
                <w:sz w:val="24"/>
                <w:szCs w:val="24"/>
              </w:rPr>
              <w:t xml:space="preserve"> under the Regulation on markets in crypto-assets and issuers of asset-referenced tokens, the competent authority designated in accordance with the relevant provision of that Regulation;</w:t>
            </w:r>
          </w:p>
        </w:tc>
      </w:tr>
    </w:tbl>
    <w:p w14:paraId="0AC2A019"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6F32FDBC" w14:textId="77777777" w:rsidTr="00DB72C3">
        <w:tc>
          <w:tcPr>
            <w:tcW w:w="0" w:type="auto"/>
            <w:shd w:val="clear" w:color="auto" w:fill="auto"/>
            <w:hideMark/>
          </w:tcPr>
          <w:p w14:paraId="6784A1E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66448F1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central securities depositories, the competent authority designated in accordance with Article 11 of Regulation (EU) No 909/2014;</w:t>
            </w:r>
          </w:p>
        </w:tc>
      </w:tr>
    </w:tbl>
    <w:p w14:paraId="123D09F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1508D1C5" w14:textId="77777777" w:rsidTr="00DB72C3">
        <w:tc>
          <w:tcPr>
            <w:tcW w:w="0" w:type="auto"/>
            <w:shd w:val="clear" w:color="auto" w:fill="auto"/>
            <w:hideMark/>
          </w:tcPr>
          <w:p w14:paraId="4AB3F52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74D11B1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central counterparties, the competent authority designated in accordance with Article 22 of Regulation (EU) No 648/2012;</w:t>
            </w:r>
          </w:p>
        </w:tc>
      </w:tr>
    </w:tbl>
    <w:p w14:paraId="0E641DA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9887B1B" w14:textId="77777777" w:rsidTr="00DB72C3">
        <w:tc>
          <w:tcPr>
            <w:tcW w:w="0" w:type="auto"/>
            <w:shd w:val="clear" w:color="auto" w:fill="auto"/>
            <w:hideMark/>
          </w:tcPr>
          <w:p w14:paraId="31D2542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6CF336C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trading venues and data reporting service providers, the competent authority designated in accordance with Article 67 of Directive 2014/65/EU, and the competent authority as defined in Article 2(1), point (18), of Regulation (EU) No 600/2014;</w:t>
            </w:r>
          </w:p>
        </w:tc>
      </w:tr>
    </w:tbl>
    <w:p w14:paraId="13E7915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18909EB" w14:textId="77777777" w:rsidTr="00DB72C3">
        <w:tc>
          <w:tcPr>
            <w:tcW w:w="0" w:type="auto"/>
            <w:shd w:val="clear" w:color="auto" w:fill="auto"/>
            <w:hideMark/>
          </w:tcPr>
          <w:p w14:paraId="35BFFBA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(h)</w:t>
            </w:r>
          </w:p>
        </w:tc>
        <w:tc>
          <w:tcPr>
            <w:tcW w:w="0" w:type="auto"/>
            <w:shd w:val="clear" w:color="auto" w:fill="auto"/>
            <w:hideMark/>
          </w:tcPr>
          <w:p w14:paraId="21269E0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trade repositories, the competent authority designated in accordance with Article 22 of Regulation (EU) No 648/2012;</w:t>
            </w:r>
          </w:p>
        </w:tc>
      </w:tr>
    </w:tbl>
    <w:p w14:paraId="614E6FF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751CE067" w14:textId="77777777" w:rsidTr="00DB72C3">
        <w:tc>
          <w:tcPr>
            <w:tcW w:w="0" w:type="auto"/>
            <w:shd w:val="clear" w:color="auto" w:fill="auto"/>
            <w:hideMark/>
          </w:tcPr>
          <w:p w14:paraId="192AFAC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20E465A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managers of alternative investment funds, the competent authority designated in accordance with Article 44 of Directive 2011/61/EU;</w:t>
            </w:r>
          </w:p>
        </w:tc>
      </w:tr>
    </w:tbl>
    <w:p w14:paraId="6FD9D1B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0E519126" w14:textId="77777777" w:rsidTr="00DB72C3">
        <w:tc>
          <w:tcPr>
            <w:tcW w:w="0" w:type="auto"/>
            <w:shd w:val="clear" w:color="auto" w:fill="auto"/>
            <w:hideMark/>
          </w:tcPr>
          <w:p w14:paraId="124F54E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(j)</w:t>
            </w:r>
          </w:p>
        </w:tc>
        <w:tc>
          <w:tcPr>
            <w:tcW w:w="0" w:type="auto"/>
            <w:shd w:val="clear" w:color="auto" w:fill="auto"/>
            <w:hideMark/>
          </w:tcPr>
          <w:p w14:paraId="0878689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management companies, the competent authority designated in accordance with Article 97 of Directive 2009/65/EC;</w:t>
            </w:r>
          </w:p>
        </w:tc>
      </w:tr>
    </w:tbl>
    <w:p w14:paraId="6A3A10E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D92335A" w14:textId="77777777" w:rsidTr="00DB72C3">
        <w:tc>
          <w:tcPr>
            <w:tcW w:w="0" w:type="auto"/>
            <w:shd w:val="clear" w:color="auto" w:fill="auto"/>
            <w:hideMark/>
          </w:tcPr>
          <w:p w14:paraId="50A8682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(k)</w:t>
            </w:r>
          </w:p>
        </w:tc>
        <w:tc>
          <w:tcPr>
            <w:tcW w:w="0" w:type="auto"/>
            <w:shd w:val="clear" w:color="auto" w:fill="auto"/>
            <w:hideMark/>
          </w:tcPr>
          <w:p w14:paraId="67B09D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insurance and reinsurance undertakings, the competent authority designated in accordance with Article 30 of Directive 2009/138/EC;</w:t>
            </w:r>
          </w:p>
        </w:tc>
      </w:tr>
    </w:tbl>
    <w:p w14:paraId="6CC90ED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27"/>
        <w:gridCol w:w="9133"/>
      </w:tblGrid>
      <w:tr w:rsidR="00DB72C3" w:rsidRPr="00DB72C3" w14:paraId="4F870688" w14:textId="77777777" w:rsidTr="00DB72C3">
        <w:tc>
          <w:tcPr>
            <w:tcW w:w="0" w:type="auto"/>
            <w:shd w:val="clear" w:color="auto" w:fill="auto"/>
            <w:hideMark/>
          </w:tcPr>
          <w:p w14:paraId="784B0D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(l)</w:t>
            </w:r>
          </w:p>
        </w:tc>
        <w:tc>
          <w:tcPr>
            <w:tcW w:w="0" w:type="auto"/>
            <w:shd w:val="clear" w:color="auto" w:fill="auto"/>
            <w:hideMark/>
          </w:tcPr>
          <w:p w14:paraId="724EAE7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insurance intermediaries, reinsurance intermediaries and ancillary insurance intermediaries, the competent authority designated in accordance with Article 12 of Directive (EU) 2016/97;</w:t>
            </w:r>
          </w:p>
        </w:tc>
      </w:tr>
    </w:tbl>
    <w:p w14:paraId="0A12756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47"/>
        <w:gridCol w:w="9013"/>
      </w:tblGrid>
      <w:tr w:rsidR="00DB72C3" w:rsidRPr="00DB72C3" w14:paraId="33FA42AE" w14:textId="77777777" w:rsidTr="00DB72C3">
        <w:tc>
          <w:tcPr>
            <w:tcW w:w="0" w:type="auto"/>
            <w:shd w:val="clear" w:color="auto" w:fill="auto"/>
            <w:hideMark/>
          </w:tcPr>
          <w:p w14:paraId="012E129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(m)</w:t>
            </w:r>
          </w:p>
        </w:tc>
        <w:tc>
          <w:tcPr>
            <w:tcW w:w="0" w:type="auto"/>
            <w:shd w:val="clear" w:color="auto" w:fill="auto"/>
            <w:hideMark/>
          </w:tcPr>
          <w:p w14:paraId="5F8CB4A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institutions for occupational retirement provision, the competent authority designated in accordance with Article 47 of Directive (EU) 2016/2341;</w:t>
            </w:r>
          </w:p>
        </w:tc>
      </w:tr>
    </w:tbl>
    <w:p w14:paraId="22DCE96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AF49D25" w14:textId="77777777" w:rsidTr="00DB72C3">
        <w:tc>
          <w:tcPr>
            <w:tcW w:w="0" w:type="auto"/>
            <w:shd w:val="clear" w:color="auto" w:fill="auto"/>
            <w:hideMark/>
          </w:tcPr>
          <w:p w14:paraId="0FF1CB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(n)</w:t>
            </w:r>
          </w:p>
        </w:tc>
        <w:tc>
          <w:tcPr>
            <w:tcW w:w="0" w:type="auto"/>
            <w:shd w:val="clear" w:color="auto" w:fill="auto"/>
            <w:hideMark/>
          </w:tcPr>
          <w:p w14:paraId="4A1461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credit rating agencies, the competent authority designated in accordance with Article 21 of Regulation (EC) No 1060/2009;</w:t>
            </w:r>
          </w:p>
        </w:tc>
      </w:tr>
    </w:tbl>
    <w:p w14:paraId="653D3FB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3C21517" w14:textId="77777777" w:rsidTr="00DB72C3">
        <w:tc>
          <w:tcPr>
            <w:tcW w:w="0" w:type="auto"/>
            <w:shd w:val="clear" w:color="auto" w:fill="auto"/>
            <w:hideMark/>
          </w:tcPr>
          <w:p w14:paraId="79C382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(o)</w:t>
            </w:r>
          </w:p>
        </w:tc>
        <w:tc>
          <w:tcPr>
            <w:tcW w:w="0" w:type="auto"/>
            <w:shd w:val="clear" w:color="auto" w:fill="auto"/>
            <w:hideMark/>
          </w:tcPr>
          <w:p w14:paraId="5C646D4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administrators of critical benchmarks, the competent authority designated in accordance with Articles 40 and 41 of Regulation (EU) 2016/1011;</w:t>
            </w:r>
          </w:p>
        </w:tc>
      </w:tr>
    </w:tbl>
    <w:p w14:paraId="17AFDF5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3FBF811" w14:textId="77777777" w:rsidTr="00DB72C3">
        <w:tc>
          <w:tcPr>
            <w:tcW w:w="0" w:type="auto"/>
            <w:shd w:val="clear" w:color="auto" w:fill="auto"/>
            <w:hideMark/>
          </w:tcPr>
          <w:p w14:paraId="5117A0C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w:t>
            </w:r>
          </w:p>
        </w:tc>
        <w:tc>
          <w:tcPr>
            <w:tcW w:w="0" w:type="auto"/>
            <w:shd w:val="clear" w:color="auto" w:fill="auto"/>
            <w:hideMark/>
          </w:tcPr>
          <w:p w14:paraId="127F2D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crowdfunding service providers, the competent authority designated in accordance with Article 29 of Regulation (EU) 2020/1503;</w:t>
            </w:r>
          </w:p>
        </w:tc>
      </w:tr>
    </w:tbl>
    <w:p w14:paraId="64686F4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23D19BB" w14:textId="77777777" w:rsidTr="00DB72C3">
        <w:tc>
          <w:tcPr>
            <w:tcW w:w="0" w:type="auto"/>
            <w:shd w:val="clear" w:color="auto" w:fill="auto"/>
            <w:hideMark/>
          </w:tcPr>
          <w:p w14:paraId="1580EA9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(q)</w:t>
            </w:r>
          </w:p>
        </w:tc>
        <w:tc>
          <w:tcPr>
            <w:tcW w:w="0" w:type="auto"/>
            <w:shd w:val="clear" w:color="auto" w:fill="auto"/>
            <w:hideMark/>
          </w:tcPr>
          <w:p w14:paraId="0DB4F58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for </w:t>
            </w:r>
            <w:proofErr w:type="spellStart"/>
            <w:r w:rsidRPr="00DB72C3">
              <w:rPr>
                <w:rFonts w:ascii="Times New Roman" w:eastAsia="Times New Roman" w:hAnsi="Times New Roman" w:cs="Times New Roman"/>
                <w:sz w:val="24"/>
                <w:szCs w:val="24"/>
              </w:rPr>
              <w:t>securitisation</w:t>
            </w:r>
            <w:proofErr w:type="spellEnd"/>
            <w:r w:rsidRPr="00DB72C3">
              <w:rPr>
                <w:rFonts w:ascii="Times New Roman" w:eastAsia="Times New Roman" w:hAnsi="Times New Roman" w:cs="Times New Roman"/>
                <w:sz w:val="24"/>
                <w:szCs w:val="24"/>
              </w:rPr>
              <w:t xml:space="preserve"> repositories, the competent authority designated in accordance with Articles 10 and 14(1) of Regulation (EU) 2017/2402.</w:t>
            </w:r>
          </w:p>
        </w:tc>
      </w:tr>
    </w:tbl>
    <w:p w14:paraId="2D11104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47</w:t>
      </w:r>
    </w:p>
    <w:p w14:paraId="02AA124B"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Cooperation with structures and authorities established by Directive (EU) 2022/2555</w:t>
      </w:r>
    </w:p>
    <w:p w14:paraId="518C77F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To foster cooperation and enable supervisory exchanges between the competent authorities designated under this Regulation and the Cooperation Group established by Article 14 of Directive (EU) 2022/2555, the ESAs and the competent authorities may participate in the activities of the Cooperation Group for matters that concern their supervisory activities in relation to financial entities. The ESAs and the competent authorities may request to be invited to participate in the activities of the Cooperation Group for matters in relation to essential or important entities subject to Directive (EU) 2022/2555 that have also been designated as critical ICT third-party service providers pursuant to Article 31 of this Regulation.</w:t>
      </w:r>
    </w:p>
    <w:p w14:paraId="14E281A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Where appropriate, competent authorities may consult and share information with the single points of contact and the CSIRTs designated or established in accordance with Directive (EU) 2022/2555.</w:t>
      </w:r>
    </w:p>
    <w:p w14:paraId="5095462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Where appropriate, competent authorities may request any relevant technical advice and assistance from the competent authorities designated or established in accordance with Directive (EU) 2022/2555 and establish cooperation arrangements to allow effective and fast-response coordination mechanisms to be set up.</w:t>
      </w:r>
    </w:p>
    <w:p w14:paraId="09B20A0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The arrangements referred to in paragraph 3 of this Article may, inter alia, specify the procedures for the coordination of supervisory and oversight activities in relation to essential or important entities subject to Directive (EU) 2022/2555 that have been designated as critical ICT third-party service providers pursuant to Article 31 of this Regulation, including for the conduct, in accordance with national law, of investigations and on-site inspections, as well as for mechanisms for the exchange of information between the competent authorities under this Regulation and the competent authorities designated or established in accordance with that Directive which includes access to information requested by the latter authorities.</w:t>
      </w:r>
    </w:p>
    <w:p w14:paraId="0E36CA84"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48</w:t>
      </w:r>
    </w:p>
    <w:p w14:paraId="6703F0FC"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Cooperation between authorities</w:t>
      </w:r>
    </w:p>
    <w:p w14:paraId="1D40D4E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Competent authorities shall cooperate closely among themselves and, where applicable, with the Lead Overseer.</w:t>
      </w:r>
    </w:p>
    <w:p w14:paraId="5B3393B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Competent authorities and the Lead Overseer shall, in a timely manner, mutually exchange all relevant information concerning critical ICT third-party service providers which is necessary for them to carry out their respective duties under this Regulation, in particular in relation to identified risks, approaches and measures taken as part of the Lead Overseer’s oversight tasks.</w:t>
      </w:r>
    </w:p>
    <w:p w14:paraId="64B643AB"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49</w:t>
      </w:r>
    </w:p>
    <w:p w14:paraId="3F4EEAD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Financial cross-sector exercises, communication and cooperation</w:t>
      </w:r>
    </w:p>
    <w:p w14:paraId="5192F26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ESAs, through the Joint Committee and in collaboration with competent authorities, resolution authorities as referred to in Article 3 of Directive 2014/59/EU, the ECB, the Single Resolution Board as regards information relating to entities falling under the scope of Regulation (EU) No 806/2014, the ESRB and ENISA, as appropriate, may establish mechanisms to enable the sharing of effective practices across financial sectors to enhance situational awareness and identify common cyber vulnerabilities and risks across sectors.</w:t>
      </w:r>
    </w:p>
    <w:p w14:paraId="0D6AF04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They may develop crisis management and contingency exercises involving cyber-attack scenarios with a view to developing communication channels and gradually enabling an effective coordinated response at Union level in the event of a major cross-border ICT-related incident or related threat having a systemic impact on the Union’s financial sector as a whole.</w:t>
      </w:r>
    </w:p>
    <w:p w14:paraId="5A91965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Those exercises may, as appropriate, also test the financial sector’s dependencies on other economic sectors.</w:t>
      </w:r>
    </w:p>
    <w:p w14:paraId="1E421FD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Competent authorities, ESAs and the ECB shall cooperate closely with each other and exchange information to carry out their duties pursuant to Articles 47 to 54. They shall closely coordinate their supervision in order to identify and remedy breaches of this Regulation, develop and promote best practices, facilitate collaboration, foster consistency of interpretation and provide cross-jurisdictional assessments in the event of any disagreements.</w:t>
      </w:r>
    </w:p>
    <w:p w14:paraId="69CC3B77"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50</w:t>
      </w:r>
    </w:p>
    <w:p w14:paraId="5B12458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Administrative penalties and remedial measures</w:t>
      </w:r>
    </w:p>
    <w:p w14:paraId="6703460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Competent authorities shall have all supervisory, investigatory and sanctioning powers necessary to fulfil their duties under this Regulation.</w:t>
      </w:r>
    </w:p>
    <w:p w14:paraId="03A36F6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powers referred to in paragraph 1 shall include at least the following powers to:</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7F6BF5E" w14:textId="77777777" w:rsidTr="00DB72C3">
        <w:tc>
          <w:tcPr>
            <w:tcW w:w="0" w:type="auto"/>
            <w:shd w:val="clear" w:color="auto" w:fill="auto"/>
            <w:hideMark/>
          </w:tcPr>
          <w:p w14:paraId="2FF4FC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649374D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have access to any document or data held in any form that the competent authority considers relevant for the performance of its duties and receive or take a copy of it;</w:t>
            </w:r>
          </w:p>
        </w:tc>
      </w:tr>
    </w:tbl>
    <w:p w14:paraId="2018296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CD40E0A" w14:textId="77777777" w:rsidTr="00DB72C3">
        <w:tc>
          <w:tcPr>
            <w:tcW w:w="0" w:type="auto"/>
            <w:shd w:val="clear" w:color="auto" w:fill="auto"/>
            <w:hideMark/>
          </w:tcPr>
          <w:p w14:paraId="59F92D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474DED3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carry out on-site inspections or investigations, which shall include but shall not be limited to;</w:t>
            </w:r>
          </w:p>
          <w:tbl>
            <w:tblPr>
              <w:tblW w:w="5000" w:type="pct"/>
              <w:tblCellMar>
                <w:left w:w="0" w:type="dxa"/>
                <w:right w:w="0" w:type="dxa"/>
              </w:tblCellMar>
              <w:tblLook w:val="04A0" w:firstRow="1" w:lastRow="0" w:firstColumn="1" w:lastColumn="0" w:noHBand="0" w:noVBand="1"/>
            </w:tblPr>
            <w:tblGrid>
              <w:gridCol w:w="227"/>
              <w:gridCol w:w="8853"/>
            </w:tblGrid>
            <w:tr w:rsidR="00DB72C3" w:rsidRPr="00DB72C3" w14:paraId="20158828" w14:textId="77777777">
              <w:tc>
                <w:tcPr>
                  <w:tcW w:w="0" w:type="auto"/>
                  <w:shd w:val="clear" w:color="auto" w:fill="auto"/>
                  <w:hideMark/>
                </w:tcPr>
                <w:p w14:paraId="1391A20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5500F07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summoning representatives of the financial entities for oral or written explanations on facts or documents relating to the subject matter and purpose of the investigation and to record the answers;</w:t>
                  </w:r>
                </w:p>
              </w:tc>
            </w:tr>
          </w:tbl>
          <w:p w14:paraId="75151D3A"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4"/>
              <w:gridCol w:w="8786"/>
            </w:tblGrid>
            <w:tr w:rsidR="00DB72C3" w:rsidRPr="00DB72C3" w14:paraId="3162A63B" w14:textId="77777777">
              <w:tc>
                <w:tcPr>
                  <w:tcW w:w="0" w:type="auto"/>
                  <w:shd w:val="clear" w:color="auto" w:fill="auto"/>
                  <w:hideMark/>
                </w:tcPr>
                <w:p w14:paraId="460F2A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4EEB3BD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interviewing any other natural or legal person who consents to be interviewed for the purpose of collecting information relating to the subject matter of an investigation;</w:t>
                  </w:r>
                </w:p>
              </w:tc>
            </w:tr>
          </w:tbl>
          <w:p w14:paraId="308FEF17"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0E2B507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71"/>
        <w:gridCol w:w="9089"/>
      </w:tblGrid>
      <w:tr w:rsidR="00DB72C3" w:rsidRPr="00DB72C3" w14:paraId="436E3D05" w14:textId="77777777" w:rsidTr="00DB72C3">
        <w:tc>
          <w:tcPr>
            <w:tcW w:w="0" w:type="auto"/>
            <w:shd w:val="clear" w:color="auto" w:fill="auto"/>
            <w:hideMark/>
          </w:tcPr>
          <w:p w14:paraId="2EBA3C2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39A3292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 corrective and remedial measures for breaches of the requirements of this Regulation.</w:t>
            </w:r>
          </w:p>
        </w:tc>
      </w:tr>
    </w:tbl>
    <w:p w14:paraId="7727B4B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Without prejudice to the right of Member States to impose criminal penalties in accordance with Article 52, Member States shall lay down rules establishing appropriate administrative penalties and remedial measures for breaches of this Regulation and shall ensure their effective implementation.</w:t>
      </w:r>
    </w:p>
    <w:p w14:paraId="494CD0C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Those penalties and measures shall be effective, proportionate and dissuasive.</w:t>
      </w:r>
    </w:p>
    <w:p w14:paraId="22F17B1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Member States shall confer on competent authorities the power to apply at least the following administrative penalties or remedial measures for breaches of this Regulation:</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3C01EDF0" w14:textId="77777777" w:rsidTr="00DB72C3">
        <w:tc>
          <w:tcPr>
            <w:tcW w:w="0" w:type="auto"/>
            <w:shd w:val="clear" w:color="auto" w:fill="auto"/>
            <w:hideMark/>
          </w:tcPr>
          <w:p w14:paraId="250D032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F3F573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issue an order requiring the natural or legal person to cease conduct that is in breach of this Regulation and to desist from a repetition of that conduct;</w:t>
            </w:r>
          </w:p>
        </w:tc>
      </w:tr>
    </w:tbl>
    <w:p w14:paraId="3111EDE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DA19048" w14:textId="77777777" w:rsidTr="00DB72C3">
        <w:tc>
          <w:tcPr>
            <w:tcW w:w="0" w:type="auto"/>
            <w:shd w:val="clear" w:color="auto" w:fill="auto"/>
            <w:hideMark/>
          </w:tcPr>
          <w:p w14:paraId="17E1597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(b)</w:t>
            </w:r>
          </w:p>
        </w:tc>
        <w:tc>
          <w:tcPr>
            <w:tcW w:w="0" w:type="auto"/>
            <w:shd w:val="clear" w:color="auto" w:fill="auto"/>
            <w:hideMark/>
          </w:tcPr>
          <w:p w14:paraId="3B32F9A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 the temporary or permanent cessation of any practice or conduct that the competent authority considers to be contrary to the provisions of this Regulation and prevent repetition of that practice or conduct;</w:t>
            </w:r>
          </w:p>
        </w:tc>
      </w:tr>
    </w:tbl>
    <w:p w14:paraId="2A28EE9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494FA90E" w14:textId="77777777" w:rsidTr="00DB72C3">
        <w:tc>
          <w:tcPr>
            <w:tcW w:w="0" w:type="auto"/>
            <w:shd w:val="clear" w:color="auto" w:fill="auto"/>
            <w:hideMark/>
          </w:tcPr>
          <w:p w14:paraId="7F5658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E929A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adopt any type of measure, including of pecuniary nature, to ensure that financial entities continue to comply with legal requirements;</w:t>
            </w:r>
          </w:p>
        </w:tc>
      </w:tr>
    </w:tbl>
    <w:p w14:paraId="1015683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350173B" w14:textId="77777777" w:rsidTr="00DB72C3">
        <w:tc>
          <w:tcPr>
            <w:tcW w:w="0" w:type="auto"/>
            <w:shd w:val="clear" w:color="auto" w:fill="auto"/>
            <w:hideMark/>
          </w:tcPr>
          <w:p w14:paraId="204AB4B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6D03513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require, insofar as permitted by national law, existing data traffic records held by a telecommunication operator, where there is a reasonable suspicion of a breach of this Regulation and where such records may be relevant to an investigation into breaches of this Regulation; and</w:t>
            </w:r>
          </w:p>
        </w:tc>
      </w:tr>
    </w:tbl>
    <w:p w14:paraId="22980156"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50E86B5D" w14:textId="77777777" w:rsidTr="00DB72C3">
        <w:tc>
          <w:tcPr>
            <w:tcW w:w="0" w:type="auto"/>
            <w:shd w:val="clear" w:color="auto" w:fill="auto"/>
            <w:hideMark/>
          </w:tcPr>
          <w:p w14:paraId="3C77FD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625779C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issue public notices, including public statements indicating the identity of the natural or legal person and the nature of the breach.</w:t>
            </w:r>
          </w:p>
        </w:tc>
      </w:tr>
    </w:tbl>
    <w:p w14:paraId="7F6BA9F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Where paragraph 2, point (c), and paragraph 4 apply to legal persons, Member States shall confer on competent authorities the power to apply the administrative penalties and remedial measures, subject to the conditions provided for in national law, to members of the management body, and to other individuals who under national law are responsible for the breach.</w:t>
      </w:r>
    </w:p>
    <w:p w14:paraId="6064917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Member States shall ensure that any decision imposing administrative penalties or remedial measures set out in paragraph 2, point (c), is properly reasoned and is subject to a right of appeal.</w:t>
      </w:r>
    </w:p>
    <w:p w14:paraId="0D2D8489"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51</w:t>
      </w:r>
    </w:p>
    <w:p w14:paraId="26422A6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Exercise of the power to impose administrative penalties and remedial measures</w:t>
      </w:r>
    </w:p>
    <w:p w14:paraId="53607DF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Competent authorities shall exercise the powers to impose administrative penalties and remedial measures referred to in Article 50 in accordance with their national legal frameworks, where appropriate, as follows:</w:t>
      </w:r>
    </w:p>
    <w:tbl>
      <w:tblPr>
        <w:tblW w:w="5000" w:type="pct"/>
        <w:tblCellMar>
          <w:left w:w="0" w:type="dxa"/>
          <w:right w:w="0" w:type="dxa"/>
        </w:tblCellMar>
        <w:tblLook w:val="04A0" w:firstRow="1" w:lastRow="0" w:firstColumn="1" w:lastColumn="0" w:noHBand="0" w:noVBand="1"/>
      </w:tblPr>
      <w:tblGrid>
        <w:gridCol w:w="2342"/>
        <w:gridCol w:w="7018"/>
      </w:tblGrid>
      <w:tr w:rsidR="00DB72C3" w:rsidRPr="00DB72C3" w14:paraId="3DE88B26" w14:textId="77777777" w:rsidTr="00DB72C3">
        <w:tc>
          <w:tcPr>
            <w:tcW w:w="0" w:type="auto"/>
            <w:shd w:val="clear" w:color="auto" w:fill="auto"/>
            <w:hideMark/>
          </w:tcPr>
          <w:p w14:paraId="37CD45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58EE02A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directly;</w:t>
            </w:r>
          </w:p>
        </w:tc>
      </w:tr>
    </w:tbl>
    <w:p w14:paraId="1D2EF96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60"/>
        <w:gridCol w:w="8700"/>
      </w:tblGrid>
      <w:tr w:rsidR="00DB72C3" w:rsidRPr="00DB72C3" w14:paraId="33D84A30" w14:textId="77777777" w:rsidTr="00DB72C3">
        <w:tc>
          <w:tcPr>
            <w:tcW w:w="0" w:type="auto"/>
            <w:shd w:val="clear" w:color="auto" w:fill="auto"/>
            <w:hideMark/>
          </w:tcPr>
          <w:p w14:paraId="2E230B5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17796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collaboration with other authorities;</w:t>
            </w:r>
          </w:p>
        </w:tc>
      </w:tr>
    </w:tbl>
    <w:p w14:paraId="0BA2E38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01"/>
        <w:gridCol w:w="8959"/>
      </w:tblGrid>
      <w:tr w:rsidR="00DB72C3" w:rsidRPr="00DB72C3" w14:paraId="127F9BA2" w14:textId="77777777" w:rsidTr="00DB72C3">
        <w:tc>
          <w:tcPr>
            <w:tcW w:w="0" w:type="auto"/>
            <w:shd w:val="clear" w:color="auto" w:fill="auto"/>
            <w:hideMark/>
          </w:tcPr>
          <w:p w14:paraId="02FFDF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2D257ED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under their responsibility by delegation to other authorities; or</w:t>
            </w:r>
          </w:p>
        </w:tc>
      </w:tr>
    </w:tbl>
    <w:p w14:paraId="44824FB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502"/>
        <w:gridCol w:w="8858"/>
      </w:tblGrid>
      <w:tr w:rsidR="00DB72C3" w:rsidRPr="00DB72C3" w14:paraId="6E94EB79" w14:textId="77777777" w:rsidTr="00DB72C3">
        <w:tc>
          <w:tcPr>
            <w:tcW w:w="0" w:type="auto"/>
            <w:shd w:val="clear" w:color="auto" w:fill="auto"/>
            <w:hideMark/>
          </w:tcPr>
          <w:p w14:paraId="563842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47504C8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by application to the competent judicial authorities.</w:t>
            </w:r>
          </w:p>
        </w:tc>
      </w:tr>
    </w:tbl>
    <w:p w14:paraId="621A7AA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Competent authorities, when determining the type and level of an administrative penalty or remedial measure to be imposed under Article 50, shall take into account the extent to which the breach is intentional or results from negligence, and all other relevant circumstances, including the following, where appropriate:</w:t>
      </w:r>
    </w:p>
    <w:tbl>
      <w:tblPr>
        <w:tblW w:w="5000" w:type="pct"/>
        <w:tblCellMar>
          <w:left w:w="0" w:type="dxa"/>
          <w:right w:w="0" w:type="dxa"/>
        </w:tblCellMar>
        <w:tblLook w:val="04A0" w:firstRow="1" w:lastRow="0" w:firstColumn="1" w:lastColumn="0" w:noHBand="0" w:noVBand="1"/>
      </w:tblPr>
      <w:tblGrid>
        <w:gridCol w:w="458"/>
        <w:gridCol w:w="8902"/>
      </w:tblGrid>
      <w:tr w:rsidR="00DB72C3" w:rsidRPr="00DB72C3" w14:paraId="377587C3" w14:textId="77777777" w:rsidTr="00DB72C3">
        <w:tc>
          <w:tcPr>
            <w:tcW w:w="0" w:type="auto"/>
            <w:shd w:val="clear" w:color="auto" w:fill="auto"/>
            <w:hideMark/>
          </w:tcPr>
          <w:p w14:paraId="2CDFBED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1EA83E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materiality, gravity and the duration of the breach;</w:t>
            </w:r>
          </w:p>
        </w:tc>
      </w:tr>
    </w:tbl>
    <w:p w14:paraId="32E60F1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14"/>
        <w:gridCol w:w="9046"/>
      </w:tblGrid>
      <w:tr w:rsidR="00DB72C3" w:rsidRPr="00DB72C3" w14:paraId="3724A876" w14:textId="77777777" w:rsidTr="00DB72C3">
        <w:tc>
          <w:tcPr>
            <w:tcW w:w="0" w:type="auto"/>
            <w:shd w:val="clear" w:color="auto" w:fill="auto"/>
            <w:hideMark/>
          </w:tcPr>
          <w:p w14:paraId="3EDCE71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B9AA7D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degree of responsibility of the natural or legal person responsible for the breach;</w:t>
            </w:r>
          </w:p>
        </w:tc>
      </w:tr>
    </w:tbl>
    <w:p w14:paraId="145F7EC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94"/>
        <w:gridCol w:w="8966"/>
      </w:tblGrid>
      <w:tr w:rsidR="00DB72C3" w:rsidRPr="00DB72C3" w14:paraId="120896AD" w14:textId="77777777" w:rsidTr="00DB72C3">
        <w:tc>
          <w:tcPr>
            <w:tcW w:w="0" w:type="auto"/>
            <w:shd w:val="clear" w:color="auto" w:fill="auto"/>
            <w:hideMark/>
          </w:tcPr>
          <w:p w14:paraId="2E90405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w:t>
            </w:r>
          </w:p>
        </w:tc>
        <w:tc>
          <w:tcPr>
            <w:tcW w:w="0" w:type="auto"/>
            <w:shd w:val="clear" w:color="auto" w:fill="auto"/>
            <w:hideMark/>
          </w:tcPr>
          <w:p w14:paraId="6F00F01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financial strength of the responsible natural or legal person;</w:t>
            </w:r>
          </w:p>
        </w:tc>
      </w:tr>
    </w:tbl>
    <w:p w14:paraId="6E89345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A98C6D6" w14:textId="77777777" w:rsidTr="00DB72C3">
        <w:tc>
          <w:tcPr>
            <w:tcW w:w="0" w:type="auto"/>
            <w:shd w:val="clear" w:color="auto" w:fill="auto"/>
            <w:hideMark/>
          </w:tcPr>
          <w:p w14:paraId="20AA41C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3EAB3EE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importance of profits gained or losses avoided by the responsible natural or legal person, insofar as they can be determined;</w:t>
            </w:r>
          </w:p>
        </w:tc>
      </w:tr>
    </w:tbl>
    <w:p w14:paraId="6210CBF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04"/>
        <w:gridCol w:w="9056"/>
      </w:tblGrid>
      <w:tr w:rsidR="00DB72C3" w:rsidRPr="00DB72C3" w14:paraId="640BDE9B" w14:textId="77777777" w:rsidTr="00DB72C3">
        <w:tc>
          <w:tcPr>
            <w:tcW w:w="0" w:type="auto"/>
            <w:shd w:val="clear" w:color="auto" w:fill="auto"/>
            <w:hideMark/>
          </w:tcPr>
          <w:p w14:paraId="396CD25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ECE1BC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losses for third parties caused by the breach, insofar as they can be determined;</w:t>
            </w:r>
          </w:p>
        </w:tc>
      </w:tr>
    </w:tbl>
    <w:p w14:paraId="3667C73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40"/>
        <w:gridCol w:w="9120"/>
      </w:tblGrid>
      <w:tr w:rsidR="00DB72C3" w:rsidRPr="00DB72C3" w14:paraId="62D2119F" w14:textId="77777777" w:rsidTr="00DB72C3">
        <w:tc>
          <w:tcPr>
            <w:tcW w:w="0" w:type="auto"/>
            <w:shd w:val="clear" w:color="auto" w:fill="auto"/>
            <w:hideMark/>
          </w:tcPr>
          <w:p w14:paraId="46513EF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w:t>
            </w:r>
          </w:p>
        </w:tc>
        <w:tc>
          <w:tcPr>
            <w:tcW w:w="0" w:type="auto"/>
            <w:shd w:val="clear" w:color="auto" w:fill="auto"/>
            <w:hideMark/>
          </w:tcPr>
          <w:p w14:paraId="35E9BBB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level of cooperation of the responsible natural or legal person with the competent authority, without prejudice to the need to ensure disgorgement of profits gained or losses avoided by that natural or legal person;</w:t>
            </w:r>
          </w:p>
        </w:tc>
      </w:tr>
    </w:tbl>
    <w:p w14:paraId="2FFAF3E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431"/>
        <w:gridCol w:w="8929"/>
      </w:tblGrid>
      <w:tr w:rsidR="00DB72C3" w:rsidRPr="00DB72C3" w14:paraId="008BB526" w14:textId="77777777" w:rsidTr="00DB72C3">
        <w:tc>
          <w:tcPr>
            <w:tcW w:w="0" w:type="auto"/>
            <w:shd w:val="clear" w:color="auto" w:fill="auto"/>
            <w:hideMark/>
          </w:tcPr>
          <w:p w14:paraId="496CABE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(g)</w:t>
            </w:r>
          </w:p>
        </w:tc>
        <w:tc>
          <w:tcPr>
            <w:tcW w:w="0" w:type="auto"/>
            <w:shd w:val="clear" w:color="auto" w:fill="auto"/>
            <w:hideMark/>
          </w:tcPr>
          <w:p w14:paraId="690BB0D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previous breaches by the responsible natural or legal person.</w:t>
            </w:r>
          </w:p>
        </w:tc>
      </w:tr>
    </w:tbl>
    <w:p w14:paraId="0AB1172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52</w:t>
      </w:r>
    </w:p>
    <w:p w14:paraId="46D1C3F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Criminal penalties</w:t>
      </w:r>
    </w:p>
    <w:p w14:paraId="785740F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Member States may decide not to lay down rules for administrative penalties or remedial measures for breaches that are subject to criminal penalties under their national law.</w:t>
      </w:r>
    </w:p>
    <w:p w14:paraId="46652E3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Where Member States have chosen to lay down criminal penalties for breaches of this Regulation, they shall ensure that appropriate measures are in place so that competent authorities have all the necessary powers to liaise with judicial, prosecuting, or criminal justice authorities within their jurisdiction to receive specific information related to criminal investigations or proceedings commenced for breaches of this Regulation, and to provide the same information to other competent authorities, as well as EBA, ESMA or EIOPA to fulfil their obligations to cooperate for the purposes of this Regulation.</w:t>
      </w:r>
    </w:p>
    <w:p w14:paraId="32AB853F"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53</w:t>
      </w:r>
    </w:p>
    <w:p w14:paraId="7923865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Notification duties</w:t>
      </w:r>
    </w:p>
    <w:p w14:paraId="62E6C51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Member States shall notify the laws, regulations and administrative provisions implementing this Chapter, including any relevant criminal law provisions, to the Commission, ESMA, the EBA and EIOPA by 17 January 2025. Member States shall notify the Commission, ESMA, the EBA and EIOPA without undue delay of any subsequent amendments thereto.</w:t>
      </w:r>
    </w:p>
    <w:p w14:paraId="4A24412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54</w:t>
      </w:r>
    </w:p>
    <w:p w14:paraId="6BE42C5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Publication of administrative penalties</w:t>
      </w:r>
    </w:p>
    <w:p w14:paraId="2B84ED4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Competent authorities shall publish on their official websites, without undue delay, any decision imposing an administrative penalty against which there is no appeal after the addressee of the penalty has been notified of that decision.</w:t>
      </w:r>
    </w:p>
    <w:p w14:paraId="258F8C2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2.   The publication referred to in paragraph 1 shall include information on the type and nature of the breach, the identity of the persons responsible and the penalties imposed.</w:t>
      </w:r>
    </w:p>
    <w:p w14:paraId="0F0028A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3.   Where the competent authority, following a case-by-case assessment, considers that the publication of the identity, in the case of legal persons, or of the identity and personal data, in the case of natural persons, would be disproportionate, including risks in relation to the protection of personal data, </w:t>
      </w:r>
      <w:proofErr w:type="spellStart"/>
      <w:r w:rsidRPr="00DB72C3">
        <w:rPr>
          <w:rFonts w:ascii="Times New Roman" w:eastAsia="Times New Roman" w:hAnsi="Times New Roman" w:cs="Times New Roman"/>
          <w:color w:val="333333"/>
          <w:sz w:val="27"/>
          <w:szCs w:val="27"/>
        </w:rPr>
        <w:t>jeopardise</w:t>
      </w:r>
      <w:proofErr w:type="spellEnd"/>
      <w:r w:rsidRPr="00DB72C3">
        <w:rPr>
          <w:rFonts w:ascii="Times New Roman" w:eastAsia="Times New Roman" w:hAnsi="Times New Roman" w:cs="Times New Roman"/>
          <w:color w:val="333333"/>
          <w:sz w:val="27"/>
          <w:szCs w:val="27"/>
        </w:rPr>
        <w:t xml:space="preserve"> the stability of financial markets or the pursuit of an ongoing criminal investigation, or cause, insofar as these can be determined, disproportionate damages to the person involved, it shall adopt one of the following solutions in respect of the decision imposing an administrative penalty:</w:t>
      </w:r>
    </w:p>
    <w:tbl>
      <w:tblPr>
        <w:tblW w:w="5000" w:type="pct"/>
        <w:tblCellMar>
          <w:left w:w="0" w:type="dxa"/>
          <w:right w:w="0" w:type="dxa"/>
        </w:tblCellMar>
        <w:tblLook w:val="04A0" w:firstRow="1" w:lastRow="0" w:firstColumn="1" w:lastColumn="0" w:noHBand="0" w:noVBand="1"/>
      </w:tblPr>
      <w:tblGrid>
        <w:gridCol w:w="352"/>
        <w:gridCol w:w="9008"/>
      </w:tblGrid>
      <w:tr w:rsidR="00DB72C3" w:rsidRPr="00DB72C3" w14:paraId="4573AF4C" w14:textId="77777777" w:rsidTr="00DB72C3">
        <w:tc>
          <w:tcPr>
            <w:tcW w:w="0" w:type="auto"/>
            <w:shd w:val="clear" w:color="auto" w:fill="auto"/>
            <w:hideMark/>
          </w:tcPr>
          <w:p w14:paraId="142383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173E06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defer its publication until all reasons for non-publication cease to exist;</w:t>
            </w:r>
          </w:p>
        </w:tc>
      </w:tr>
    </w:tbl>
    <w:p w14:paraId="0218CA15"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376"/>
        <w:gridCol w:w="8984"/>
      </w:tblGrid>
      <w:tr w:rsidR="00DB72C3" w:rsidRPr="00DB72C3" w14:paraId="5DF59B9A" w14:textId="77777777" w:rsidTr="00DB72C3">
        <w:tc>
          <w:tcPr>
            <w:tcW w:w="0" w:type="auto"/>
            <w:shd w:val="clear" w:color="auto" w:fill="auto"/>
            <w:hideMark/>
          </w:tcPr>
          <w:p w14:paraId="0C0D487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74A0F5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publish it on an anonymous basis, in accordance with national law; or</w:t>
            </w:r>
          </w:p>
        </w:tc>
      </w:tr>
    </w:tbl>
    <w:p w14:paraId="325F5BA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0E028712" w14:textId="77777777" w:rsidTr="00DB72C3">
        <w:tc>
          <w:tcPr>
            <w:tcW w:w="0" w:type="auto"/>
            <w:shd w:val="clear" w:color="auto" w:fill="auto"/>
            <w:hideMark/>
          </w:tcPr>
          <w:p w14:paraId="0F4C076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72C516A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refrain from publishing it, where the options set out in points (a) and (b) are deemed either insufficient to guarantee a lack of any danger for the stability of financial markets, or where such a publication would not be proportionate to the leniency of the imposed penalty.</w:t>
            </w:r>
          </w:p>
        </w:tc>
      </w:tr>
    </w:tbl>
    <w:p w14:paraId="120469D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In the case of a decision to publish an administrative penalty on an anonymous basis in accordance with paragraph 3, point (b), the publication of the relevant data may be postponed.</w:t>
      </w:r>
    </w:p>
    <w:p w14:paraId="4E5C848A"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Where a competent authority publishes a decision imposing an administrative penalty against which there is an appeal before the relevant judicial authorities, competent authorities shall immediately add on their official website that information and, at later stages, any subsequent related information on the outcome of such appeal. Any judicial decision annulling a decision imposing an administrative penalty shall also be published.</w:t>
      </w:r>
    </w:p>
    <w:p w14:paraId="4E558783"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Competent authorities shall ensure that any publication referred to in paragraphs 1 to 4 shall remain on their official website only for the period which is necessary to bring forth this Article. This period shall not exceed five years after its publication.</w:t>
      </w:r>
    </w:p>
    <w:p w14:paraId="423C7D3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55</w:t>
      </w:r>
    </w:p>
    <w:p w14:paraId="259C6B8B"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Professional secrecy</w:t>
      </w:r>
    </w:p>
    <w:p w14:paraId="7CD66EB0"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Any confidential information received, exchanged or transmitted pursuant to this Regulation shall be subject to the conditions of professional secrecy laid down in paragraph 2.</w:t>
      </w:r>
    </w:p>
    <w:p w14:paraId="496142C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The obligation of professional secrecy applies to all persons who work, or who have worked, for the competent authorities pursuant to this Regulation, or for any authority or market undertaking or natural or legal person to whom those competent authorities have delegated their powers, including auditors and experts contracted by them.</w:t>
      </w:r>
    </w:p>
    <w:p w14:paraId="334CD63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3.   Information covered by professional secrecy, including the exchange of information among competent authorities under this Regulation and competent authorities designated or established in accordance with Directive (EU) 2022/2555, shall not be disclosed to any other person or authority except by virtue of provisions laid down by Union or national law;</w:t>
      </w:r>
    </w:p>
    <w:p w14:paraId="25C1EB3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All information exchanged between the competent authorities pursuant to this Regulation that concerns business or operational conditions and other economic or personal affairs shall be considered confidential and shall be subject to the requirements of professional secrecy, except where the competent authority states, at the time of communication, that such information may be disclosed or where such disclosure is necessary for legal proceedings.</w:t>
      </w:r>
    </w:p>
    <w:p w14:paraId="1B699FE2"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56</w:t>
      </w:r>
    </w:p>
    <w:p w14:paraId="3E276117"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Data Protection</w:t>
      </w:r>
    </w:p>
    <w:p w14:paraId="07C48DD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ESAs and the competent authorities shall be allowed to process personal data only where necessary for the purpose of carrying out their respective obligations and duties pursuant to this Regulation, in particular for investigation, inspection, request for information, communication, publication, evaluation, verification, assessment and drafting of oversight plans. The personal data shall be processed in accordance with Regulation (EU) 2016/679 or Regulation (EU) 2018/1725, whichever is applicable.</w:t>
      </w:r>
    </w:p>
    <w:p w14:paraId="1A824CD2"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Except where otherwise provided in other sectoral acts, the personal data referred to in paragraph 1 shall be retained until the discharge of the applicable supervisory duties and in any case for a maximum period of 15 years, except in the event of pending court proceedings requiring further retention of such data.</w:t>
      </w:r>
    </w:p>
    <w:p w14:paraId="13C9D45B"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VIII</w:t>
      </w:r>
    </w:p>
    <w:p w14:paraId="40E46626"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Delegated acts</w:t>
      </w:r>
    </w:p>
    <w:p w14:paraId="152F9766"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57</w:t>
      </w:r>
    </w:p>
    <w:p w14:paraId="5DCFE47E"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Exercise of the delegation</w:t>
      </w:r>
    </w:p>
    <w:p w14:paraId="0B7D97B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The power to adopt delegated acts is conferred on the Commission subject to the conditions laid down in this Article.</w:t>
      </w:r>
    </w:p>
    <w:p w14:paraId="6C31BDBD"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 xml:space="preserve">2.   The power to adopt delegated acts referred to in Articles 31(6) and 43(2) shall be conferred on the Commission for a period of five years from 17 January 2024. The Commission shall draw up a report in respect of the delegation of power not later than nine months before the end of the five-year period. The delegation of power shall be tacitly extended for periods of an identical duration, unless the European Parliament or </w:t>
      </w:r>
      <w:r w:rsidRPr="00DB72C3">
        <w:rPr>
          <w:rFonts w:ascii="Times New Roman" w:eastAsia="Times New Roman" w:hAnsi="Times New Roman" w:cs="Times New Roman"/>
          <w:color w:val="333333"/>
          <w:sz w:val="27"/>
          <w:szCs w:val="27"/>
        </w:rPr>
        <w:lastRenderedPageBreak/>
        <w:t>the Council opposes such extension not later than three months before the end of each period.</w:t>
      </w:r>
    </w:p>
    <w:p w14:paraId="4B48E456"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The delegation of power referred to in Articles 31(6) and 43(2) may be revoked at any time by the European Parliament or by the Council. A decision to revoke shall put an end to the delegation of the power specified in that decision. It shall take effect the day following the publication of the decision in the </w:t>
      </w:r>
      <w:r w:rsidRPr="00DB72C3">
        <w:rPr>
          <w:rFonts w:ascii="Times New Roman" w:eastAsia="Times New Roman" w:hAnsi="Times New Roman" w:cs="Times New Roman"/>
          <w:i/>
          <w:iCs/>
          <w:color w:val="333333"/>
          <w:sz w:val="27"/>
          <w:szCs w:val="27"/>
        </w:rPr>
        <w:t>Official Journal of the European Union</w:t>
      </w:r>
      <w:r w:rsidRPr="00DB72C3">
        <w:rPr>
          <w:rFonts w:ascii="Times New Roman" w:eastAsia="Times New Roman" w:hAnsi="Times New Roman" w:cs="Times New Roman"/>
          <w:color w:val="333333"/>
          <w:sz w:val="27"/>
          <w:szCs w:val="27"/>
        </w:rPr>
        <w:t> or at a later date specified therein. It shall not affect the validity of any delegated acts already in force.</w:t>
      </w:r>
    </w:p>
    <w:p w14:paraId="466C87A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4.   Before adopting a delegated act, the Commission shall consult experts designated by each Member State in accordance with the principles laid down in the Interinstitutional Agreement of 13 April 2016 on Better Law-Making.</w:t>
      </w:r>
    </w:p>
    <w:p w14:paraId="4C9C7498"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5.   As soon as it adopts a delegated act, the Commission shall notify it simultaneously to the European Parliament and to the Council.</w:t>
      </w:r>
    </w:p>
    <w:p w14:paraId="2931D92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6.   A delegated act adopted pursuant to Articles 31(6) and 43(2) shall enter into force only if no objection has been expressed either by the European Parliament or by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7863FF75"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CHAPTER IX</w:t>
      </w:r>
    </w:p>
    <w:p w14:paraId="2F4C335A"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i/>
          <w:iCs/>
          <w:color w:val="333333"/>
          <w:sz w:val="27"/>
          <w:szCs w:val="27"/>
        </w:rPr>
        <w:t>Transitional and final provisions</w:t>
      </w:r>
    </w:p>
    <w:p w14:paraId="195AC350"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Section I</w:t>
      </w:r>
    </w:p>
    <w:p w14:paraId="4A038FB5"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58</w:t>
      </w:r>
    </w:p>
    <w:p w14:paraId="05ACDCB6"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Review clause</w:t>
      </w:r>
    </w:p>
    <w:p w14:paraId="539BF04F"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1.   By 17 January 2028, the Commission shall, after consulting the ESAs and the ESRB, as appropriate, carry out a review and submit a report to the European Parliament and the Council, accompanied, where appropriate, by a legislative proposal. The review shall include at least the following:</w:t>
      </w: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7804490" w14:textId="77777777" w:rsidTr="00DB72C3">
        <w:tc>
          <w:tcPr>
            <w:tcW w:w="0" w:type="auto"/>
            <w:shd w:val="clear" w:color="auto" w:fill="auto"/>
            <w:hideMark/>
          </w:tcPr>
          <w:p w14:paraId="205ED76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17A2F9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criteria for the designation of critical ICT third-party service providers in accordance with Article 31(2);</w:t>
            </w:r>
          </w:p>
        </w:tc>
      </w:tr>
    </w:tbl>
    <w:p w14:paraId="0ED335A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90"/>
        <w:gridCol w:w="9070"/>
      </w:tblGrid>
      <w:tr w:rsidR="00DB72C3" w:rsidRPr="00DB72C3" w14:paraId="54E83CF9" w14:textId="77777777" w:rsidTr="00DB72C3">
        <w:tc>
          <w:tcPr>
            <w:tcW w:w="0" w:type="auto"/>
            <w:shd w:val="clear" w:color="auto" w:fill="auto"/>
            <w:hideMark/>
          </w:tcPr>
          <w:p w14:paraId="57BD624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77093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voluntary nature of the notification of significant cyber threats referred to in Article 19;</w:t>
            </w:r>
          </w:p>
        </w:tc>
      </w:tr>
    </w:tbl>
    <w:p w14:paraId="6C77EDA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5E2A133" w14:textId="77777777" w:rsidTr="00DB72C3">
        <w:tc>
          <w:tcPr>
            <w:tcW w:w="0" w:type="auto"/>
            <w:shd w:val="clear" w:color="auto" w:fill="auto"/>
            <w:hideMark/>
          </w:tcPr>
          <w:p w14:paraId="4FE6022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(c)</w:t>
            </w:r>
          </w:p>
        </w:tc>
        <w:tc>
          <w:tcPr>
            <w:tcW w:w="0" w:type="auto"/>
            <w:shd w:val="clear" w:color="auto" w:fill="auto"/>
            <w:hideMark/>
          </w:tcPr>
          <w:p w14:paraId="45ED793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regime referred to in Article 31(12) and the powers of the Lead Overseer provided for in Article 35(1), point (d), point (iv), first indent, with a view to evaluating the effectiveness of those provisions with regard to ensuring effective oversight of critical ICT third-party service providers established in a third country, and the necessity to establish a subsidiary in the Union.</w:t>
            </w:r>
          </w:p>
          <w:p w14:paraId="424F43A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the purposes of the first subparagraph of this point, the review shall include an analysis of the regime referred to in Article 31(12), including in terms of access for Union financial entities to services from third countries and availability of such services on the Union market and it shall take into account further developments in the markets for the services covered by this Regulation, the practical experience of financial entities and financial supervisors with regard to the application and, respectively, supervision of that regime, and any relevant regulatory and supervisory developments taking place at international level.</w:t>
            </w:r>
          </w:p>
        </w:tc>
      </w:tr>
    </w:tbl>
    <w:p w14:paraId="124F0B5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B124FC7" w14:textId="77777777" w:rsidTr="00DB72C3">
        <w:tc>
          <w:tcPr>
            <w:tcW w:w="0" w:type="auto"/>
            <w:shd w:val="clear" w:color="auto" w:fill="auto"/>
            <w:hideMark/>
          </w:tcPr>
          <w:p w14:paraId="7D725B4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(d)</w:t>
            </w:r>
          </w:p>
        </w:tc>
        <w:tc>
          <w:tcPr>
            <w:tcW w:w="0" w:type="auto"/>
            <w:shd w:val="clear" w:color="auto" w:fill="auto"/>
            <w:hideMark/>
          </w:tcPr>
          <w:p w14:paraId="27246A6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appropriateness of including in the scope of this Regulation financial entities referred to in Article 2(3), point (e), making use of automated sales systems, in light of future market developments on the use of such systems;</w:t>
            </w:r>
          </w:p>
        </w:tc>
      </w:tr>
    </w:tbl>
    <w:p w14:paraId="488B49C7"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67"/>
        <w:gridCol w:w="9093"/>
      </w:tblGrid>
      <w:tr w:rsidR="00DB72C3" w:rsidRPr="00DB72C3" w14:paraId="78495D79" w14:textId="77777777" w:rsidTr="00DB72C3">
        <w:tc>
          <w:tcPr>
            <w:tcW w:w="0" w:type="auto"/>
            <w:shd w:val="clear" w:color="auto" w:fill="auto"/>
            <w:hideMark/>
          </w:tcPr>
          <w:p w14:paraId="229A31E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107875B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the functioning and effectiveness of the JON in supporting the consistency of the oversight and the efficiency of the exchange of information within the Oversight Framework.</w:t>
            </w:r>
          </w:p>
        </w:tc>
      </w:tr>
    </w:tbl>
    <w:p w14:paraId="3193E34B"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2.   In the context of the review of Directive (EU) 2015/2366, the Commission shall assess the need for increased cyber resilience of payment systems and payment-processing activities and the appropriateness of extending the scope of this Regulation to operators of payment systems and entities involved in payment-processing activities. In light of this assessment, the Commission shall submit, as part of the review of Directive (EU) 2015/2366, a report to the European Parliament and the Council no later than 17 July 2023.</w:t>
      </w:r>
    </w:p>
    <w:p w14:paraId="1183834C"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Based on that review report, and after consulting ESAs, ECB and the ESRB, the Commission may submit, where appropriate and as part of the legislative proposal that it may adopt pursuant to Article 108, second paragraph, of Directive (EU) 2015/2366, a proposal to ensure that all operators of payment systems and entities involved in payment-processing activities are subject to an appropriate oversight, while taking into account existing oversight by the central bank.</w:t>
      </w:r>
    </w:p>
    <w:p w14:paraId="7D50C64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3.   By 17 January 2026, the Commission shall, after consulting the ESAs and the Committee of European Auditing Oversight Bodies, carry out a review and submit a report to the European Parliament and the Council, accompanied, where appropriate, by a legislative proposal, on the appropriateness of strengthened requirements for statutory auditors and audit firms as regards digital operational resilience, by means of the inclusion of statutory auditors and audit firms into the scope of this Regulation or by means of amendments to Directive 2006/43/EC of the European Parliament and of the Council </w:t>
      </w:r>
      <w:hyperlink r:id="rId42" w:anchor="ntr39-L_2022333EN.01000101-E0039" w:history="1">
        <w:r w:rsidRPr="00DB72C3">
          <w:rPr>
            <w:rFonts w:ascii="Times New Roman" w:eastAsia="Times New Roman" w:hAnsi="Times New Roman" w:cs="Times New Roman"/>
            <w:color w:val="337AB7"/>
            <w:sz w:val="27"/>
            <w:szCs w:val="27"/>
          </w:rPr>
          <w:t>(</w:t>
        </w:r>
        <w:r w:rsidRPr="00DB72C3">
          <w:rPr>
            <w:rFonts w:ascii="Times New Roman" w:eastAsia="Times New Roman" w:hAnsi="Times New Roman" w:cs="Times New Roman"/>
            <w:color w:val="337AB7"/>
            <w:sz w:val="19"/>
            <w:szCs w:val="19"/>
            <w:vertAlign w:val="superscript"/>
          </w:rPr>
          <w:t>39</w:t>
        </w:r>
        <w:r w:rsidRPr="00DB72C3">
          <w:rPr>
            <w:rFonts w:ascii="Times New Roman" w:eastAsia="Times New Roman" w:hAnsi="Times New Roman" w:cs="Times New Roman"/>
            <w:color w:val="337AB7"/>
            <w:sz w:val="27"/>
            <w:szCs w:val="27"/>
          </w:rPr>
          <w:t>)</w:t>
        </w:r>
      </w:hyperlink>
      <w:r w:rsidRPr="00DB72C3">
        <w:rPr>
          <w:rFonts w:ascii="Times New Roman" w:eastAsia="Times New Roman" w:hAnsi="Times New Roman" w:cs="Times New Roman"/>
          <w:color w:val="333333"/>
          <w:sz w:val="27"/>
          <w:szCs w:val="27"/>
        </w:rPr>
        <w:t>.</w:t>
      </w:r>
    </w:p>
    <w:p w14:paraId="1ED3C9E5" w14:textId="77777777" w:rsidR="00DB72C3" w:rsidRPr="00DB72C3" w:rsidRDefault="00DB72C3" w:rsidP="00DB72C3">
      <w:pPr>
        <w:shd w:val="clear" w:color="auto" w:fill="FFFFFF"/>
        <w:spacing w:before="480" w:after="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lastRenderedPageBreak/>
        <w:t>Section II</w:t>
      </w:r>
    </w:p>
    <w:p w14:paraId="3DF514E8" w14:textId="77777777" w:rsidR="00DB72C3" w:rsidRPr="00DB72C3" w:rsidRDefault="00DB72C3" w:rsidP="00DB72C3">
      <w:pPr>
        <w:shd w:val="clear" w:color="auto" w:fill="FFFFFF"/>
        <w:spacing w:before="75"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Amendments</w:t>
      </w:r>
    </w:p>
    <w:p w14:paraId="7E2FE364"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59</w:t>
      </w:r>
    </w:p>
    <w:p w14:paraId="0E336EBD"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Amendments to Regulation (EC) No 1060/2009</w:t>
      </w:r>
    </w:p>
    <w:p w14:paraId="662C026E"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Regulation (EC) No 1060/2009 is amended as follows:</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596098C" w14:textId="77777777" w:rsidTr="00DB72C3">
        <w:tc>
          <w:tcPr>
            <w:tcW w:w="0" w:type="auto"/>
            <w:shd w:val="clear" w:color="auto" w:fill="auto"/>
            <w:hideMark/>
          </w:tcPr>
          <w:p w14:paraId="416611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03BB1A2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Annex I, Section A, point 4, the first subparagraph is replaced by the following:</w:t>
            </w:r>
          </w:p>
          <w:p w14:paraId="3BE7D15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credit rating agency shall have sound administrative and accounting procedures, internal control mechanisms, effective procedures for risk assessment, and effective control and safeguard arrangements for managing ICT systems in accordance with Regulation (EU) 2022/2554 of the European Parliament and of the Council</w:t>
            </w:r>
            <w:hyperlink r:id="rId43" w:anchor="ntr*1-L_2022333EN.01000101-E0040" w:history="1">
              <w:r w:rsidRPr="00DB72C3">
                <w:rPr>
                  <w:rFonts w:ascii="Times New Roman" w:eastAsia="Times New Roman" w:hAnsi="Times New Roman" w:cs="Times New Roman"/>
                  <w:color w:val="337AB7"/>
                  <w:sz w:val="24"/>
                  <w:szCs w:val="24"/>
                </w:rPr>
                <w:t> (</w:t>
              </w:r>
              <w:r w:rsidRPr="00DB72C3">
                <w:rPr>
                  <w:rFonts w:ascii="Times New Roman" w:eastAsia="Times New Roman" w:hAnsi="Times New Roman" w:cs="Times New Roman"/>
                  <w:color w:val="337AB7"/>
                  <w:sz w:val="17"/>
                  <w:szCs w:val="17"/>
                  <w:vertAlign w:val="superscript"/>
                </w:rPr>
                <w:t>*1</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p w14:paraId="4755E744" w14:textId="77777777" w:rsidR="00DB72C3" w:rsidRPr="00DB72C3" w:rsidRDefault="00DB72C3" w:rsidP="00DB72C3">
            <w:pPr>
              <w:spacing w:before="60" w:after="60" w:line="312" w:lineRule="atLeast"/>
              <w:jc w:val="both"/>
              <w:rPr>
                <w:rFonts w:ascii="Times New Roman" w:eastAsia="Times New Roman" w:hAnsi="Times New Roman" w:cs="Times New Roman"/>
                <w:sz w:val="19"/>
                <w:szCs w:val="19"/>
              </w:rPr>
            </w:pPr>
            <w:hyperlink r:id="rId44" w:anchor="ntc*1-L_2022333EN.01000101-E0040" w:history="1">
              <w:r w:rsidRPr="00DB72C3">
                <w:rPr>
                  <w:rFonts w:ascii="Times New Roman" w:eastAsia="Times New Roman" w:hAnsi="Times New Roman" w:cs="Times New Roman"/>
                  <w:color w:val="337AB7"/>
                  <w:sz w:val="19"/>
                  <w:szCs w:val="19"/>
                </w:rPr>
                <w:t>(</w:t>
              </w:r>
              <w:r w:rsidRPr="00DB72C3">
                <w:rPr>
                  <w:rFonts w:ascii="Times New Roman" w:eastAsia="Times New Roman" w:hAnsi="Times New Roman" w:cs="Times New Roman"/>
                  <w:color w:val="337AB7"/>
                  <w:sz w:val="13"/>
                  <w:szCs w:val="13"/>
                  <w:vertAlign w:val="superscript"/>
                </w:rPr>
                <w:t>*1</w:t>
              </w:r>
              <w:r w:rsidRPr="00DB72C3">
                <w:rPr>
                  <w:rFonts w:ascii="Times New Roman" w:eastAsia="Times New Roman" w:hAnsi="Times New Roman" w:cs="Times New Roman"/>
                  <w:color w:val="337AB7"/>
                  <w:sz w:val="19"/>
                  <w:szCs w:val="19"/>
                </w:rPr>
                <w:t>)</w:t>
              </w:r>
            </w:hyperlink>
            <w:r w:rsidRPr="00DB72C3">
              <w:rPr>
                <w:rFonts w:ascii="Times New Roman" w:eastAsia="Times New Roman" w:hAnsi="Times New Roman" w:cs="Times New Roman"/>
                <w:sz w:val="19"/>
                <w:szCs w:val="19"/>
              </w:rPr>
              <w:t>  Regulation (EU) 2022/2554 of the European Parliament and of the Council of 14 December 2022 on digital operational resilience for the financial sector and amending Regulations (EC) No 1060/2009, (EU) No 648/2012, (EU) No 600/2014, (EU) No 909/2014 and (EU) 2016/1011 (</w:t>
            </w:r>
            <w:hyperlink r:id="rId45" w:history="1">
              <w:r w:rsidRPr="00DB72C3">
                <w:rPr>
                  <w:rFonts w:ascii="Times New Roman" w:eastAsia="Times New Roman" w:hAnsi="Times New Roman" w:cs="Times New Roman"/>
                  <w:color w:val="337AB7"/>
                  <w:sz w:val="19"/>
                  <w:szCs w:val="19"/>
                </w:rPr>
                <w:t>OJ L 333, 27.12.2022, p. 1</w:t>
              </w:r>
            </w:hyperlink>
            <w:r w:rsidRPr="00DB72C3">
              <w:rPr>
                <w:rFonts w:ascii="Times New Roman" w:eastAsia="Times New Roman" w:hAnsi="Times New Roman" w:cs="Times New Roman"/>
                <w:sz w:val="19"/>
                <w:szCs w:val="19"/>
              </w:rPr>
              <w:t>).’;"</w:t>
            </w:r>
          </w:p>
        </w:tc>
      </w:tr>
    </w:tbl>
    <w:p w14:paraId="27F924A4"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53BE24DD" w14:textId="77777777" w:rsidTr="00DB72C3">
        <w:tc>
          <w:tcPr>
            <w:tcW w:w="0" w:type="auto"/>
            <w:shd w:val="clear" w:color="auto" w:fill="auto"/>
            <w:hideMark/>
          </w:tcPr>
          <w:p w14:paraId="1BFF66D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w:t>
            </w:r>
          </w:p>
        </w:tc>
        <w:tc>
          <w:tcPr>
            <w:tcW w:w="0" w:type="auto"/>
            <w:shd w:val="clear" w:color="auto" w:fill="auto"/>
            <w:hideMark/>
          </w:tcPr>
          <w:p w14:paraId="3018457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Annex III, point 12 is replaced by the following:</w:t>
            </w:r>
          </w:p>
          <w:tbl>
            <w:tblPr>
              <w:tblW w:w="5000" w:type="pct"/>
              <w:tblCellMar>
                <w:left w:w="0" w:type="dxa"/>
                <w:right w:w="0" w:type="dxa"/>
              </w:tblCellMar>
              <w:tblLook w:val="04A0" w:firstRow="1" w:lastRow="0" w:firstColumn="1" w:lastColumn="0" w:noHBand="0" w:noVBand="1"/>
            </w:tblPr>
            <w:tblGrid>
              <w:gridCol w:w="380"/>
              <w:gridCol w:w="8700"/>
            </w:tblGrid>
            <w:tr w:rsidR="00DB72C3" w:rsidRPr="00DB72C3" w14:paraId="02D45C10" w14:textId="77777777">
              <w:tc>
                <w:tcPr>
                  <w:tcW w:w="0" w:type="auto"/>
                  <w:shd w:val="clear" w:color="auto" w:fill="auto"/>
                  <w:hideMark/>
                </w:tcPr>
                <w:p w14:paraId="2E2D51B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‘12.</w:t>
                  </w:r>
                </w:p>
              </w:tc>
              <w:tc>
                <w:tcPr>
                  <w:tcW w:w="0" w:type="auto"/>
                  <w:shd w:val="clear" w:color="auto" w:fill="auto"/>
                  <w:hideMark/>
                </w:tcPr>
                <w:p w14:paraId="1BA422B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credit rating agency infringes Article 6(2), in conjunction with point 4 of Section A of Annex I, by not having sound administrative or accounting procedures, internal control mechanisms, effective procedures for risk assessment, or effective control or safeguard arrangements for managing ICT systems in accordance with Regulation (EU) 2022/2554; or by not implementing or maintaining decision-making procedures or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structures as required by that point.’.</w:t>
                  </w:r>
                </w:p>
              </w:tc>
            </w:tr>
          </w:tbl>
          <w:p w14:paraId="27DC9147"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40991B7C"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60</w:t>
      </w:r>
    </w:p>
    <w:p w14:paraId="4CC03EC9"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Amendments to Regulation (EU) No 648/2012</w:t>
      </w:r>
    </w:p>
    <w:p w14:paraId="06357D97"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Regulation (EU) No 648/2012 is amended as follows:</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399ED7E4" w14:textId="77777777" w:rsidTr="00DB72C3">
        <w:tc>
          <w:tcPr>
            <w:tcW w:w="0" w:type="auto"/>
            <w:shd w:val="clear" w:color="auto" w:fill="auto"/>
            <w:hideMark/>
          </w:tcPr>
          <w:p w14:paraId="4D1FB1C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53F48B7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Article 26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0C6EFDC3" w14:textId="77777777">
              <w:tc>
                <w:tcPr>
                  <w:tcW w:w="0" w:type="auto"/>
                  <w:shd w:val="clear" w:color="auto" w:fill="auto"/>
                  <w:hideMark/>
                </w:tcPr>
                <w:p w14:paraId="6797427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0DD170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3 is replaced by the following:</w:t>
                  </w:r>
                </w:p>
                <w:p w14:paraId="2CC9854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‘3.   A CCP shall maintain and operate an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structure that ensures continuity and orderly functioning in the performance of its services and activities. It shall employ appropriate and proportionate systems, resources and procedures, including ICT systems managed in accordance with Regulation (EU) 2022/2554 of the European Parliament and of the Council</w:t>
                  </w:r>
                  <w:hyperlink r:id="rId46" w:anchor="ntr*2-L_2022333EN.01000101-E0041" w:history="1">
                    <w:r w:rsidRPr="00DB72C3">
                      <w:rPr>
                        <w:rFonts w:ascii="Times New Roman" w:eastAsia="Times New Roman" w:hAnsi="Times New Roman" w:cs="Times New Roman"/>
                        <w:color w:val="337AB7"/>
                        <w:sz w:val="24"/>
                        <w:szCs w:val="24"/>
                      </w:rPr>
                      <w:t> (</w:t>
                    </w:r>
                    <w:r w:rsidRPr="00DB72C3">
                      <w:rPr>
                        <w:rFonts w:ascii="Times New Roman" w:eastAsia="Times New Roman" w:hAnsi="Times New Roman" w:cs="Times New Roman"/>
                        <w:color w:val="337AB7"/>
                        <w:sz w:val="17"/>
                        <w:szCs w:val="17"/>
                        <w:vertAlign w:val="superscript"/>
                      </w:rPr>
                      <w:t>*2</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p w14:paraId="4A0A691B" w14:textId="77777777" w:rsidR="00DB72C3" w:rsidRPr="00DB72C3" w:rsidRDefault="00DB72C3" w:rsidP="00DB72C3">
                  <w:pPr>
                    <w:spacing w:before="60" w:after="60" w:line="312" w:lineRule="atLeast"/>
                    <w:jc w:val="both"/>
                    <w:rPr>
                      <w:rFonts w:ascii="Times New Roman" w:eastAsia="Times New Roman" w:hAnsi="Times New Roman" w:cs="Times New Roman"/>
                      <w:sz w:val="19"/>
                      <w:szCs w:val="19"/>
                    </w:rPr>
                  </w:pPr>
                  <w:hyperlink r:id="rId47" w:anchor="ntc*2-L_2022333EN.01000101-E0041" w:history="1">
                    <w:r w:rsidRPr="00DB72C3">
                      <w:rPr>
                        <w:rFonts w:ascii="Times New Roman" w:eastAsia="Times New Roman" w:hAnsi="Times New Roman" w:cs="Times New Roman"/>
                        <w:color w:val="337AB7"/>
                        <w:sz w:val="19"/>
                        <w:szCs w:val="19"/>
                      </w:rPr>
                      <w:t>(</w:t>
                    </w:r>
                    <w:r w:rsidRPr="00DB72C3">
                      <w:rPr>
                        <w:rFonts w:ascii="Times New Roman" w:eastAsia="Times New Roman" w:hAnsi="Times New Roman" w:cs="Times New Roman"/>
                        <w:color w:val="337AB7"/>
                        <w:sz w:val="13"/>
                        <w:szCs w:val="13"/>
                        <w:vertAlign w:val="superscript"/>
                      </w:rPr>
                      <w:t>*2</w:t>
                    </w:r>
                    <w:r w:rsidRPr="00DB72C3">
                      <w:rPr>
                        <w:rFonts w:ascii="Times New Roman" w:eastAsia="Times New Roman" w:hAnsi="Times New Roman" w:cs="Times New Roman"/>
                        <w:color w:val="337AB7"/>
                        <w:sz w:val="19"/>
                        <w:szCs w:val="19"/>
                      </w:rPr>
                      <w:t>)</w:t>
                    </w:r>
                  </w:hyperlink>
                  <w:r w:rsidRPr="00DB72C3">
                    <w:rPr>
                      <w:rFonts w:ascii="Times New Roman" w:eastAsia="Times New Roman" w:hAnsi="Times New Roman" w:cs="Times New Roman"/>
                      <w:sz w:val="19"/>
                      <w:szCs w:val="19"/>
                    </w:rPr>
                    <w:t>  Regulation (EU) 2022/2554 of the European Parliament and of the Council of 14 December 2022 on digital operational resilience for the financial sector and amending Regulations (EC) No 1060/2009, (EU) No 648/2012, (EU) No 600/2014, (EU) No 909/2014 and (EU) 2016/1011 (</w:t>
                  </w:r>
                  <w:hyperlink r:id="rId48" w:history="1">
                    <w:r w:rsidRPr="00DB72C3">
                      <w:rPr>
                        <w:rFonts w:ascii="Times New Roman" w:eastAsia="Times New Roman" w:hAnsi="Times New Roman" w:cs="Times New Roman"/>
                        <w:color w:val="337AB7"/>
                        <w:sz w:val="19"/>
                        <w:szCs w:val="19"/>
                      </w:rPr>
                      <w:t>OJ L 333, 27.12.2022, p. 1</w:t>
                    </w:r>
                  </w:hyperlink>
                  <w:r w:rsidRPr="00DB72C3">
                    <w:rPr>
                      <w:rFonts w:ascii="Times New Roman" w:eastAsia="Times New Roman" w:hAnsi="Times New Roman" w:cs="Times New Roman"/>
                      <w:sz w:val="19"/>
                      <w:szCs w:val="19"/>
                    </w:rPr>
                    <w:t>).’;"</w:t>
                  </w:r>
                </w:p>
              </w:tc>
            </w:tr>
          </w:tbl>
          <w:p w14:paraId="1909EA39"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1033"/>
              <w:gridCol w:w="8047"/>
            </w:tblGrid>
            <w:tr w:rsidR="00DB72C3" w:rsidRPr="00DB72C3" w14:paraId="37F416C1" w14:textId="77777777">
              <w:tc>
                <w:tcPr>
                  <w:tcW w:w="0" w:type="auto"/>
                  <w:shd w:val="clear" w:color="auto" w:fill="auto"/>
                  <w:hideMark/>
                </w:tcPr>
                <w:p w14:paraId="2C6B52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(b)</w:t>
                  </w:r>
                </w:p>
              </w:tc>
              <w:tc>
                <w:tcPr>
                  <w:tcW w:w="0" w:type="auto"/>
                  <w:shd w:val="clear" w:color="auto" w:fill="auto"/>
                  <w:hideMark/>
                </w:tcPr>
                <w:p w14:paraId="2C363DF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6 is deleted;</w:t>
                  </w:r>
                </w:p>
              </w:tc>
            </w:tr>
          </w:tbl>
          <w:p w14:paraId="2A19C4C7"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1DCD1840"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17EB933" w14:textId="77777777" w:rsidTr="00DB72C3">
        <w:tc>
          <w:tcPr>
            <w:tcW w:w="0" w:type="auto"/>
            <w:shd w:val="clear" w:color="auto" w:fill="auto"/>
            <w:hideMark/>
          </w:tcPr>
          <w:p w14:paraId="6028219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w:t>
            </w:r>
          </w:p>
        </w:tc>
        <w:tc>
          <w:tcPr>
            <w:tcW w:w="0" w:type="auto"/>
            <w:shd w:val="clear" w:color="auto" w:fill="auto"/>
            <w:hideMark/>
          </w:tcPr>
          <w:p w14:paraId="7E9DB5F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Article 34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4BAD2A8B" w14:textId="77777777">
              <w:tc>
                <w:tcPr>
                  <w:tcW w:w="0" w:type="auto"/>
                  <w:shd w:val="clear" w:color="auto" w:fill="auto"/>
                  <w:hideMark/>
                </w:tcPr>
                <w:p w14:paraId="035A6DD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F35ACD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1 is replaced by the following:</w:t>
                  </w:r>
                </w:p>
                <w:p w14:paraId="0934DA7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   A CCP shall establish, implement and maintain an adequate business continuity policy and disaster recovery plan, which shall include ICT business continuity policy and ICT response and recovery plans put in place and implemented in accordance with Regulation (EU) 2022/2554, aiming to ensure the preservation of its functions, the timely recovery of operations and the fulfilment of the CCP’s obligations.’;</w:t>
                  </w:r>
                </w:p>
              </w:tc>
            </w:tr>
          </w:tbl>
          <w:p w14:paraId="4D45FC40"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80"/>
              <w:gridCol w:w="8800"/>
            </w:tblGrid>
            <w:tr w:rsidR="00DB72C3" w:rsidRPr="00DB72C3" w14:paraId="3DC5E294" w14:textId="77777777">
              <w:tc>
                <w:tcPr>
                  <w:tcW w:w="0" w:type="auto"/>
                  <w:shd w:val="clear" w:color="auto" w:fill="auto"/>
                  <w:hideMark/>
                </w:tcPr>
                <w:p w14:paraId="10EAF0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013830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paragraph 3, the first subparagraph is replaced by the following:</w:t>
                  </w:r>
                </w:p>
                <w:p w14:paraId="2795ED8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   In order to ensure consistent application of this Article, ESMA shall, after consulting the members of the ESCB, develop draft regulatory technical standards specifying the minimum content and requirements of the business continuity policy and of the disaster recovery plan, excluding ICT business continuity policy and disaster recovery plans.’;</w:t>
                  </w:r>
                </w:p>
              </w:tc>
            </w:tr>
          </w:tbl>
          <w:p w14:paraId="6B922ABE"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5593D53C"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9D0D33B" w14:textId="77777777" w:rsidTr="00DB72C3">
        <w:tc>
          <w:tcPr>
            <w:tcW w:w="0" w:type="auto"/>
            <w:shd w:val="clear" w:color="auto" w:fill="auto"/>
            <w:hideMark/>
          </w:tcPr>
          <w:p w14:paraId="2368345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w:t>
            </w:r>
          </w:p>
        </w:tc>
        <w:tc>
          <w:tcPr>
            <w:tcW w:w="0" w:type="auto"/>
            <w:shd w:val="clear" w:color="auto" w:fill="auto"/>
            <w:hideMark/>
          </w:tcPr>
          <w:p w14:paraId="6FADBE4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Article 56(3), the first subparagraph is replaced by the following:</w:t>
            </w:r>
          </w:p>
          <w:p w14:paraId="7768C81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   In order to ensure consistent application of this Article, ESMA shall develop draft regulatory technical standards specifying the details, other than for requirements related to ICT risk management, of the application for registration referred to in paragraph 1.’;</w:t>
            </w:r>
          </w:p>
        </w:tc>
      </w:tr>
    </w:tbl>
    <w:p w14:paraId="2B442CD1"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489FE9F7" w14:textId="77777777" w:rsidTr="00DB72C3">
        <w:tc>
          <w:tcPr>
            <w:tcW w:w="0" w:type="auto"/>
            <w:shd w:val="clear" w:color="auto" w:fill="auto"/>
            <w:hideMark/>
          </w:tcPr>
          <w:p w14:paraId="7178121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w:t>
            </w:r>
          </w:p>
        </w:tc>
        <w:tc>
          <w:tcPr>
            <w:tcW w:w="0" w:type="auto"/>
            <w:shd w:val="clear" w:color="auto" w:fill="auto"/>
            <w:hideMark/>
          </w:tcPr>
          <w:p w14:paraId="265BA14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Article 79, paragraphs 1 and 2 are replaced by the following:</w:t>
            </w:r>
          </w:p>
          <w:p w14:paraId="2445EF7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‘1.   A trade repository shall identify sources of operational risk and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them also through the development of appropriate systems, controls and procedures, including ICT systems managed in accordance with Regulation (EU) 2022/2554.</w:t>
            </w:r>
          </w:p>
          <w:p w14:paraId="29FF77B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   A trade repository shall establish, implement and maintain an adequate business continuity policy and disaster recovery plan including ICT business continuity policy and ICT response and recovery plans established in accordance with Regulation (EU) 2022/2554, aiming to ensure the maintenance of its functions, the timely recovery of operations and the fulfilment of the trade repository’s obligations.’;</w:t>
            </w:r>
          </w:p>
        </w:tc>
      </w:tr>
    </w:tbl>
    <w:p w14:paraId="39DF7DB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692"/>
        <w:gridCol w:w="8668"/>
      </w:tblGrid>
      <w:tr w:rsidR="00DB72C3" w:rsidRPr="00DB72C3" w14:paraId="35827B46" w14:textId="77777777" w:rsidTr="00DB72C3">
        <w:tc>
          <w:tcPr>
            <w:tcW w:w="0" w:type="auto"/>
            <w:shd w:val="clear" w:color="auto" w:fill="auto"/>
            <w:hideMark/>
          </w:tcPr>
          <w:p w14:paraId="4DE6151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w:t>
            </w:r>
          </w:p>
        </w:tc>
        <w:tc>
          <w:tcPr>
            <w:tcW w:w="0" w:type="auto"/>
            <w:shd w:val="clear" w:color="auto" w:fill="auto"/>
            <w:hideMark/>
          </w:tcPr>
          <w:p w14:paraId="0EC4F89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Article 80, paragraph 1 is deleted.</w:t>
            </w:r>
          </w:p>
        </w:tc>
      </w:tr>
    </w:tbl>
    <w:p w14:paraId="69BFF6E8"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DC3BEC2" w14:textId="77777777" w:rsidTr="00DB72C3">
        <w:tc>
          <w:tcPr>
            <w:tcW w:w="0" w:type="auto"/>
            <w:shd w:val="clear" w:color="auto" w:fill="auto"/>
            <w:hideMark/>
          </w:tcPr>
          <w:p w14:paraId="0470114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w:t>
            </w:r>
          </w:p>
        </w:tc>
        <w:tc>
          <w:tcPr>
            <w:tcW w:w="0" w:type="auto"/>
            <w:shd w:val="clear" w:color="auto" w:fill="auto"/>
            <w:hideMark/>
          </w:tcPr>
          <w:p w14:paraId="5A529E7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Annex I, Section II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5D2A825A" w14:textId="77777777">
              <w:tc>
                <w:tcPr>
                  <w:tcW w:w="0" w:type="auto"/>
                  <w:shd w:val="clear" w:color="auto" w:fill="auto"/>
                  <w:hideMark/>
                </w:tcPr>
                <w:p w14:paraId="2E96096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CF2B96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points (a) and (b) are replaced by the following:</w:t>
                  </w:r>
                </w:p>
                <w:tbl>
                  <w:tblPr>
                    <w:tblW w:w="5000" w:type="pct"/>
                    <w:tblCellMar>
                      <w:left w:w="0" w:type="dxa"/>
                      <w:right w:w="0" w:type="dxa"/>
                    </w:tblCellMar>
                    <w:tblLook w:val="04A0" w:firstRow="1" w:lastRow="0" w:firstColumn="1" w:lastColumn="0" w:noHBand="0" w:noVBand="1"/>
                  </w:tblPr>
                  <w:tblGrid>
                    <w:gridCol w:w="347"/>
                    <w:gridCol w:w="8466"/>
                  </w:tblGrid>
                  <w:tr w:rsidR="00DB72C3" w:rsidRPr="00DB72C3" w14:paraId="5C9282D4" w14:textId="77777777">
                    <w:tc>
                      <w:tcPr>
                        <w:tcW w:w="0" w:type="auto"/>
                        <w:shd w:val="clear" w:color="auto" w:fill="auto"/>
                        <w:hideMark/>
                      </w:tcPr>
                      <w:p w14:paraId="16BEDB1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32E6D55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 trade repository infringes Article 79(1) by not identifying sources of operational risk or by not </w:t>
                        </w:r>
                        <w:proofErr w:type="spellStart"/>
                        <w:r w:rsidRPr="00DB72C3">
                          <w:rPr>
                            <w:rFonts w:ascii="Times New Roman" w:eastAsia="Times New Roman" w:hAnsi="Times New Roman" w:cs="Times New Roman"/>
                            <w:sz w:val="24"/>
                            <w:szCs w:val="24"/>
                          </w:rPr>
                          <w:t>minimising</w:t>
                        </w:r>
                        <w:proofErr w:type="spellEnd"/>
                        <w:r w:rsidRPr="00DB72C3">
                          <w:rPr>
                            <w:rFonts w:ascii="Times New Roman" w:eastAsia="Times New Roman" w:hAnsi="Times New Roman" w:cs="Times New Roman"/>
                            <w:sz w:val="24"/>
                            <w:szCs w:val="24"/>
                          </w:rPr>
                          <w:t xml:space="preserve"> those risks through the development of appropriate systems, controls and procedures including ICT systems managed in accordance with Regulation (EU) 2022/2554;</w:t>
                        </w:r>
                      </w:p>
                    </w:tc>
                  </w:tr>
                </w:tbl>
                <w:p w14:paraId="7BB1E94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80"/>
                    <w:gridCol w:w="8533"/>
                  </w:tblGrid>
                  <w:tr w:rsidR="00DB72C3" w:rsidRPr="00DB72C3" w14:paraId="04DE0C3C" w14:textId="77777777">
                    <w:tc>
                      <w:tcPr>
                        <w:tcW w:w="0" w:type="auto"/>
                        <w:shd w:val="clear" w:color="auto" w:fill="auto"/>
                        <w:hideMark/>
                      </w:tcPr>
                      <w:p w14:paraId="734E9EE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2A3315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 trade repository infringes Article 79(2) by not establishing, implementing or maintaining an adequate business continuity policy and disaster recovery plan established </w:t>
                        </w:r>
                        <w:r w:rsidRPr="00DB72C3">
                          <w:rPr>
                            <w:rFonts w:ascii="Times New Roman" w:eastAsia="Times New Roman" w:hAnsi="Times New Roman" w:cs="Times New Roman"/>
                            <w:sz w:val="24"/>
                            <w:szCs w:val="24"/>
                          </w:rPr>
                          <w:lastRenderedPageBreak/>
                          <w:t>in accordance with Regulation (EU) 2022/2554, aiming to ensure the maintenance of its functions, the timely recovery of operations and the fulfilment of the trade repository’s obligations;’;</w:t>
                        </w:r>
                      </w:p>
                    </w:tc>
                  </w:tr>
                </w:tbl>
                <w:p w14:paraId="5587FE10"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42D7AF08"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1192"/>
              <w:gridCol w:w="7888"/>
            </w:tblGrid>
            <w:tr w:rsidR="00DB72C3" w:rsidRPr="00DB72C3" w14:paraId="588C98CD" w14:textId="77777777">
              <w:tc>
                <w:tcPr>
                  <w:tcW w:w="0" w:type="auto"/>
                  <w:shd w:val="clear" w:color="auto" w:fill="auto"/>
                  <w:hideMark/>
                </w:tcPr>
                <w:p w14:paraId="676294C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4BF386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point (c) is deleted.</w:t>
                  </w:r>
                </w:p>
              </w:tc>
            </w:tr>
          </w:tbl>
          <w:p w14:paraId="24CED4BB"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4979F47D"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E403068" w14:textId="77777777" w:rsidTr="00DB72C3">
        <w:tc>
          <w:tcPr>
            <w:tcW w:w="0" w:type="auto"/>
            <w:shd w:val="clear" w:color="auto" w:fill="auto"/>
            <w:hideMark/>
          </w:tcPr>
          <w:p w14:paraId="66A53B5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(7)</w:t>
            </w:r>
          </w:p>
        </w:tc>
        <w:tc>
          <w:tcPr>
            <w:tcW w:w="0" w:type="auto"/>
            <w:shd w:val="clear" w:color="auto" w:fill="auto"/>
            <w:hideMark/>
          </w:tcPr>
          <w:p w14:paraId="6BE29A4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Annex III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1607015D" w14:textId="77777777">
              <w:tc>
                <w:tcPr>
                  <w:tcW w:w="0" w:type="auto"/>
                  <w:shd w:val="clear" w:color="auto" w:fill="auto"/>
                  <w:hideMark/>
                </w:tcPr>
                <w:p w14:paraId="6F4655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83A1F9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Section II is amended as follows:</w:t>
                  </w:r>
                </w:p>
                <w:tbl>
                  <w:tblPr>
                    <w:tblW w:w="5000" w:type="pct"/>
                    <w:tblCellMar>
                      <w:left w:w="0" w:type="dxa"/>
                      <w:right w:w="0" w:type="dxa"/>
                    </w:tblCellMar>
                    <w:tblLook w:val="04A0" w:firstRow="1" w:lastRow="0" w:firstColumn="1" w:lastColumn="0" w:noHBand="0" w:noVBand="1"/>
                  </w:tblPr>
                  <w:tblGrid>
                    <w:gridCol w:w="227"/>
                    <w:gridCol w:w="8586"/>
                  </w:tblGrid>
                  <w:tr w:rsidR="00DB72C3" w:rsidRPr="00DB72C3" w14:paraId="61E7F23E" w14:textId="77777777">
                    <w:tc>
                      <w:tcPr>
                        <w:tcW w:w="0" w:type="auto"/>
                        <w:shd w:val="clear" w:color="auto" w:fill="auto"/>
                        <w:hideMark/>
                      </w:tcPr>
                      <w:p w14:paraId="68DB3A3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w:t>
                        </w:r>
                        <w:proofErr w:type="spellStart"/>
                        <w:r w:rsidRPr="00DB72C3">
                          <w:rPr>
                            <w:rFonts w:ascii="Times New Roman" w:eastAsia="Times New Roman" w:hAnsi="Times New Roman" w:cs="Times New Roman"/>
                            <w:sz w:val="24"/>
                            <w:szCs w:val="24"/>
                          </w:rPr>
                          <w:t>i</w:t>
                        </w:r>
                        <w:proofErr w:type="spellEnd"/>
                        <w:r w:rsidRPr="00DB72C3">
                          <w:rPr>
                            <w:rFonts w:ascii="Times New Roman" w:eastAsia="Times New Roman" w:hAnsi="Times New Roman" w:cs="Times New Roman"/>
                            <w:sz w:val="24"/>
                            <w:szCs w:val="24"/>
                          </w:rPr>
                          <w:t>)</w:t>
                        </w:r>
                      </w:p>
                    </w:tc>
                    <w:tc>
                      <w:tcPr>
                        <w:tcW w:w="0" w:type="auto"/>
                        <w:shd w:val="clear" w:color="auto" w:fill="auto"/>
                        <w:hideMark/>
                      </w:tcPr>
                      <w:p w14:paraId="3D55907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point (c) is replaced by the following:</w:t>
                        </w:r>
                      </w:p>
                      <w:tbl>
                        <w:tblPr>
                          <w:tblW w:w="5000" w:type="pct"/>
                          <w:tblCellMar>
                            <w:left w:w="0" w:type="dxa"/>
                            <w:right w:w="0" w:type="dxa"/>
                          </w:tblCellMar>
                          <w:tblLook w:val="04A0" w:firstRow="1" w:lastRow="0" w:firstColumn="1" w:lastColumn="0" w:noHBand="0" w:noVBand="1"/>
                        </w:tblPr>
                        <w:tblGrid>
                          <w:gridCol w:w="347"/>
                          <w:gridCol w:w="8239"/>
                        </w:tblGrid>
                        <w:tr w:rsidR="00DB72C3" w:rsidRPr="00DB72C3" w14:paraId="07FE527F" w14:textId="77777777">
                          <w:tc>
                            <w:tcPr>
                              <w:tcW w:w="0" w:type="auto"/>
                              <w:shd w:val="clear" w:color="auto" w:fill="auto"/>
                              <w:hideMark/>
                            </w:tcPr>
                            <w:p w14:paraId="16943DC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50131AF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a Tier 2 CCP infringes Article 26(3) by not maintaining or operating an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structure that ensures continuity and orderly functioning in the performance of its services and activities or by not employing appropriate and proportionate systems, resources or procedures including ICT systems managed in accordance with Regulation (EU) 2022/2554;’;</w:t>
                              </w:r>
                            </w:p>
                          </w:tc>
                        </w:tr>
                      </w:tbl>
                      <w:p w14:paraId="42AF80AB"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1A45115D"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1222"/>
                    <w:gridCol w:w="7591"/>
                  </w:tblGrid>
                  <w:tr w:rsidR="00DB72C3" w:rsidRPr="00DB72C3" w14:paraId="0352B388" w14:textId="77777777">
                    <w:tc>
                      <w:tcPr>
                        <w:tcW w:w="0" w:type="auto"/>
                        <w:shd w:val="clear" w:color="auto" w:fill="auto"/>
                        <w:hideMark/>
                      </w:tcPr>
                      <w:p w14:paraId="66B7D24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(ii)</w:t>
                        </w:r>
                      </w:p>
                    </w:tc>
                    <w:tc>
                      <w:tcPr>
                        <w:tcW w:w="0" w:type="auto"/>
                        <w:shd w:val="clear" w:color="auto" w:fill="auto"/>
                        <w:hideMark/>
                      </w:tcPr>
                      <w:p w14:paraId="350B0885"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point (f) is deleted.</w:t>
                        </w:r>
                      </w:p>
                    </w:tc>
                  </w:tr>
                </w:tbl>
                <w:p w14:paraId="16BE1A63"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5CC1C83"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80"/>
              <w:gridCol w:w="8800"/>
            </w:tblGrid>
            <w:tr w:rsidR="00DB72C3" w:rsidRPr="00DB72C3" w14:paraId="4E568810" w14:textId="77777777">
              <w:tc>
                <w:tcPr>
                  <w:tcW w:w="0" w:type="auto"/>
                  <w:shd w:val="clear" w:color="auto" w:fill="auto"/>
                  <w:hideMark/>
                </w:tcPr>
                <w:p w14:paraId="226E8B4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5E1294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Section III, point (a) is replaced by the following:</w:t>
                  </w:r>
                </w:p>
                <w:tbl>
                  <w:tblPr>
                    <w:tblW w:w="5000" w:type="pct"/>
                    <w:tblCellMar>
                      <w:left w:w="0" w:type="dxa"/>
                      <w:right w:w="0" w:type="dxa"/>
                    </w:tblCellMar>
                    <w:tblLook w:val="04A0" w:firstRow="1" w:lastRow="0" w:firstColumn="1" w:lastColumn="0" w:noHBand="0" w:noVBand="1"/>
                  </w:tblPr>
                  <w:tblGrid>
                    <w:gridCol w:w="347"/>
                    <w:gridCol w:w="8453"/>
                  </w:tblGrid>
                  <w:tr w:rsidR="00DB72C3" w:rsidRPr="00DB72C3" w14:paraId="7A8BEEC2" w14:textId="77777777">
                    <w:tc>
                      <w:tcPr>
                        <w:tcW w:w="0" w:type="auto"/>
                        <w:shd w:val="clear" w:color="auto" w:fill="auto"/>
                        <w:hideMark/>
                      </w:tcPr>
                      <w:p w14:paraId="29F8B1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44B8A48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 Tier 2 CCP infringes Article 34(1) by not establishing, implementing or maintaining an adequate business continuity policy and response and recovery plan set up in accordance with Regulation (EU) 2022/2554, aiming to ensure the preservation of its functions, the timely recovery of operations and the fulfilment of the CCP’s obligations, which at least allows for the recovery of all transactions at the time of disruption to allow the CCP to continue to operate with certainty and to complete settlement on the scheduled date;’.</w:t>
                        </w:r>
                      </w:p>
                    </w:tc>
                  </w:tr>
                </w:tbl>
                <w:p w14:paraId="65537904"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68AEA015"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4F8DB30A"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61</w:t>
      </w:r>
    </w:p>
    <w:p w14:paraId="0A1A5563"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Amendments to Regulation (EU) No 909/2014</w:t>
      </w:r>
    </w:p>
    <w:p w14:paraId="2F4A66C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Article 45 of Regulation (EU) No 909/2014 is amended as follows:</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9A98D12" w14:textId="77777777" w:rsidTr="00DB72C3">
        <w:tc>
          <w:tcPr>
            <w:tcW w:w="0" w:type="auto"/>
            <w:shd w:val="clear" w:color="auto" w:fill="auto"/>
            <w:hideMark/>
          </w:tcPr>
          <w:p w14:paraId="5455690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6BAC47F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1 is replaced by the following:</w:t>
            </w:r>
          </w:p>
          <w:p w14:paraId="4B513DD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‘1.   A CSD shall identify sources of operational risk, both internal and external, and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their impact also through the deployment of appropriate ICT tools, processes and policies set up and managed in accordance with Regulation (EU) 2022/2554 of the European Parliament and of the Council</w:t>
            </w:r>
            <w:hyperlink r:id="rId49" w:anchor="ntr*3-L_2022333EN.01000101-E0042" w:history="1">
              <w:r w:rsidRPr="00DB72C3">
                <w:rPr>
                  <w:rFonts w:ascii="Times New Roman" w:eastAsia="Times New Roman" w:hAnsi="Times New Roman" w:cs="Times New Roman"/>
                  <w:color w:val="337AB7"/>
                  <w:sz w:val="24"/>
                  <w:szCs w:val="24"/>
                </w:rPr>
                <w:t> (</w:t>
              </w:r>
              <w:r w:rsidRPr="00DB72C3">
                <w:rPr>
                  <w:rFonts w:ascii="Times New Roman" w:eastAsia="Times New Roman" w:hAnsi="Times New Roman" w:cs="Times New Roman"/>
                  <w:color w:val="337AB7"/>
                  <w:sz w:val="17"/>
                  <w:szCs w:val="17"/>
                  <w:vertAlign w:val="superscript"/>
                </w:rPr>
                <w:t>*3</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 as well as through any other relevant appropriate tools, controls and procedures for other types of operational risk, including for all the securities settlement systems it operates.</w:t>
            </w:r>
          </w:p>
          <w:p w14:paraId="06BF72F3" w14:textId="77777777" w:rsidR="00DB72C3" w:rsidRPr="00DB72C3" w:rsidRDefault="00DB72C3" w:rsidP="00DB72C3">
            <w:pPr>
              <w:spacing w:before="60" w:after="60" w:line="312" w:lineRule="atLeast"/>
              <w:jc w:val="both"/>
              <w:rPr>
                <w:rFonts w:ascii="Times New Roman" w:eastAsia="Times New Roman" w:hAnsi="Times New Roman" w:cs="Times New Roman"/>
                <w:sz w:val="19"/>
                <w:szCs w:val="19"/>
              </w:rPr>
            </w:pPr>
            <w:hyperlink r:id="rId50" w:anchor="ntc*3-L_2022333EN.01000101-E0042" w:history="1">
              <w:r w:rsidRPr="00DB72C3">
                <w:rPr>
                  <w:rFonts w:ascii="Times New Roman" w:eastAsia="Times New Roman" w:hAnsi="Times New Roman" w:cs="Times New Roman"/>
                  <w:color w:val="337AB7"/>
                  <w:sz w:val="19"/>
                  <w:szCs w:val="19"/>
                </w:rPr>
                <w:t>(</w:t>
              </w:r>
              <w:r w:rsidRPr="00DB72C3">
                <w:rPr>
                  <w:rFonts w:ascii="Times New Roman" w:eastAsia="Times New Roman" w:hAnsi="Times New Roman" w:cs="Times New Roman"/>
                  <w:color w:val="337AB7"/>
                  <w:sz w:val="13"/>
                  <w:szCs w:val="13"/>
                  <w:vertAlign w:val="superscript"/>
                </w:rPr>
                <w:t>*3</w:t>
              </w:r>
              <w:r w:rsidRPr="00DB72C3">
                <w:rPr>
                  <w:rFonts w:ascii="Times New Roman" w:eastAsia="Times New Roman" w:hAnsi="Times New Roman" w:cs="Times New Roman"/>
                  <w:color w:val="337AB7"/>
                  <w:sz w:val="19"/>
                  <w:szCs w:val="19"/>
                </w:rPr>
                <w:t>)</w:t>
              </w:r>
            </w:hyperlink>
            <w:r w:rsidRPr="00DB72C3">
              <w:rPr>
                <w:rFonts w:ascii="Times New Roman" w:eastAsia="Times New Roman" w:hAnsi="Times New Roman" w:cs="Times New Roman"/>
                <w:sz w:val="19"/>
                <w:szCs w:val="19"/>
              </w:rPr>
              <w:t>  Regulation (EU) 2022/2554 of the European Parliament and of the Council of 14 December 2022 on digital operational resilience for the financial sector and amending Regulations (EC) No 1060/2009, (EU) No 648/2012, (EU) No 600/2014, (EU) No 909/2014 and (EU) 2016/1011 (</w:t>
            </w:r>
            <w:hyperlink r:id="rId51" w:history="1">
              <w:r w:rsidRPr="00DB72C3">
                <w:rPr>
                  <w:rFonts w:ascii="Times New Roman" w:eastAsia="Times New Roman" w:hAnsi="Times New Roman" w:cs="Times New Roman"/>
                  <w:color w:val="337AB7"/>
                  <w:sz w:val="19"/>
                  <w:szCs w:val="19"/>
                </w:rPr>
                <w:t>OJ L 333, 27.12.2022, p. 1</w:t>
              </w:r>
            </w:hyperlink>
            <w:r w:rsidRPr="00DB72C3">
              <w:rPr>
                <w:rFonts w:ascii="Times New Roman" w:eastAsia="Times New Roman" w:hAnsi="Times New Roman" w:cs="Times New Roman"/>
                <w:sz w:val="19"/>
                <w:szCs w:val="19"/>
              </w:rPr>
              <w:t>).’;"</w:t>
            </w:r>
          </w:p>
        </w:tc>
      </w:tr>
    </w:tbl>
    <w:p w14:paraId="7895DF9A"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1065"/>
        <w:gridCol w:w="8295"/>
      </w:tblGrid>
      <w:tr w:rsidR="00DB72C3" w:rsidRPr="00DB72C3" w14:paraId="5EDFCF39" w14:textId="77777777" w:rsidTr="00DB72C3">
        <w:tc>
          <w:tcPr>
            <w:tcW w:w="0" w:type="auto"/>
            <w:shd w:val="clear" w:color="auto" w:fill="auto"/>
            <w:hideMark/>
          </w:tcPr>
          <w:p w14:paraId="28AFFEB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lastRenderedPageBreak/>
              <w:t>(2)</w:t>
            </w:r>
          </w:p>
        </w:tc>
        <w:tc>
          <w:tcPr>
            <w:tcW w:w="0" w:type="auto"/>
            <w:shd w:val="clear" w:color="auto" w:fill="auto"/>
            <w:hideMark/>
          </w:tcPr>
          <w:p w14:paraId="02CBC8B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2 is deleted;</w:t>
            </w:r>
          </w:p>
        </w:tc>
      </w:tr>
    </w:tbl>
    <w:p w14:paraId="4B1DA722"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62CB46F" w14:textId="77777777" w:rsidTr="00DB72C3">
        <w:tc>
          <w:tcPr>
            <w:tcW w:w="0" w:type="auto"/>
            <w:shd w:val="clear" w:color="auto" w:fill="auto"/>
            <w:hideMark/>
          </w:tcPr>
          <w:p w14:paraId="4BA1A3A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w:t>
            </w:r>
          </w:p>
        </w:tc>
        <w:tc>
          <w:tcPr>
            <w:tcW w:w="0" w:type="auto"/>
            <w:shd w:val="clear" w:color="auto" w:fill="auto"/>
            <w:hideMark/>
          </w:tcPr>
          <w:p w14:paraId="130F675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paragraphs 3 and 4 are replaced by the following:</w:t>
            </w:r>
          </w:p>
          <w:p w14:paraId="50FCB7F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   For services that it provides as well as for each securities settlement system that it operates, a CSD shall establish, implement and maintain an adequate business continuity policy and disaster recovery plan, including ICT business continuity policy and ICT response and recovery plans established in accordance with Regulation (EU) 2022/2554, to ensure the preservation of its services, the timely recovery of operations and the fulfilment of the CSD’s obligations in the case of events that pose a significant risk to disrupting operations.</w:t>
            </w:r>
          </w:p>
          <w:p w14:paraId="0A29870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   The plan referred to in paragraph 3 shall provide for the recovery of all transactions and participants’ positions at the time of disruption to allow the participants of a CSD to continue to operate with certainty and to complete settlement on the scheduled date, including by ensuring that critical IT systems can resume operations from the time of disruption as provided for in Article 12(5) and (7) of Regulation (EU) 2022/2554.’;</w:t>
            </w:r>
          </w:p>
        </w:tc>
      </w:tr>
    </w:tbl>
    <w:p w14:paraId="2C12F153"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2C149E3B" w14:textId="77777777" w:rsidTr="00DB72C3">
        <w:tc>
          <w:tcPr>
            <w:tcW w:w="0" w:type="auto"/>
            <w:shd w:val="clear" w:color="auto" w:fill="auto"/>
            <w:hideMark/>
          </w:tcPr>
          <w:p w14:paraId="6DC0BF5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w:t>
            </w:r>
          </w:p>
        </w:tc>
        <w:tc>
          <w:tcPr>
            <w:tcW w:w="0" w:type="auto"/>
            <w:shd w:val="clear" w:color="auto" w:fill="auto"/>
            <w:hideMark/>
          </w:tcPr>
          <w:p w14:paraId="167848D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6 is replaced by the following:</w:t>
            </w:r>
          </w:p>
          <w:p w14:paraId="1F8E2B0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   A CSD shall identify, monitor and manage the risks that key participants in the securities settlement systems it operates, as well as service and utility providers, and other CSDs or other market infrastructures might pose to its operations. It shall, upon request, provide competent and relevant authorities with information on any such risk identified. It shall also inform the competent authority and relevant authorities without delay of any operational incidents, other than in relation to ICT risk, resulting from such risks.’;</w:t>
            </w:r>
          </w:p>
        </w:tc>
      </w:tr>
    </w:tbl>
    <w:p w14:paraId="2E07013F"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0D84225D" w14:textId="77777777" w:rsidTr="00DB72C3">
        <w:tc>
          <w:tcPr>
            <w:tcW w:w="0" w:type="auto"/>
            <w:shd w:val="clear" w:color="auto" w:fill="auto"/>
            <w:hideMark/>
          </w:tcPr>
          <w:p w14:paraId="5DC7901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w:t>
            </w:r>
          </w:p>
        </w:tc>
        <w:tc>
          <w:tcPr>
            <w:tcW w:w="0" w:type="auto"/>
            <w:shd w:val="clear" w:color="auto" w:fill="auto"/>
            <w:hideMark/>
          </w:tcPr>
          <w:p w14:paraId="4BF0E4F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paragraph 7, the first subparagraph is replaced by the following:</w:t>
            </w:r>
          </w:p>
          <w:p w14:paraId="738D44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‘7.   ESMA shall, in close cooperation with the members of the ESCB, develop draft regulatory technical standards to specify the operational risks referred to in paragraphs 1 and 6, other than ICT risk, and the methods to test, to address or to </w:t>
            </w:r>
            <w:proofErr w:type="spellStart"/>
            <w:r w:rsidRPr="00DB72C3">
              <w:rPr>
                <w:rFonts w:ascii="Times New Roman" w:eastAsia="Times New Roman" w:hAnsi="Times New Roman" w:cs="Times New Roman"/>
                <w:sz w:val="24"/>
                <w:szCs w:val="24"/>
              </w:rPr>
              <w:t>minimise</w:t>
            </w:r>
            <w:proofErr w:type="spellEnd"/>
            <w:r w:rsidRPr="00DB72C3">
              <w:rPr>
                <w:rFonts w:ascii="Times New Roman" w:eastAsia="Times New Roman" w:hAnsi="Times New Roman" w:cs="Times New Roman"/>
                <w:sz w:val="24"/>
                <w:szCs w:val="24"/>
              </w:rPr>
              <w:t xml:space="preserve"> those risks, including the business continuity policies and disaster recovery plans referred to in paragraphs 3 and 4 and the methods of assessment thereof.’.</w:t>
            </w:r>
          </w:p>
        </w:tc>
      </w:tr>
    </w:tbl>
    <w:p w14:paraId="21271265"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62</w:t>
      </w:r>
    </w:p>
    <w:p w14:paraId="72F9608A"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Amendments to Regulation (EU) No 600/2014</w:t>
      </w:r>
    </w:p>
    <w:p w14:paraId="63F982A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Regulation (EU) No 600/2014 is amended as follows:</w:t>
      </w: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148A0DA0" w14:textId="77777777" w:rsidTr="00DB72C3">
        <w:tc>
          <w:tcPr>
            <w:tcW w:w="0" w:type="auto"/>
            <w:shd w:val="clear" w:color="auto" w:fill="auto"/>
            <w:hideMark/>
          </w:tcPr>
          <w:p w14:paraId="7615DF2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(1)</w:t>
            </w:r>
          </w:p>
        </w:tc>
        <w:tc>
          <w:tcPr>
            <w:tcW w:w="0" w:type="auto"/>
            <w:shd w:val="clear" w:color="auto" w:fill="auto"/>
            <w:hideMark/>
          </w:tcPr>
          <w:p w14:paraId="401F255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Article 27g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6446907B" w14:textId="77777777">
              <w:tc>
                <w:tcPr>
                  <w:tcW w:w="0" w:type="auto"/>
                  <w:shd w:val="clear" w:color="auto" w:fill="auto"/>
                  <w:hideMark/>
                </w:tcPr>
                <w:p w14:paraId="05E7BDB1"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2664EF4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4 is replaced by the following:</w:t>
                  </w:r>
                </w:p>
                <w:tbl>
                  <w:tblPr>
                    <w:tblW w:w="5000" w:type="pct"/>
                    <w:tblCellMar>
                      <w:left w:w="0" w:type="dxa"/>
                      <w:right w:w="0" w:type="dxa"/>
                    </w:tblCellMar>
                    <w:tblLook w:val="04A0" w:firstRow="1" w:lastRow="0" w:firstColumn="1" w:lastColumn="0" w:noHBand="0" w:noVBand="1"/>
                  </w:tblPr>
                  <w:tblGrid>
                    <w:gridCol w:w="260"/>
                    <w:gridCol w:w="8553"/>
                  </w:tblGrid>
                  <w:tr w:rsidR="00DB72C3" w:rsidRPr="00DB72C3" w14:paraId="4C1E7359" w14:textId="77777777">
                    <w:tc>
                      <w:tcPr>
                        <w:tcW w:w="0" w:type="auto"/>
                        <w:shd w:val="clear" w:color="auto" w:fill="auto"/>
                        <w:hideMark/>
                      </w:tcPr>
                      <w:p w14:paraId="093CC85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‘4.</w:t>
                        </w:r>
                      </w:p>
                    </w:tc>
                    <w:tc>
                      <w:tcPr>
                        <w:tcW w:w="0" w:type="auto"/>
                        <w:shd w:val="clear" w:color="auto" w:fill="auto"/>
                        <w:hideMark/>
                      </w:tcPr>
                      <w:p w14:paraId="7BDF99D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An APA shall comply with the requirements concerning the security of network and information systems set out in Regulation (EU) 2022/2554 of the European Parliament and of the Council</w:t>
                        </w:r>
                        <w:hyperlink r:id="rId52" w:anchor="ntr*4-L_2022333EN.01000101-E0043" w:history="1">
                          <w:r w:rsidRPr="00DB72C3">
                            <w:rPr>
                              <w:rFonts w:ascii="Times New Roman" w:eastAsia="Times New Roman" w:hAnsi="Times New Roman" w:cs="Times New Roman"/>
                              <w:color w:val="337AB7"/>
                              <w:sz w:val="24"/>
                              <w:szCs w:val="24"/>
                            </w:rPr>
                            <w:t> (</w:t>
                          </w:r>
                          <w:r w:rsidRPr="00DB72C3">
                            <w:rPr>
                              <w:rFonts w:ascii="Times New Roman" w:eastAsia="Times New Roman" w:hAnsi="Times New Roman" w:cs="Times New Roman"/>
                              <w:color w:val="337AB7"/>
                              <w:sz w:val="17"/>
                              <w:szCs w:val="17"/>
                              <w:vertAlign w:val="superscript"/>
                            </w:rPr>
                            <w:t>*4</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473C02DC" w14:textId="77777777" w:rsidR="00DB72C3" w:rsidRPr="00DB72C3" w:rsidRDefault="00DB72C3" w:rsidP="00DB72C3">
                  <w:pPr>
                    <w:spacing w:before="60" w:after="60" w:line="312" w:lineRule="atLeast"/>
                    <w:jc w:val="both"/>
                    <w:rPr>
                      <w:rFonts w:ascii="Times New Roman" w:eastAsia="Times New Roman" w:hAnsi="Times New Roman" w:cs="Times New Roman"/>
                      <w:sz w:val="19"/>
                      <w:szCs w:val="19"/>
                    </w:rPr>
                  </w:pPr>
                  <w:hyperlink r:id="rId53" w:anchor="ntc*4-L_2022333EN.01000101-E0043" w:history="1">
                    <w:r w:rsidRPr="00DB72C3">
                      <w:rPr>
                        <w:rFonts w:ascii="Times New Roman" w:eastAsia="Times New Roman" w:hAnsi="Times New Roman" w:cs="Times New Roman"/>
                        <w:color w:val="337AB7"/>
                        <w:sz w:val="19"/>
                        <w:szCs w:val="19"/>
                      </w:rPr>
                      <w:t>(</w:t>
                    </w:r>
                    <w:r w:rsidRPr="00DB72C3">
                      <w:rPr>
                        <w:rFonts w:ascii="Times New Roman" w:eastAsia="Times New Roman" w:hAnsi="Times New Roman" w:cs="Times New Roman"/>
                        <w:color w:val="337AB7"/>
                        <w:sz w:val="13"/>
                        <w:szCs w:val="13"/>
                        <w:vertAlign w:val="superscript"/>
                      </w:rPr>
                      <w:t>*4</w:t>
                    </w:r>
                    <w:r w:rsidRPr="00DB72C3">
                      <w:rPr>
                        <w:rFonts w:ascii="Times New Roman" w:eastAsia="Times New Roman" w:hAnsi="Times New Roman" w:cs="Times New Roman"/>
                        <w:color w:val="337AB7"/>
                        <w:sz w:val="19"/>
                        <w:szCs w:val="19"/>
                      </w:rPr>
                      <w:t>)</w:t>
                    </w:r>
                  </w:hyperlink>
                  <w:r w:rsidRPr="00DB72C3">
                    <w:rPr>
                      <w:rFonts w:ascii="Times New Roman" w:eastAsia="Times New Roman" w:hAnsi="Times New Roman" w:cs="Times New Roman"/>
                      <w:sz w:val="19"/>
                      <w:szCs w:val="19"/>
                    </w:rPr>
                    <w:t>  Regulation (EU) 2022/2554 of the European Parliament and of the Council of 14 December 2022 on digital operational resilience for the financial sector and amending Regulations (EC) No 1060/2009, (EU) No 648/2012, (EU) No 600/2014, (EU) No 909/2014 and (EU) 2016/1011 (</w:t>
                  </w:r>
                  <w:hyperlink r:id="rId54" w:history="1">
                    <w:r w:rsidRPr="00DB72C3">
                      <w:rPr>
                        <w:rFonts w:ascii="Times New Roman" w:eastAsia="Times New Roman" w:hAnsi="Times New Roman" w:cs="Times New Roman"/>
                        <w:color w:val="337AB7"/>
                        <w:sz w:val="19"/>
                        <w:szCs w:val="19"/>
                      </w:rPr>
                      <w:t>OJ L 333, 27.12.2022, p. 1</w:t>
                    </w:r>
                  </w:hyperlink>
                  <w:r w:rsidRPr="00DB72C3">
                    <w:rPr>
                      <w:rFonts w:ascii="Times New Roman" w:eastAsia="Times New Roman" w:hAnsi="Times New Roman" w:cs="Times New Roman"/>
                      <w:sz w:val="19"/>
                      <w:szCs w:val="19"/>
                    </w:rPr>
                    <w:t>).’;"</w:t>
                  </w:r>
                </w:p>
              </w:tc>
            </w:tr>
          </w:tbl>
          <w:p w14:paraId="0221A15E"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23"/>
              <w:gridCol w:w="8757"/>
            </w:tblGrid>
            <w:tr w:rsidR="00DB72C3" w:rsidRPr="00DB72C3" w14:paraId="29DF059C" w14:textId="77777777">
              <w:tc>
                <w:tcPr>
                  <w:tcW w:w="0" w:type="auto"/>
                  <w:shd w:val="clear" w:color="auto" w:fill="auto"/>
                  <w:hideMark/>
                </w:tcPr>
                <w:p w14:paraId="5F384F1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E3F0B3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paragraph 8, point (c) is replaced by the following:</w:t>
                  </w:r>
                </w:p>
                <w:tbl>
                  <w:tblPr>
                    <w:tblW w:w="5000" w:type="pct"/>
                    <w:tblCellMar>
                      <w:left w:w="0" w:type="dxa"/>
                      <w:right w:w="0" w:type="dxa"/>
                    </w:tblCellMar>
                    <w:tblLook w:val="04A0" w:firstRow="1" w:lastRow="0" w:firstColumn="1" w:lastColumn="0" w:noHBand="0" w:noVBand="1"/>
                  </w:tblPr>
                  <w:tblGrid>
                    <w:gridCol w:w="400"/>
                    <w:gridCol w:w="8357"/>
                  </w:tblGrid>
                  <w:tr w:rsidR="00DB72C3" w:rsidRPr="00DB72C3" w14:paraId="51206474" w14:textId="77777777">
                    <w:tc>
                      <w:tcPr>
                        <w:tcW w:w="0" w:type="auto"/>
                        <w:shd w:val="clear" w:color="auto" w:fill="auto"/>
                        <w:hideMark/>
                      </w:tcPr>
                      <w:p w14:paraId="239CF52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‘(c)</w:t>
                        </w:r>
                      </w:p>
                    </w:tc>
                    <w:tc>
                      <w:tcPr>
                        <w:tcW w:w="0" w:type="auto"/>
                        <w:shd w:val="clear" w:color="auto" w:fill="auto"/>
                        <w:hideMark/>
                      </w:tcPr>
                      <w:p w14:paraId="57757BEF"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concrete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requirements laid down in paragraphs 3 and 5.’;</w:t>
                        </w:r>
                      </w:p>
                    </w:tc>
                  </w:tr>
                </w:tbl>
                <w:p w14:paraId="62BA8DCE"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6BE6E91E"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0F3971FE"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6C0D5725" w14:textId="77777777" w:rsidTr="00DB72C3">
        <w:tc>
          <w:tcPr>
            <w:tcW w:w="0" w:type="auto"/>
            <w:shd w:val="clear" w:color="auto" w:fill="auto"/>
            <w:hideMark/>
          </w:tcPr>
          <w:p w14:paraId="29D6DFF6"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(2)</w:t>
            </w:r>
          </w:p>
        </w:tc>
        <w:tc>
          <w:tcPr>
            <w:tcW w:w="0" w:type="auto"/>
            <w:shd w:val="clear" w:color="auto" w:fill="auto"/>
            <w:hideMark/>
          </w:tcPr>
          <w:p w14:paraId="335AAD2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Article 27h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661F44C3" w14:textId="77777777">
              <w:tc>
                <w:tcPr>
                  <w:tcW w:w="0" w:type="auto"/>
                  <w:shd w:val="clear" w:color="auto" w:fill="auto"/>
                  <w:hideMark/>
                </w:tcPr>
                <w:p w14:paraId="38B22B6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2638E88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5 is replaced by the following:</w:t>
                  </w:r>
                </w:p>
                <w:p w14:paraId="703CC35A"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‘5.   A CTP shall comply with the requirements concerning the security of network and information systems set out in Regulation (EU) 2022/2554.’.</w:t>
                  </w:r>
                </w:p>
              </w:tc>
            </w:tr>
          </w:tbl>
          <w:p w14:paraId="589DCA6D"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54"/>
              <w:gridCol w:w="8726"/>
            </w:tblGrid>
            <w:tr w:rsidR="00DB72C3" w:rsidRPr="00DB72C3" w14:paraId="2D40F1D6" w14:textId="77777777">
              <w:tc>
                <w:tcPr>
                  <w:tcW w:w="0" w:type="auto"/>
                  <w:shd w:val="clear" w:color="auto" w:fill="auto"/>
                  <w:hideMark/>
                </w:tcPr>
                <w:p w14:paraId="386B8C6B"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10F6B00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paragraph 8, point (e) is replaced by the following:</w:t>
                  </w:r>
                </w:p>
                <w:tbl>
                  <w:tblPr>
                    <w:tblW w:w="5000" w:type="pct"/>
                    <w:tblCellMar>
                      <w:left w:w="0" w:type="dxa"/>
                      <w:right w:w="0" w:type="dxa"/>
                    </w:tblCellMar>
                    <w:tblLook w:val="04A0" w:firstRow="1" w:lastRow="0" w:firstColumn="1" w:lastColumn="0" w:noHBand="0" w:noVBand="1"/>
                  </w:tblPr>
                  <w:tblGrid>
                    <w:gridCol w:w="438"/>
                    <w:gridCol w:w="8288"/>
                  </w:tblGrid>
                  <w:tr w:rsidR="00DB72C3" w:rsidRPr="00DB72C3" w14:paraId="2191BD6A" w14:textId="77777777">
                    <w:tc>
                      <w:tcPr>
                        <w:tcW w:w="0" w:type="auto"/>
                        <w:shd w:val="clear" w:color="auto" w:fill="auto"/>
                        <w:hideMark/>
                      </w:tcPr>
                      <w:p w14:paraId="62CBB72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‘(e)</w:t>
                        </w:r>
                      </w:p>
                    </w:tc>
                    <w:tc>
                      <w:tcPr>
                        <w:tcW w:w="0" w:type="auto"/>
                        <w:shd w:val="clear" w:color="auto" w:fill="auto"/>
                        <w:hideMark/>
                      </w:tcPr>
                      <w:p w14:paraId="3C3D9534"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concrete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requirements laid down in paragraph 4.’;</w:t>
                        </w:r>
                      </w:p>
                    </w:tc>
                  </w:tr>
                </w:tbl>
                <w:p w14:paraId="6F1C56F5"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F8A69E6"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56D5284B" w14:textId="77777777" w:rsidR="00DB72C3" w:rsidRPr="00DB72C3" w:rsidRDefault="00DB72C3" w:rsidP="00DB72C3">
      <w:pPr>
        <w:shd w:val="clear" w:color="auto" w:fill="FFFFFF"/>
        <w:spacing w:after="0" w:line="240" w:lineRule="auto"/>
        <w:rPr>
          <w:rFonts w:ascii="Times New Roman" w:eastAsia="Times New Roman" w:hAnsi="Times New Roman" w:cs="Times New Roman"/>
          <w:vanish/>
          <w:color w:val="333333"/>
          <w:sz w:val="27"/>
          <w:szCs w:val="27"/>
        </w:rPr>
      </w:pPr>
    </w:p>
    <w:tbl>
      <w:tblPr>
        <w:tblW w:w="5000" w:type="pct"/>
        <w:tblCellMar>
          <w:left w:w="0" w:type="dxa"/>
          <w:right w:w="0" w:type="dxa"/>
        </w:tblCellMar>
        <w:tblLook w:val="04A0" w:firstRow="1" w:lastRow="0" w:firstColumn="1" w:lastColumn="0" w:noHBand="0" w:noVBand="1"/>
      </w:tblPr>
      <w:tblGrid>
        <w:gridCol w:w="280"/>
        <w:gridCol w:w="9080"/>
      </w:tblGrid>
      <w:tr w:rsidR="00DB72C3" w:rsidRPr="00DB72C3" w14:paraId="76A388D2" w14:textId="77777777" w:rsidTr="00DB72C3">
        <w:tc>
          <w:tcPr>
            <w:tcW w:w="0" w:type="auto"/>
            <w:shd w:val="clear" w:color="auto" w:fill="auto"/>
            <w:hideMark/>
          </w:tcPr>
          <w:p w14:paraId="4A7796D8"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w:t>
            </w:r>
          </w:p>
        </w:tc>
        <w:tc>
          <w:tcPr>
            <w:tcW w:w="0" w:type="auto"/>
            <w:shd w:val="clear" w:color="auto" w:fill="auto"/>
            <w:hideMark/>
          </w:tcPr>
          <w:p w14:paraId="68E2AEE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Article 27i is amended as follows:</w:t>
            </w:r>
          </w:p>
          <w:tbl>
            <w:tblPr>
              <w:tblW w:w="5000" w:type="pct"/>
              <w:tblCellMar>
                <w:left w:w="0" w:type="dxa"/>
                <w:right w:w="0" w:type="dxa"/>
              </w:tblCellMar>
              <w:tblLook w:val="04A0" w:firstRow="1" w:lastRow="0" w:firstColumn="1" w:lastColumn="0" w:noHBand="0" w:noVBand="1"/>
            </w:tblPr>
            <w:tblGrid>
              <w:gridCol w:w="267"/>
              <w:gridCol w:w="8813"/>
            </w:tblGrid>
            <w:tr w:rsidR="00DB72C3" w:rsidRPr="00DB72C3" w14:paraId="41F1A4BD" w14:textId="77777777">
              <w:tc>
                <w:tcPr>
                  <w:tcW w:w="0" w:type="auto"/>
                  <w:shd w:val="clear" w:color="auto" w:fill="auto"/>
                  <w:hideMark/>
                </w:tcPr>
                <w:p w14:paraId="5B5C332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(a)</w:t>
                  </w:r>
                </w:p>
              </w:tc>
              <w:tc>
                <w:tcPr>
                  <w:tcW w:w="0" w:type="auto"/>
                  <w:shd w:val="clear" w:color="auto" w:fill="auto"/>
                  <w:hideMark/>
                </w:tcPr>
                <w:p w14:paraId="7B2410B9"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paragraph 3 is replaced by the following:</w:t>
                  </w:r>
                </w:p>
                <w:p w14:paraId="31A27F12"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‘3.   An ARM shall comply with the requirements concerning the security of network and information systems set out in Regulation (EU) 2022/2554.’;</w:t>
                  </w:r>
                </w:p>
              </w:tc>
            </w:tr>
          </w:tbl>
          <w:p w14:paraId="6E49C046" w14:textId="77777777" w:rsidR="00DB72C3" w:rsidRPr="00DB72C3" w:rsidRDefault="00DB72C3" w:rsidP="00DB72C3">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23"/>
              <w:gridCol w:w="8757"/>
            </w:tblGrid>
            <w:tr w:rsidR="00DB72C3" w:rsidRPr="00DB72C3" w14:paraId="4F9BBF8B" w14:textId="77777777">
              <w:tc>
                <w:tcPr>
                  <w:tcW w:w="0" w:type="auto"/>
                  <w:shd w:val="clear" w:color="auto" w:fill="auto"/>
                  <w:hideMark/>
                </w:tcPr>
                <w:p w14:paraId="1E622090"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3587F3C7"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in paragraph 5, point (b) is replaced by the following:</w:t>
                  </w:r>
                </w:p>
                <w:tbl>
                  <w:tblPr>
                    <w:tblW w:w="5000" w:type="pct"/>
                    <w:tblCellMar>
                      <w:left w:w="0" w:type="dxa"/>
                      <w:right w:w="0" w:type="dxa"/>
                    </w:tblCellMar>
                    <w:tblLook w:val="04A0" w:firstRow="1" w:lastRow="0" w:firstColumn="1" w:lastColumn="0" w:noHBand="0" w:noVBand="1"/>
                  </w:tblPr>
                  <w:tblGrid>
                    <w:gridCol w:w="415"/>
                    <w:gridCol w:w="8342"/>
                  </w:tblGrid>
                  <w:tr w:rsidR="00DB72C3" w:rsidRPr="00DB72C3" w14:paraId="221AB2FD" w14:textId="77777777">
                    <w:tc>
                      <w:tcPr>
                        <w:tcW w:w="0" w:type="auto"/>
                        <w:shd w:val="clear" w:color="auto" w:fill="auto"/>
                        <w:hideMark/>
                      </w:tcPr>
                      <w:p w14:paraId="3B9FED5D"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‘(b)</w:t>
                        </w:r>
                      </w:p>
                    </w:tc>
                    <w:tc>
                      <w:tcPr>
                        <w:tcW w:w="0" w:type="auto"/>
                        <w:shd w:val="clear" w:color="auto" w:fill="auto"/>
                        <w:hideMark/>
                      </w:tcPr>
                      <w:p w14:paraId="0161DAFC"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 xml:space="preserve">the concrete </w:t>
                        </w:r>
                        <w:proofErr w:type="spellStart"/>
                        <w:r w:rsidRPr="00DB72C3">
                          <w:rPr>
                            <w:rFonts w:ascii="Times New Roman" w:eastAsia="Times New Roman" w:hAnsi="Times New Roman" w:cs="Times New Roman"/>
                            <w:sz w:val="24"/>
                            <w:szCs w:val="24"/>
                          </w:rPr>
                          <w:t>organisational</w:t>
                        </w:r>
                        <w:proofErr w:type="spellEnd"/>
                        <w:r w:rsidRPr="00DB72C3">
                          <w:rPr>
                            <w:rFonts w:ascii="Times New Roman" w:eastAsia="Times New Roman" w:hAnsi="Times New Roman" w:cs="Times New Roman"/>
                            <w:sz w:val="24"/>
                            <w:szCs w:val="24"/>
                          </w:rPr>
                          <w:t xml:space="preserve"> requirements laid down in paragraphs 2 and 4.’.</w:t>
                        </w:r>
                      </w:p>
                    </w:tc>
                  </w:tr>
                </w:tbl>
                <w:p w14:paraId="75516BA6"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25101FE0" w14:textId="77777777" w:rsidR="00DB72C3" w:rsidRPr="00DB72C3" w:rsidRDefault="00DB72C3" w:rsidP="00DB72C3">
            <w:pPr>
              <w:spacing w:after="0" w:line="240" w:lineRule="auto"/>
              <w:rPr>
                <w:rFonts w:ascii="Times New Roman" w:eastAsia="Times New Roman" w:hAnsi="Times New Roman" w:cs="Times New Roman"/>
                <w:sz w:val="24"/>
                <w:szCs w:val="24"/>
              </w:rPr>
            </w:pPr>
          </w:p>
        </w:tc>
      </w:tr>
    </w:tbl>
    <w:p w14:paraId="7AC4E62F"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63</w:t>
      </w:r>
    </w:p>
    <w:p w14:paraId="6EBF89B0"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Amendment to Regulation (EU) 2016/1011</w:t>
      </w:r>
    </w:p>
    <w:p w14:paraId="45122571"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In Article 6 of Regulation (EU) 2016/1011, the following paragraph is added:</w:t>
      </w:r>
    </w:p>
    <w:tbl>
      <w:tblPr>
        <w:tblW w:w="5000" w:type="pct"/>
        <w:tblCellMar>
          <w:left w:w="0" w:type="dxa"/>
          <w:right w:w="0" w:type="dxa"/>
        </w:tblCellMar>
        <w:tblLook w:val="04A0" w:firstRow="1" w:lastRow="0" w:firstColumn="1" w:lastColumn="0" w:noHBand="0" w:noVBand="1"/>
      </w:tblPr>
      <w:tblGrid>
        <w:gridCol w:w="260"/>
        <w:gridCol w:w="9100"/>
      </w:tblGrid>
      <w:tr w:rsidR="00DB72C3" w:rsidRPr="00DB72C3" w14:paraId="24AFC002" w14:textId="77777777" w:rsidTr="00DB72C3">
        <w:tc>
          <w:tcPr>
            <w:tcW w:w="0" w:type="auto"/>
            <w:shd w:val="clear" w:color="auto" w:fill="auto"/>
            <w:hideMark/>
          </w:tcPr>
          <w:p w14:paraId="6433274E"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‘6.</w:t>
            </w:r>
          </w:p>
        </w:tc>
        <w:tc>
          <w:tcPr>
            <w:tcW w:w="0" w:type="auto"/>
            <w:shd w:val="clear" w:color="auto" w:fill="auto"/>
            <w:hideMark/>
          </w:tcPr>
          <w:p w14:paraId="1977D193" w14:textId="77777777" w:rsidR="00DB72C3" w:rsidRPr="00DB72C3" w:rsidRDefault="00DB72C3" w:rsidP="00DB72C3">
            <w:pPr>
              <w:spacing w:before="120" w:after="0" w:line="312" w:lineRule="atLeast"/>
              <w:jc w:val="both"/>
              <w:rPr>
                <w:rFonts w:ascii="Times New Roman" w:eastAsia="Times New Roman" w:hAnsi="Times New Roman" w:cs="Times New Roman"/>
                <w:sz w:val="24"/>
                <w:szCs w:val="24"/>
              </w:rPr>
            </w:pPr>
            <w:r w:rsidRPr="00DB72C3">
              <w:rPr>
                <w:rFonts w:ascii="Times New Roman" w:eastAsia="Times New Roman" w:hAnsi="Times New Roman" w:cs="Times New Roman"/>
                <w:sz w:val="24"/>
                <w:szCs w:val="24"/>
              </w:rPr>
              <w:t>For critical benchmarks, an administrator shall have sound administrative and accounting procedures, internal control mechanisms, effective procedures for risk assessment, and effective control and safeguard arrangements for managing ICT systems in accordance with Regulation (EU) 2022/2554 of the European Parliament and of the Council</w:t>
            </w:r>
            <w:hyperlink r:id="rId55" w:anchor="ntr*5-L_2022333EN.01000101-E0044" w:history="1">
              <w:r w:rsidRPr="00DB72C3">
                <w:rPr>
                  <w:rFonts w:ascii="Times New Roman" w:eastAsia="Times New Roman" w:hAnsi="Times New Roman" w:cs="Times New Roman"/>
                  <w:color w:val="337AB7"/>
                  <w:sz w:val="24"/>
                  <w:szCs w:val="24"/>
                </w:rPr>
                <w:t> (</w:t>
              </w:r>
              <w:r w:rsidRPr="00DB72C3">
                <w:rPr>
                  <w:rFonts w:ascii="Times New Roman" w:eastAsia="Times New Roman" w:hAnsi="Times New Roman" w:cs="Times New Roman"/>
                  <w:color w:val="337AB7"/>
                  <w:sz w:val="17"/>
                  <w:szCs w:val="17"/>
                  <w:vertAlign w:val="superscript"/>
                </w:rPr>
                <w:t>*5</w:t>
              </w:r>
              <w:r w:rsidRPr="00DB72C3">
                <w:rPr>
                  <w:rFonts w:ascii="Times New Roman" w:eastAsia="Times New Roman" w:hAnsi="Times New Roman" w:cs="Times New Roman"/>
                  <w:color w:val="337AB7"/>
                  <w:sz w:val="24"/>
                  <w:szCs w:val="24"/>
                </w:rPr>
                <w:t>)</w:t>
              </w:r>
            </w:hyperlink>
            <w:r w:rsidRPr="00DB72C3">
              <w:rPr>
                <w:rFonts w:ascii="Times New Roman" w:eastAsia="Times New Roman" w:hAnsi="Times New Roman" w:cs="Times New Roman"/>
                <w:sz w:val="24"/>
                <w:szCs w:val="24"/>
              </w:rPr>
              <w:t>.</w:t>
            </w:r>
          </w:p>
        </w:tc>
      </w:tr>
    </w:tbl>
    <w:p w14:paraId="0565CAC5" w14:textId="77777777" w:rsidR="00DB72C3" w:rsidRPr="00DB72C3" w:rsidRDefault="00DB72C3" w:rsidP="00DB72C3">
      <w:pPr>
        <w:shd w:val="clear" w:color="auto" w:fill="FFFFFF"/>
        <w:spacing w:before="360" w:after="120" w:line="312" w:lineRule="atLeast"/>
        <w:jc w:val="center"/>
        <w:rPr>
          <w:rFonts w:ascii="Times New Roman" w:eastAsia="Times New Roman" w:hAnsi="Times New Roman" w:cs="Times New Roman"/>
          <w:i/>
          <w:iCs/>
          <w:color w:val="333333"/>
          <w:sz w:val="27"/>
          <w:szCs w:val="27"/>
        </w:rPr>
      </w:pPr>
      <w:r w:rsidRPr="00DB72C3">
        <w:rPr>
          <w:rFonts w:ascii="Times New Roman" w:eastAsia="Times New Roman" w:hAnsi="Times New Roman" w:cs="Times New Roman"/>
          <w:i/>
          <w:iCs/>
          <w:color w:val="333333"/>
          <w:sz w:val="27"/>
          <w:szCs w:val="27"/>
        </w:rPr>
        <w:t>Article 64</w:t>
      </w:r>
    </w:p>
    <w:p w14:paraId="2D20AA54" w14:textId="77777777" w:rsidR="00DB72C3" w:rsidRPr="00DB72C3" w:rsidRDefault="00DB72C3" w:rsidP="00DB72C3">
      <w:pPr>
        <w:shd w:val="clear" w:color="auto" w:fill="FFFFFF"/>
        <w:spacing w:before="60" w:after="120" w:line="312" w:lineRule="atLeast"/>
        <w:jc w:val="center"/>
        <w:rPr>
          <w:rFonts w:ascii="Times New Roman" w:eastAsia="Times New Roman" w:hAnsi="Times New Roman" w:cs="Times New Roman"/>
          <w:b/>
          <w:bCs/>
          <w:color w:val="333333"/>
          <w:sz w:val="27"/>
          <w:szCs w:val="27"/>
        </w:rPr>
      </w:pPr>
      <w:r w:rsidRPr="00DB72C3">
        <w:rPr>
          <w:rFonts w:ascii="Times New Roman" w:eastAsia="Times New Roman" w:hAnsi="Times New Roman" w:cs="Times New Roman"/>
          <w:b/>
          <w:bCs/>
          <w:color w:val="333333"/>
          <w:sz w:val="27"/>
          <w:szCs w:val="27"/>
        </w:rPr>
        <w:t>Entry into force and application</w:t>
      </w:r>
    </w:p>
    <w:p w14:paraId="59332C49"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This Regulation shall enter into force on the twentieth day following that of its publication in the </w:t>
      </w:r>
      <w:r w:rsidRPr="00DB72C3">
        <w:rPr>
          <w:rFonts w:ascii="Times New Roman" w:eastAsia="Times New Roman" w:hAnsi="Times New Roman" w:cs="Times New Roman"/>
          <w:i/>
          <w:iCs/>
          <w:color w:val="333333"/>
          <w:sz w:val="27"/>
          <w:szCs w:val="27"/>
        </w:rPr>
        <w:t>Official Journal of the European Union</w:t>
      </w:r>
      <w:r w:rsidRPr="00DB72C3">
        <w:rPr>
          <w:rFonts w:ascii="Times New Roman" w:eastAsia="Times New Roman" w:hAnsi="Times New Roman" w:cs="Times New Roman"/>
          <w:color w:val="333333"/>
          <w:sz w:val="27"/>
          <w:szCs w:val="27"/>
        </w:rPr>
        <w:t>.</w:t>
      </w:r>
    </w:p>
    <w:p w14:paraId="1B36C935"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It shall apply from 17 January 2025.</w:t>
      </w:r>
    </w:p>
    <w:p w14:paraId="1FD1C42E" w14:textId="77777777" w:rsidR="00DB72C3" w:rsidRPr="00DB72C3" w:rsidRDefault="00DB72C3" w:rsidP="00DB72C3">
      <w:pPr>
        <w:shd w:val="clear" w:color="auto" w:fill="FFFFFF"/>
        <w:spacing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This Regulation shall be binding in its entirety and directly applicable in all Member States.</w:t>
      </w:r>
    </w:p>
    <w:p w14:paraId="4D5FEEF4" w14:textId="77777777" w:rsidR="00DB72C3" w:rsidRPr="00DB72C3" w:rsidRDefault="00DB72C3" w:rsidP="00DB72C3">
      <w:pPr>
        <w:shd w:val="clear" w:color="auto" w:fill="FFFFFF"/>
        <w:spacing w:before="120" w:after="0" w:line="312" w:lineRule="atLeast"/>
        <w:jc w:val="both"/>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lastRenderedPageBreak/>
        <w:t>Done at Strasbourg, 14 December 2022.</w:t>
      </w:r>
    </w:p>
    <w:p w14:paraId="745EE319"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i/>
          <w:iCs/>
          <w:color w:val="333333"/>
          <w:sz w:val="27"/>
          <w:szCs w:val="27"/>
        </w:rPr>
        <w:t>For the European Parliament</w:t>
      </w:r>
    </w:p>
    <w:p w14:paraId="773B3BD3"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i/>
          <w:iCs/>
          <w:color w:val="333333"/>
          <w:sz w:val="27"/>
          <w:szCs w:val="27"/>
        </w:rPr>
        <w:t>The President</w:t>
      </w:r>
    </w:p>
    <w:p w14:paraId="367316B2"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R. METSOLA</w:t>
      </w:r>
    </w:p>
    <w:p w14:paraId="783A8D0B"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i/>
          <w:iCs/>
          <w:color w:val="333333"/>
          <w:sz w:val="27"/>
          <w:szCs w:val="27"/>
        </w:rPr>
        <w:t>For the Council</w:t>
      </w:r>
    </w:p>
    <w:p w14:paraId="7941CBCA"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i/>
          <w:iCs/>
          <w:color w:val="333333"/>
          <w:sz w:val="27"/>
          <w:szCs w:val="27"/>
        </w:rPr>
        <w:t>The President</w:t>
      </w:r>
    </w:p>
    <w:p w14:paraId="6C33FAB1" w14:textId="77777777" w:rsidR="00DB72C3" w:rsidRPr="00DB72C3" w:rsidRDefault="00DB72C3" w:rsidP="00DB72C3">
      <w:pPr>
        <w:shd w:val="clear" w:color="auto" w:fill="FFFFFF"/>
        <w:spacing w:before="60" w:after="60" w:line="312" w:lineRule="atLeast"/>
        <w:jc w:val="center"/>
        <w:rPr>
          <w:rFonts w:ascii="Times New Roman" w:eastAsia="Times New Roman" w:hAnsi="Times New Roman" w:cs="Times New Roman"/>
          <w:color w:val="333333"/>
          <w:sz w:val="27"/>
          <w:szCs w:val="27"/>
        </w:rPr>
      </w:pPr>
      <w:r w:rsidRPr="00DB72C3">
        <w:rPr>
          <w:rFonts w:ascii="Times New Roman" w:eastAsia="Times New Roman" w:hAnsi="Times New Roman" w:cs="Times New Roman"/>
          <w:color w:val="333333"/>
          <w:sz w:val="27"/>
          <w:szCs w:val="27"/>
        </w:rPr>
        <w:t>M. BEK</w:t>
      </w:r>
    </w:p>
    <w:p w14:paraId="49B6414E" w14:textId="77777777" w:rsidR="00DB72C3" w:rsidRDefault="00DB72C3"/>
    <w:sectPr w:rsidR="00DB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3"/>
    <w:rsid w:val="00626511"/>
    <w:rsid w:val="008A7EB6"/>
    <w:rsid w:val="00BE4C8A"/>
    <w:rsid w:val="00DB72C3"/>
    <w:rsid w:val="00FD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79A2"/>
  <w15:chartTrackingRefBased/>
  <w15:docId w15:val="{B8CB6CB6-178E-4AFA-8443-7988E970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6019">
      <w:bodyDiv w:val="1"/>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
        <w:div w:id="1323855856">
          <w:marLeft w:val="0"/>
          <w:marRight w:val="0"/>
          <w:marTop w:val="0"/>
          <w:marBottom w:val="0"/>
          <w:divBdr>
            <w:top w:val="none" w:sz="0" w:space="0" w:color="auto"/>
            <w:left w:val="none" w:sz="0" w:space="0" w:color="auto"/>
            <w:bottom w:val="none" w:sz="0" w:space="0" w:color="auto"/>
            <w:right w:val="none" w:sz="0" w:space="0" w:color="auto"/>
          </w:divBdr>
          <w:divsChild>
            <w:div w:id="1053194984">
              <w:marLeft w:val="0"/>
              <w:marRight w:val="0"/>
              <w:marTop w:val="0"/>
              <w:marBottom w:val="0"/>
              <w:divBdr>
                <w:top w:val="none" w:sz="0" w:space="0" w:color="auto"/>
                <w:left w:val="none" w:sz="0" w:space="0" w:color="auto"/>
                <w:bottom w:val="none" w:sz="0" w:space="0" w:color="auto"/>
                <w:right w:val="none" w:sz="0" w:space="0" w:color="auto"/>
              </w:divBdr>
            </w:div>
            <w:div w:id="940529423">
              <w:marLeft w:val="0"/>
              <w:marRight w:val="0"/>
              <w:marTop w:val="0"/>
              <w:marBottom w:val="0"/>
              <w:divBdr>
                <w:top w:val="none" w:sz="0" w:space="0" w:color="auto"/>
                <w:left w:val="none" w:sz="0" w:space="0" w:color="auto"/>
                <w:bottom w:val="none" w:sz="0" w:space="0" w:color="auto"/>
                <w:right w:val="none" w:sz="0" w:space="0" w:color="auto"/>
              </w:divBdr>
            </w:div>
            <w:div w:id="1926064489">
              <w:marLeft w:val="0"/>
              <w:marRight w:val="0"/>
              <w:marTop w:val="0"/>
              <w:marBottom w:val="0"/>
              <w:divBdr>
                <w:top w:val="none" w:sz="0" w:space="0" w:color="auto"/>
                <w:left w:val="none" w:sz="0" w:space="0" w:color="auto"/>
                <w:bottom w:val="none" w:sz="0" w:space="0" w:color="auto"/>
                <w:right w:val="none" w:sz="0" w:space="0" w:color="auto"/>
              </w:divBdr>
            </w:div>
            <w:div w:id="2036038982">
              <w:marLeft w:val="0"/>
              <w:marRight w:val="0"/>
              <w:marTop w:val="0"/>
              <w:marBottom w:val="0"/>
              <w:divBdr>
                <w:top w:val="none" w:sz="0" w:space="0" w:color="auto"/>
                <w:left w:val="none" w:sz="0" w:space="0" w:color="auto"/>
                <w:bottom w:val="none" w:sz="0" w:space="0" w:color="auto"/>
                <w:right w:val="none" w:sz="0" w:space="0" w:color="auto"/>
              </w:divBdr>
            </w:div>
            <w:div w:id="233853480">
              <w:marLeft w:val="0"/>
              <w:marRight w:val="0"/>
              <w:marTop w:val="0"/>
              <w:marBottom w:val="0"/>
              <w:divBdr>
                <w:top w:val="none" w:sz="0" w:space="0" w:color="auto"/>
                <w:left w:val="none" w:sz="0" w:space="0" w:color="auto"/>
                <w:bottom w:val="none" w:sz="0" w:space="0" w:color="auto"/>
                <w:right w:val="none" w:sz="0" w:space="0" w:color="auto"/>
              </w:divBdr>
            </w:div>
            <w:div w:id="1736853677">
              <w:marLeft w:val="0"/>
              <w:marRight w:val="0"/>
              <w:marTop w:val="0"/>
              <w:marBottom w:val="0"/>
              <w:divBdr>
                <w:top w:val="none" w:sz="0" w:space="0" w:color="auto"/>
                <w:left w:val="none" w:sz="0" w:space="0" w:color="auto"/>
                <w:bottom w:val="none" w:sz="0" w:space="0" w:color="auto"/>
                <w:right w:val="none" w:sz="0" w:space="0" w:color="auto"/>
              </w:divBdr>
            </w:div>
            <w:div w:id="1575626315">
              <w:marLeft w:val="0"/>
              <w:marRight w:val="0"/>
              <w:marTop w:val="0"/>
              <w:marBottom w:val="0"/>
              <w:divBdr>
                <w:top w:val="none" w:sz="0" w:space="0" w:color="auto"/>
                <w:left w:val="none" w:sz="0" w:space="0" w:color="auto"/>
                <w:bottom w:val="none" w:sz="0" w:space="0" w:color="auto"/>
                <w:right w:val="none" w:sz="0" w:space="0" w:color="auto"/>
              </w:divBdr>
            </w:div>
            <w:div w:id="387337900">
              <w:marLeft w:val="0"/>
              <w:marRight w:val="0"/>
              <w:marTop w:val="0"/>
              <w:marBottom w:val="0"/>
              <w:divBdr>
                <w:top w:val="none" w:sz="0" w:space="0" w:color="auto"/>
                <w:left w:val="none" w:sz="0" w:space="0" w:color="auto"/>
                <w:bottom w:val="none" w:sz="0" w:space="0" w:color="auto"/>
                <w:right w:val="none" w:sz="0" w:space="0" w:color="auto"/>
              </w:divBdr>
            </w:div>
            <w:div w:id="1659991964">
              <w:marLeft w:val="0"/>
              <w:marRight w:val="0"/>
              <w:marTop w:val="0"/>
              <w:marBottom w:val="0"/>
              <w:divBdr>
                <w:top w:val="none" w:sz="0" w:space="0" w:color="auto"/>
                <w:left w:val="none" w:sz="0" w:space="0" w:color="auto"/>
                <w:bottom w:val="none" w:sz="0" w:space="0" w:color="auto"/>
                <w:right w:val="none" w:sz="0" w:space="0" w:color="auto"/>
              </w:divBdr>
            </w:div>
            <w:div w:id="880900264">
              <w:marLeft w:val="0"/>
              <w:marRight w:val="0"/>
              <w:marTop w:val="0"/>
              <w:marBottom w:val="0"/>
              <w:divBdr>
                <w:top w:val="none" w:sz="0" w:space="0" w:color="auto"/>
                <w:left w:val="none" w:sz="0" w:space="0" w:color="auto"/>
                <w:bottom w:val="none" w:sz="0" w:space="0" w:color="auto"/>
                <w:right w:val="none" w:sz="0" w:space="0" w:color="auto"/>
              </w:divBdr>
            </w:div>
            <w:div w:id="2092308459">
              <w:marLeft w:val="0"/>
              <w:marRight w:val="0"/>
              <w:marTop w:val="0"/>
              <w:marBottom w:val="0"/>
              <w:divBdr>
                <w:top w:val="none" w:sz="0" w:space="0" w:color="auto"/>
                <w:left w:val="none" w:sz="0" w:space="0" w:color="auto"/>
                <w:bottom w:val="none" w:sz="0" w:space="0" w:color="auto"/>
                <w:right w:val="none" w:sz="0" w:space="0" w:color="auto"/>
              </w:divBdr>
            </w:div>
            <w:div w:id="1080642733">
              <w:marLeft w:val="0"/>
              <w:marRight w:val="0"/>
              <w:marTop w:val="0"/>
              <w:marBottom w:val="0"/>
              <w:divBdr>
                <w:top w:val="none" w:sz="0" w:space="0" w:color="auto"/>
                <w:left w:val="none" w:sz="0" w:space="0" w:color="auto"/>
                <w:bottom w:val="none" w:sz="0" w:space="0" w:color="auto"/>
                <w:right w:val="none" w:sz="0" w:space="0" w:color="auto"/>
              </w:divBdr>
            </w:div>
            <w:div w:id="1991788938">
              <w:marLeft w:val="0"/>
              <w:marRight w:val="0"/>
              <w:marTop w:val="0"/>
              <w:marBottom w:val="0"/>
              <w:divBdr>
                <w:top w:val="none" w:sz="0" w:space="0" w:color="auto"/>
                <w:left w:val="none" w:sz="0" w:space="0" w:color="auto"/>
                <w:bottom w:val="none" w:sz="0" w:space="0" w:color="auto"/>
                <w:right w:val="none" w:sz="0" w:space="0" w:color="auto"/>
              </w:divBdr>
            </w:div>
            <w:div w:id="1510833031">
              <w:marLeft w:val="0"/>
              <w:marRight w:val="0"/>
              <w:marTop w:val="0"/>
              <w:marBottom w:val="0"/>
              <w:divBdr>
                <w:top w:val="none" w:sz="0" w:space="0" w:color="auto"/>
                <w:left w:val="none" w:sz="0" w:space="0" w:color="auto"/>
                <w:bottom w:val="none" w:sz="0" w:space="0" w:color="auto"/>
                <w:right w:val="none" w:sz="0" w:space="0" w:color="auto"/>
              </w:divBdr>
            </w:div>
            <w:div w:id="1160075120">
              <w:marLeft w:val="0"/>
              <w:marRight w:val="0"/>
              <w:marTop w:val="0"/>
              <w:marBottom w:val="0"/>
              <w:divBdr>
                <w:top w:val="none" w:sz="0" w:space="0" w:color="auto"/>
                <w:left w:val="none" w:sz="0" w:space="0" w:color="auto"/>
                <w:bottom w:val="none" w:sz="0" w:space="0" w:color="auto"/>
                <w:right w:val="none" w:sz="0" w:space="0" w:color="auto"/>
              </w:divBdr>
            </w:div>
            <w:div w:id="1973822347">
              <w:marLeft w:val="0"/>
              <w:marRight w:val="0"/>
              <w:marTop w:val="0"/>
              <w:marBottom w:val="0"/>
              <w:divBdr>
                <w:top w:val="none" w:sz="0" w:space="0" w:color="auto"/>
                <w:left w:val="none" w:sz="0" w:space="0" w:color="auto"/>
                <w:bottom w:val="none" w:sz="0" w:space="0" w:color="auto"/>
                <w:right w:val="none" w:sz="0" w:space="0" w:color="auto"/>
              </w:divBdr>
            </w:div>
            <w:div w:id="1989701828">
              <w:marLeft w:val="0"/>
              <w:marRight w:val="0"/>
              <w:marTop w:val="0"/>
              <w:marBottom w:val="0"/>
              <w:divBdr>
                <w:top w:val="none" w:sz="0" w:space="0" w:color="auto"/>
                <w:left w:val="none" w:sz="0" w:space="0" w:color="auto"/>
                <w:bottom w:val="none" w:sz="0" w:space="0" w:color="auto"/>
                <w:right w:val="none" w:sz="0" w:space="0" w:color="auto"/>
              </w:divBdr>
            </w:div>
            <w:div w:id="114101914">
              <w:marLeft w:val="0"/>
              <w:marRight w:val="0"/>
              <w:marTop w:val="0"/>
              <w:marBottom w:val="0"/>
              <w:divBdr>
                <w:top w:val="none" w:sz="0" w:space="0" w:color="auto"/>
                <w:left w:val="none" w:sz="0" w:space="0" w:color="auto"/>
                <w:bottom w:val="none" w:sz="0" w:space="0" w:color="auto"/>
                <w:right w:val="none" w:sz="0" w:space="0" w:color="auto"/>
              </w:divBdr>
            </w:div>
            <w:div w:id="1495409648">
              <w:marLeft w:val="0"/>
              <w:marRight w:val="0"/>
              <w:marTop w:val="0"/>
              <w:marBottom w:val="0"/>
              <w:divBdr>
                <w:top w:val="none" w:sz="0" w:space="0" w:color="auto"/>
                <w:left w:val="none" w:sz="0" w:space="0" w:color="auto"/>
                <w:bottom w:val="none" w:sz="0" w:space="0" w:color="auto"/>
                <w:right w:val="none" w:sz="0" w:space="0" w:color="auto"/>
              </w:divBdr>
            </w:div>
            <w:div w:id="1710758926">
              <w:marLeft w:val="0"/>
              <w:marRight w:val="0"/>
              <w:marTop w:val="0"/>
              <w:marBottom w:val="0"/>
              <w:divBdr>
                <w:top w:val="none" w:sz="0" w:space="0" w:color="auto"/>
                <w:left w:val="none" w:sz="0" w:space="0" w:color="auto"/>
                <w:bottom w:val="none" w:sz="0" w:space="0" w:color="auto"/>
                <w:right w:val="none" w:sz="0" w:space="0" w:color="auto"/>
              </w:divBdr>
            </w:div>
            <w:div w:id="40331607">
              <w:marLeft w:val="0"/>
              <w:marRight w:val="0"/>
              <w:marTop w:val="0"/>
              <w:marBottom w:val="0"/>
              <w:divBdr>
                <w:top w:val="none" w:sz="0" w:space="0" w:color="auto"/>
                <w:left w:val="none" w:sz="0" w:space="0" w:color="auto"/>
                <w:bottom w:val="none" w:sz="0" w:space="0" w:color="auto"/>
                <w:right w:val="none" w:sz="0" w:space="0" w:color="auto"/>
              </w:divBdr>
            </w:div>
            <w:div w:id="1746029988">
              <w:marLeft w:val="0"/>
              <w:marRight w:val="0"/>
              <w:marTop w:val="0"/>
              <w:marBottom w:val="0"/>
              <w:divBdr>
                <w:top w:val="none" w:sz="0" w:space="0" w:color="auto"/>
                <w:left w:val="none" w:sz="0" w:space="0" w:color="auto"/>
                <w:bottom w:val="none" w:sz="0" w:space="0" w:color="auto"/>
                <w:right w:val="none" w:sz="0" w:space="0" w:color="auto"/>
              </w:divBdr>
            </w:div>
            <w:div w:id="55008829">
              <w:marLeft w:val="0"/>
              <w:marRight w:val="0"/>
              <w:marTop w:val="0"/>
              <w:marBottom w:val="0"/>
              <w:divBdr>
                <w:top w:val="none" w:sz="0" w:space="0" w:color="auto"/>
                <w:left w:val="none" w:sz="0" w:space="0" w:color="auto"/>
                <w:bottom w:val="none" w:sz="0" w:space="0" w:color="auto"/>
                <w:right w:val="none" w:sz="0" w:space="0" w:color="auto"/>
              </w:divBdr>
            </w:div>
            <w:div w:id="1244608415">
              <w:marLeft w:val="0"/>
              <w:marRight w:val="0"/>
              <w:marTop w:val="0"/>
              <w:marBottom w:val="0"/>
              <w:divBdr>
                <w:top w:val="none" w:sz="0" w:space="0" w:color="auto"/>
                <w:left w:val="none" w:sz="0" w:space="0" w:color="auto"/>
                <w:bottom w:val="none" w:sz="0" w:space="0" w:color="auto"/>
                <w:right w:val="none" w:sz="0" w:space="0" w:color="auto"/>
              </w:divBdr>
            </w:div>
            <w:div w:id="205458974">
              <w:marLeft w:val="0"/>
              <w:marRight w:val="0"/>
              <w:marTop w:val="0"/>
              <w:marBottom w:val="0"/>
              <w:divBdr>
                <w:top w:val="none" w:sz="0" w:space="0" w:color="auto"/>
                <w:left w:val="none" w:sz="0" w:space="0" w:color="auto"/>
                <w:bottom w:val="none" w:sz="0" w:space="0" w:color="auto"/>
                <w:right w:val="none" w:sz="0" w:space="0" w:color="auto"/>
              </w:divBdr>
            </w:div>
            <w:div w:id="1637376399">
              <w:marLeft w:val="0"/>
              <w:marRight w:val="0"/>
              <w:marTop w:val="0"/>
              <w:marBottom w:val="0"/>
              <w:divBdr>
                <w:top w:val="none" w:sz="0" w:space="0" w:color="auto"/>
                <w:left w:val="none" w:sz="0" w:space="0" w:color="auto"/>
                <w:bottom w:val="none" w:sz="0" w:space="0" w:color="auto"/>
                <w:right w:val="none" w:sz="0" w:space="0" w:color="auto"/>
              </w:divBdr>
            </w:div>
            <w:div w:id="353310832">
              <w:marLeft w:val="0"/>
              <w:marRight w:val="0"/>
              <w:marTop w:val="0"/>
              <w:marBottom w:val="0"/>
              <w:divBdr>
                <w:top w:val="none" w:sz="0" w:space="0" w:color="auto"/>
                <w:left w:val="none" w:sz="0" w:space="0" w:color="auto"/>
                <w:bottom w:val="none" w:sz="0" w:space="0" w:color="auto"/>
                <w:right w:val="none" w:sz="0" w:space="0" w:color="auto"/>
              </w:divBdr>
            </w:div>
            <w:div w:id="40829296">
              <w:marLeft w:val="0"/>
              <w:marRight w:val="0"/>
              <w:marTop w:val="0"/>
              <w:marBottom w:val="0"/>
              <w:divBdr>
                <w:top w:val="none" w:sz="0" w:space="0" w:color="auto"/>
                <w:left w:val="none" w:sz="0" w:space="0" w:color="auto"/>
                <w:bottom w:val="none" w:sz="0" w:space="0" w:color="auto"/>
                <w:right w:val="none" w:sz="0" w:space="0" w:color="auto"/>
              </w:divBdr>
            </w:div>
            <w:div w:id="797146234">
              <w:marLeft w:val="0"/>
              <w:marRight w:val="0"/>
              <w:marTop w:val="0"/>
              <w:marBottom w:val="0"/>
              <w:divBdr>
                <w:top w:val="none" w:sz="0" w:space="0" w:color="auto"/>
                <w:left w:val="none" w:sz="0" w:space="0" w:color="auto"/>
                <w:bottom w:val="none" w:sz="0" w:space="0" w:color="auto"/>
                <w:right w:val="none" w:sz="0" w:space="0" w:color="auto"/>
              </w:divBdr>
            </w:div>
            <w:div w:id="272909332">
              <w:marLeft w:val="0"/>
              <w:marRight w:val="0"/>
              <w:marTop w:val="0"/>
              <w:marBottom w:val="0"/>
              <w:divBdr>
                <w:top w:val="none" w:sz="0" w:space="0" w:color="auto"/>
                <w:left w:val="none" w:sz="0" w:space="0" w:color="auto"/>
                <w:bottom w:val="none" w:sz="0" w:space="0" w:color="auto"/>
                <w:right w:val="none" w:sz="0" w:space="0" w:color="auto"/>
              </w:divBdr>
            </w:div>
            <w:div w:id="1294866123">
              <w:marLeft w:val="0"/>
              <w:marRight w:val="0"/>
              <w:marTop w:val="0"/>
              <w:marBottom w:val="0"/>
              <w:divBdr>
                <w:top w:val="none" w:sz="0" w:space="0" w:color="auto"/>
                <w:left w:val="none" w:sz="0" w:space="0" w:color="auto"/>
                <w:bottom w:val="none" w:sz="0" w:space="0" w:color="auto"/>
                <w:right w:val="none" w:sz="0" w:space="0" w:color="auto"/>
              </w:divBdr>
            </w:div>
            <w:div w:id="771239066">
              <w:marLeft w:val="0"/>
              <w:marRight w:val="0"/>
              <w:marTop w:val="0"/>
              <w:marBottom w:val="0"/>
              <w:divBdr>
                <w:top w:val="none" w:sz="0" w:space="0" w:color="auto"/>
                <w:left w:val="none" w:sz="0" w:space="0" w:color="auto"/>
                <w:bottom w:val="none" w:sz="0" w:space="0" w:color="auto"/>
                <w:right w:val="none" w:sz="0" w:space="0" w:color="auto"/>
              </w:divBdr>
            </w:div>
            <w:div w:id="691801138">
              <w:marLeft w:val="0"/>
              <w:marRight w:val="0"/>
              <w:marTop w:val="0"/>
              <w:marBottom w:val="0"/>
              <w:divBdr>
                <w:top w:val="none" w:sz="0" w:space="0" w:color="auto"/>
                <w:left w:val="none" w:sz="0" w:space="0" w:color="auto"/>
                <w:bottom w:val="none" w:sz="0" w:space="0" w:color="auto"/>
                <w:right w:val="none" w:sz="0" w:space="0" w:color="auto"/>
              </w:divBdr>
            </w:div>
            <w:div w:id="2054038195">
              <w:marLeft w:val="0"/>
              <w:marRight w:val="0"/>
              <w:marTop w:val="0"/>
              <w:marBottom w:val="0"/>
              <w:divBdr>
                <w:top w:val="none" w:sz="0" w:space="0" w:color="auto"/>
                <w:left w:val="none" w:sz="0" w:space="0" w:color="auto"/>
                <w:bottom w:val="none" w:sz="0" w:space="0" w:color="auto"/>
                <w:right w:val="none" w:sz="0" w:space="0" w:color="auto"/>
              </w:divBdr>
            </w:div>
            <w:div w:id="2068532505">
              <w:marLeft w:val="0"/>
              <w:marRight w:val="0"/>
              <w:marTop w:val="0"/>
              <w:marBottom w:val="0"/>
              <w:divBdr>
                <w:top w:val="none" w:sz="0" w:space="0" w:color="auto"/>
                <w:left w:val="none" w:sz="0" w:space="0" w:color="auto"/>
                <w:bottom w:val="none" w:sz="0" w:space="0" w:color="auto"/>
                <w:right w:val="none" w:sz="0" w:space="0" w:color="auto"/>
              </w:divBdr>
            </w:div>
            <w:div w:id="153029856">
              <w:marLeft w:val="0"/>
              <w:marRight w:val="0"/>
              <w:marTop w:val="0"/>
              <w:marBottom w:val="0"/>
              <w:divBdr>
                <w:top w:val="none" w:sz="0" w:space="0" w:color="auto"/>
                <w:left w:val="none" w:sz="0" w:space="0" w:color="auto"/>
                <w:bottom w:val="none" w:sz="0" w:space="0" w:color="auto"/>
                <w:right w:val="none" w:sz="0" w:space="0" w:color="auto"/>
              </w:divBdr>
            </w:div>
            <w:div w:id="484013300">
              <w:marLeft w:val="0"/>
              <w:marRight w:val="0"/>
              <w:marTop w:val="0"/>
              <w:marBottom w:val="0"/>
              <w:divBdr>
                <w:top w:val="none" w:sz="0" w:space="0" w:color="auto"/>
                <w:left w:val="none" w:sz="0" w:space="0" w:color="auto"/>
                <w:bottom w:val="none" w:sz="0" w:space="0" w:color="auto"/>
                <w:right w:val="none" w:sz="0" w:space="0" w:color="auto"/>
              </w:divBdr>
            </w:div>
            <w:div w:id="2060745655">
              <w:marLeft w:val="0"/>
              <w:marRight w:val="0"/>
              <w:marTop w:val="0"/>
              <w:marBottom w:val="0"/>
              <w:divBdr>
                <w:top w:val="none" w:sz="0" w:space="0" w:color="auto"/>
                <w:left w:val="none" w:sz="0" w:space="0" w:color="auto"/>
                <w:bottom w:val="none" w:sz="0" w:space="0" w:color="auto"/>
                <w:right w:val="none" w:sz="0" w:space="0" w:color="auto"/>
              </w:divBdr>
            </w:div>
            <w:div w:id="766074127">
              <w:marLeft w:val="0"/>
              <w:marRight w:val="0"/>
              <w:marTop w:val="0"/>
              <w:marBottom w:val="0"/>
              <w:divBdr>
                <w:top w:val="none" w:sz="0" w:space="0" w:color="auto"/>
                <w:left w:val="none" w:sz="0" w:space="0" w:color="auto"/>
                <w:bottom w:val="none" w:sz="0" w:space="0" w:color="auto"/>
                <w:right w:val="none" w:sz="0" w:space="0" w:color="auto"/>
              </w:divBdr>
            </w:div>
            <w:div w:id="1385568842">
              <w:marLeft w:val="0"/>
              <w:marRight w:val="0"/>
              <w:marTop w:val="0"/>
              <w:marBottom w:val="0"/>
              <w:divBdr>
                <w:top w:val="none" w:sz="0" w:space="0" w:color="auto"/>
                <w:left w:val="none" w:sz="0" w:space="0" w:color="auto"/>
                <w:bottom w:val="none" w:sz="0" w:space="0" w:color="auto"/>
                <w:right w:val="none" w:sz="0" w:space="0" w:color="auto"/>
              </w:divBdr>
            </w:div>
            <w:div w:id="2018264867">
              <w:marLeft w:val="0"/>
              <w:marRight w:val="0"/>
              <w:marTop w:val="0"/>
              <w:marBottom w:val="0"/>
              <w:divBdr>
                <w:top w:val="none" w:sz="0" w:space="0" w:color="auto"/>
                <w:left w:val="none" w:sz="0" w:space="0" w:color="auto"/>
                <w:bottom w:val="none" w:sz="0" w:space="0" w:color="auto"/>
                <w:right w:val="none" w:sz="0" w:space="0" w:color="auto"/>
              </w:divBdr>
            </w:div>
            <w:div w:id="685328579">
              <w:marLeft w:val="0"/>
              <w:marRight w:val="0"/>
              <w:marTop w:val="0"/>
              <w:marBottom w:val="0"/>
              <w:divBdr>
                <w:top w:val="none" w:sz="0" w:space="0" w:color="auto"/>
                <w:left w:val="none" w:sz="0" w:space="0" w:color="auto"/>
                <w:bottom w:val="none" w:sz="0" w:space="0" w:color="auto"/>
                <w:right w:val="none" w:sz="0" w:space="0" w:color="auto"/>
              </w:divBdr>
            </w:div>
            <w:div w:id="441533525">
              <w:marLeft w:val="0"/>
              <w:marRight w:val="0"/>
              <w:marTop w:val="0"/>
              <w:marBottom w:val="0"/>
              <w:divBdr>
                <w:top w:val="none" w:sz="0" w:space="0" w:color="auto"/>
                <w:left w:val="none" w:sz="0" w:space="0" w:color="auto"/>
                <w:bottom w:val="none" w:sz="0" w:space="0" w:color="auto"/>
                <w:right w:val="none" w:sz="0" w:space="0" w:color="auto"/>
              </w:divBdr>
            </w:div>
            <w:div w:id="229924283">
              <w:marLeft w:val="0"/>
              <w:marRight w:val="0"/>
              <w:marTop w:val="0"/>
              <w:marBottom w:val="0"/>
              <w:divBdr>
                <w:top w:val="none" w:sz="0" w:space="0" w:color="auto"/>
                <w:left w:val="none" w:sz="0" w:space="0" w:color="auto"/>
                <w:bottom w:val="none" w:sz="0" w:space="0" w:color="auto"/>
                <w:right w:val="none" w:sz="0" w:space="0" w:color="auto"/>
              </w:divBdr>
            </w:div>
            <w:div w:id="420569970">
              <w:marLeft w:val="0"/>
              <w:marRight w:val="0"/>
              <w:marTop w:val="0"/>
              <w:marBottom w:val="0"/>
              <w:divBdr>
                <w:top w:val="none" w:sz="0" w:space="0" w:color="auto"/>
                <w:left w:val="none" w:sz="0" w:space="0" w:color="auto"/>
                <w:bottom w:val="none" w:sz="0" w:space="0" w:color="auto"/>
                <w:right w:val="none" w:sz="0" w:space="0" w:color="auto"/>
              </w:divBdr>
            </w:div>
            <w:div w:id="11077786">
              <w:marLeft w:val="0"/>
              <w:marRight w:val="0"/>
              <w:marTop w:val="0"/>
              <w:marBottom w:val="0"/>
              <w:divBdr>
                <w:top w:val="none" w:sz="0" w:space="0" w:color="auto"/>
                <w:left w:val="none" w:sz="0" w:space="0" w:color="auto"/>
                <w:bottom w:val="none" w:sz="0" w:space="0" w:color="auto"/>
                <w:right w:val="none" w:sz="0" w:space="0" w:color="auto"/>
              </w:divBdr>
            </w:div>
            <w:div w:id="1741900804">
              <w:marLeft w:val="0"/>
              <w:marRight w:val="0"/>
              <w:marTop w:val="0"/>
              <w:marBottom w:val="0"/>
              <w:divBdr>
                <w:top w:val="none" w:sz="0" w:space="0" w:color="auto"/>
                <w:left w:val="none" w:sz="0" w:space="0" w:color="auto"/>
                <w:bottom w:val="none" w:sz="0" w:space="0" w:color="auto"/>
                <w:right w:val="none" w:sz="0" w:space="0" w:color="auto"/>
              </w:divBdr>
            </w:div>
            <w:div w:id="1674911830">
              <w:marLeft w:val="0"/>
              <w:marRight w:val="0"/>
              <w:marTop w:val="0"/>
              <w:marBottom w:val="0"/>
              <w:divBdr>
                <w:top w:val="none" w:sz="0" w:space="0" w:color="auto"/>
                <w:left w:val="none" w:sz="0" w:space="0" w:color="auto"/>
                <w:bottom w:val="none" w:sz="0" w:space="0" w:color="auto"/>
                <w:right w:val="none" w:sz="0" w:space="0" w:color="auto"/>
              </w:divBdr>
            </w:div>
            <w:div w:id="1573194264">
              <w:marLeft w:val="0"/>
              <w:marRight w:val="0"/>
              <w:marTop w:val="0"/>
              <w:marBottom w:val="0"/>
              <w:divBdr>
                <w:top w:val="none" w:sz="0" w:space="0" w:color="auto"/>
                <w:left w:val="none" w:sz="0" w:space="0" w:color="auto"/>
                <w:bottom w:val="none" w:sz="0" w:space="0" w:color="auto"/>
                <w:right w:val="none" w:sz="0" w:space="0" w:color="auto"/>
              </w:divBdr>
            </w:div>
            <w:div w:id="2051954388">
              <w:marLeft w:val="0"/>
              <w:marRight w:val="0"/>
              <w:marTop w:val="0"/>
              <w:marBottom w:val="0"/>
              <w:divBdr>
                <w:top w:val="none" w:sz="0" w:space="0" w:color="auto"/>
                <w:left w:val="none" w:sz="0" w:space="0" w:color="auto"/>
                <w:bottom w:val="none" w:sz="0" w:space="0" w:color="auto"/>
                <w:right w:val="none" w:sz="0" w:space="0" w:color="auto"/>
              </w:divBdr>
            </w:div>
            <w:div w:id="125049103">
              <w:marLeft w:val="0"/>
              <w:marRight w:val="0"/>
              <w:marTop w:val="0"/>
              <w:marBottom w:val="0"/>
              <w:divBdr>
                <w:top w:val="none" w:sz="0" w:space="0" w:color="auto"/>
                <w:left w:val="none" w:sz="0" w:space="0" w:color="auto"/>
                <w:bottom w:val="none" w:sz="0" w:space="0" w:color="auto"/>
                <w:right w:val="none" w:sz="0" w:space="0" w:color="auto"/>
              </w:divBdr>
            </w:div>
            <w:div w:id="646393815">
              <w:marLeft w:val="0"/>
              <w:marRight w:val="0"/>
              <w:marTop w:val="0"/>
              <w:marBottom w:val="0"/>
              <w:divBdr>
                <w:top w:val="none" w:sz="0" w:space="0" w:color="auto"/>
                <w:left w:val="none" w:sz="0" w:space="0" w:color="auto"/>
                <w:bottom w:val="none" w:sz="0" w:space="0" w:color="auto"/>
                <w:right w:val="none" w:sz="0" w:space="0" w:color="auto"/>
              </w:divBdr>
            </w:div>
            <w:div w:id="444231638">
              <w:marLeft w:val="0"/>
              <w:marRight w:val="0"/>
              <w:marTop w:val="0"/>
              <w:marBottom w:val="0"/>
              <w:divBdr>
                <w:top w:val="none" w:sz="0" w:space="0" w:color="auto"/>
                <w:left w:val="none" w:sz="0" w:space="0" w:color="auto"/>
                <w:bottom w:val="none" w:sz="0" w:space="0" w:color="auto"/>
                <w:right w:val="none" w:sz="0" w:space="0" w:color="auto"/>
              </w:divBdr>
            </w:div>
            <w:div w:id="1477719218">
              <w:marLeft w:val="0"/>
              <w:marRight w:val="0"/>
              <w:marTop w:val="0"/>
              <w:marBottom w:val="0"/>
              <w:divBdr>
                <w:top w:val="none" w:sz="0" w:space="0" w:color="auto"/>
                <w:left w:val="none" w:sz="0" w:space="0" w:color="auto"/>
                <w:bottom w:val="none" w:sz="0" w:space="0" w:color="auto"/>
                <w:right w:val="none" w:sz="0" w:space="0" w:color="auto"/>
              </w:divBdr>
            </w:div>
            <w:div w:id="1259874513">
              <w:marLeft w:val="0"/>
              <w:marRight w:val="0"/>
              <w:marTop w:val="0"/>
              <w:marBottom w:val="0"/>
              <w:divBdr>
                <w:top w:val="none" w:sz="0" w:space="0" w:color="auto"/>
                <w:left w:val="none" w:sz="0" w:space="0" w:color="auto"/>
                <w:bottom w:val="none" w:sz="0" w:space="0" w:color="auto"/>
                <w:right w:val="none" w:sz="0" w:space="0" w:color="auto"/>
              </w:divBdr>
            </w:div>
            <w:div w:id="657418087">
              <w:marLeft w:val="0"/>
              <w:marRight w:val="0"/>
              <w:marTop w:val="0"/>
              <w:marBottom w:val="0"/>
              <w:divBdr>
                <w:top w:val="none" w:sz="0" w:space="0" w:color="auto"/>
                <w:left w:val="none" w:sz="0" w:space="0" w:color="auto"/>
                <w:bottom w:val="none" w:sz="0" w:space="0" w:color="auto"/>
                <w:right w:val="none" w:sz="0" w:space="0" w:color="auto"/>
              </w:divBdr>
            </w:div>
            <w:div w:id="819275227">
              <w:marLeft w:val="0"/>
              <w:marRight w:val="0"/>
              <w:marTop w:val="0"/>
              <w:marBottom w:val="0"/>
              <w:divBdr>
                <w:top w:val="none" w:sz="0" w:space="0" w:color="auto"/>
                <w:left w:val="none" w:sz="0" w:space="0" w:color="auto"/>
                <w:bottom w:val="none" w:sz="0" w:space="0" w:color="auto"/>
                <w:right w:val="none" w:sz="0" w:space="0" w:color="auto"/>
              </w:divBdr>
            </w:div>
            <w:div w:id="1163545620">
              <w:marLeft w:val="0"/>
              <w:marRight w:val="0"/>
              <w:marTop w:val="0"/>
              <w:marBottom w:val="0"/>
              <w:divBdr>
                <w:top w:val="none" w:sz="0" w:space="0" w:color="auto"/>
                <w:left w:val="none" w:sz="0" w:space="0" w:color="auto"/>
                <w:bottom w:val="none" w:sz="0" w:space="0" w:color="auto"/>
                <w:right w:val="none" w:sz="0" w:space="0" w:color="auto"/>
              </w:divBdr>
            </w:div>
            <w:div w:id="273951110">
              <w:marLeft w:val="0"/>
              <w:marRight w:val="0"/>
              <w:marTop w:val="0"/>
              <w:marBottom w:val="0"/>
              <w:divBdr>
                <w:top w:val="none" w:sz="0" w:space="0" w:color="auto"/>
                <w:left w:val="none" w:sz="0" w:space="0" w:color="auto"/>
                <w:bottom w:val="none" w:sz="0" w:space="0" w:color="auto"/>
                <w:right w:val="none" w:sz="0" w:space="0" w:color="auto"/>
              </w:divBdr>
            </w:div>
          </w:divsChild>
        </w:div>
        <w:div w:id="555512573">
          <w:marLeft w:val="0"/>
          <w:marRight w:val="0"/>
          <w:marTop w:val="0"/>
          <w:marBottom w:val="0"/>
          <w:divBdr>
            <w:top w:val="none" w:sz="0" w:space="0" w:color="auto"/>
            <w:left w:val="none" w:sz="0" w:space="0" w:color="auto"/>
            <w:bottom w:val="none" w:sz="0" w:space="0" w:color="auto"/>
            <w:right w:val="none" w:sz="0" w:space="0" w:color="auto"/>
          </w:divBdr>
          <w:divsChild>
            <w:div w:id="839002590">
              <w:marLeft w:val="0"/>
              <w:marRight w:val="0"/>
              <w:marTop w:val="0"/>
              <w:marBottom w:val="0"/>
              <w:divBdr>
                <w:top w:val="none" w:sz="0" w:space="0" w:color="auto"/>
                <w:left w:val="none" w:sz="0" w:space="0" w:color="auto"/>
                <w:bottom w:val="none" w:sz="0" w:space="0" w:color="auto"/>
                <w:right w:val="none" w:sz="0" w:space="0" w:color="auto"/>
              </w:divBdr>
              <w:divsChild>
                <w:div w:id="1877888558">
                  <w:marLeft w:val="0"/>
                  <w:marRight w:val="0"/>
                  <w:marTop w:val="0"/>
                  <w:marBottom w:val="0"/>
                  <w:divBdr>
                    <w:top w:val="none" w:sz="0" w:space="0" w:color="auto"/>
                    <w:left w:val="none" w:sz="0" w:space="0" w:color="auto"/>
                    <w:bottom w:val="none" w:sz="0" w:space="0" w:color="auto"/>
                    <w:right w:val="none" w:sz="0" w:space="0" w:color="auto"/>
                  </w:divBdr>
                </w:div>
                <w:div w:id="2134397560">
                  <w:marLeft w:val="0"/>
                  <w:marRight w:val="0"/>
                  <w:marTop w:val="0"/>
                  <w:marBottom w:val="0"/>
                  <w:divBdr>
                    <w:top w:val="none" w:sz="0" w:space="0" w:color="auto"/>
                    <w:left w:val="none" w:sz="0" w:space="0" w:color="auto"/>
                    <w:bottom w:val="none" w:sz="0" w:space="0" w:color="auto"/>
                    <w:right w:val="none" w:sz="0" w:space="0" w:color="auto"/>
                  </w:divBdr>
                  <w:divsChild>
                    <w:div w:id="1213226392">
                      <w:marLeft w:val="0"/>
                      <w:marRight w:val="0"/>
                      <w:marTop w:val="0"/>
                      <w:marBottom w:val="0"/>
                      <w:divBdr>
                        <w:top w:val="none" w:sz="0" w:space="0" w:color="auto"/>
                        <w:left w:val="none" w:sz="0" w:space="0" w:color="auto"/>
                        <w:bottom w:val="none" w:sz="0" w:space="0" w:color="auto"/>
                        <w:right w:val="none" w:sz="0" w:space="0" w:color="auto"/>
                      </w:divBdr>
                    </w:div>
                    <w:div w:id="1987514213">
                      <w:marLeft w:val="0"/>
                      <w:marRight w:val="0"/>
                      <w:marTop w:val="0"/>
                      <w:marBottom w:val="0"/>
                      <w:divBdr>
                        <w:top w:val="none" w:sz="0" w:space="0" w:color="auto"/>
                        <w:left w:val="none" w:sz="0" w:space="0" w:color="auto"/>
                        <w:bottom w:val="none" w:sz="0" w:space="0" w:color="auto"/>
                        <w:right w:val="none" w:sz="0" w:space="0" w:color="auto"/>
                      </w:divBdr>
                    </w:div>
                    <w:div w:id="513959692">
                      <w:marLeft w:val="0"/>
                      <w:marRight w:val="0"/>
                      <w:marTop w:val="0"/>
                      <w:marBottom w:val="0"/>
                      <w:divBdr>
                        <w:top w:val="none" w:sz="0" w:space="0" w:color="auto"/>
                        <w:left w:val="none" w:sz="0" w:space="0" w:color="auto"/>
                        <w:bottom w:val="none" w:sz="0" w:space="0" w:color="auto"/>
                        <w:right w:val="none" w:sz="0" w:space="0" w:color="auto"/>
                      </w:divBdr>
                    </w:div>
                    <w:div w:id="1656646930">
                      <w:marLeft w:val="0"/>
                      <w:marRight w:val="0"/>
                      <w:marTop w:val="0"/>
                      <w:marBottom w:val="0"/>
                      <w:divBdr>
                        <w:top w:val="none" w:sz="0" w:space="0" w:color="auto"/>
                        <w:left w:val="none" w:sz="0" w:space="0" w:color="auto"/>
                        <w:bottom w:val="none" w:sz="0" w:space="0" w:color="auto"/>
                        <w:right w:val="none" w:sz="0" w:space="0" w:color="auto"/>
                      </w:divBdr>
                    </w:div>
                  </w:divsChild>
                </w:div>
                <w:div w:id="1340816078">
                  <w:marLeft w:val="0"/>
                  <w:marRight w:val="0"/>
                  <w:marTop w:val="0"/>
                  <w:marBottom w:val="0"/>
                  <w:divBdr>
                    <w:top w:val="none" w:sz="0" w:space="0" w:color="auto"/>
                    <w:left w:val="none" w:sz="0" w:space="0" w:color="auto"/>
                    <w:bottom w:val="none" w:sz="0" w:space="0" w:color="auto"/>
                    <w:right w:val="none" w:sz="0" w:space="0" w:color="auto"/>
                  </w:divBdr>
                  <w:divsChild>
                    <w:div w:id="1653408876">
                      <w:marLeft w:val="0"/>
                      <w:marRight w:val="0"/>
                      <w:marTop w:val="0"/>
                      <w:marBottom w:val="0"/>
                      <w:divBdr>
                        <w:top w:val="none" w:sz="0" w:space="0" w:color="auto"/>
                        <w:left w:val="none" w:sz="0" w:space="0" w:color="auto"/>
                        <w:bottom w:val="none" w:sz="0" w:space="0" w:color="auto"/>
                        <w:right w:val="none" w:sz="0" w:space="0" w:color="auto"/>
                      </w:divBdr>
                    </w:div>
                    <w:div w:id="1342313829">
                      <w:marLeft w:val="0"/>
                      <w:marRight w:val="0"/>
                      <w:marTop w:val="0"/>
                      <w:marBottom w:val="0"/>
                      <w:divBdr>
                        <w:top w:val="none" w:sz="0" w:space="0" w:color="auto"/>
                        <w:left w:val="none" w:sz="0" w:space="0" w:color="auto"/>
                        <w:bottom w:val="none" w:sz="0" w:space="0" w:color="auto"/>
                        <w:right w:val="none" w:sz="0" w:space="0" w:color="auto"/>
                      </w:divBdr>
                    </w:div>
                    <w:div w:id="1068570636">
                      <w:marLeft w:val="0"/>
                      <w:marRight w:val="0"/>
                      <w:marTop w:val="0"/>
                      <w:marBottom w:val="0"/>
                      <w:divBdr>
                        <w:top w:val="none" w:sz="0" w:space="0" w:color="auto"/>
                        <w:left w:val="none" w:sz="0" w:space="0" w:color="auto"/>
                        <w:bottom w:val="none" w:sz="0" w:space="0" w:color="auto"/>
                        <w:right w:val="none" w:sz="0" w:space="0" w:color="auto"/>
                      </w:divBdr>
                    </w:div>
                    <w:div w:id="1298030261">
                      <w:marLeft w:val="0"/>
                      <w:marRight w:val="0"/>
                      <w:marTop w:val="0"/>
                      <w:marBottom w:val="0"/>
                      <w:divBdr>
                        <w:top w:val="none" w:sz="0" w:space="0" w:color="auto"/>
                        <w:left w:val="none" w:sz="0" w:space="0" w:color="auto"/>
                        <w:bottom w:val="none" w:sz="0" w:space="0" w:color="auto"/>
                        <w:right w:val="none" w:sz="0" w:space="0" w:color="auto"/>
                      </w:divBdr>
                    </w:div>
                    <w:div w:id="1736854008">
                      <w:marLeft w:val="0"/>
                      <w:marRight w:val="0"/>
                      <w:marTop w:val="0"/>
                      <w:marBottom w:val="0"/>
                      <w:divBdr>
                        <w:top w:val="none" w:sz="0" w:space="0" w:color="auto"/>
                        <w:left w:val="none" w:sz="0" w:space="0" w:color="auto"/>
                        <w:bottom w:val="none" w:sz="0" w:space="0" w:color="auto"/>
                        <w:right w:val="none" w:sz="0" w:space="0" w:color="auto"/>
                      </w:divBdr>
                    </w:div>
                  </w:divsChild>
                </w:div>
                <w:div w:id="1311716703">
                  <w:marLeft w:val="0"/>
                  <w:marRight w:val="0"/>
                  <w:marTop w:val="0"/>
                  <w:marBottom w:val="0"/>
                  <w:divBdr>
                    <w:top w:val="none" w:sz="0" w:space="0" w:color="auto"/>
                    <w:left w:val="none" w:sz="0" w:space="0" w:color="auto"/>
                    <w:bottom w:val="none" w:sz="0" w:space="0" w:color="auto"/>
                    <w:right w:val="none" w:sz="0" w:space="0" w:color="auto"/>
                  </w:divBdr>
                  <w:divsChild>
                    <w:div w:id="402145641">
                      <w:marLeft w:val="0"/>
                      <w:marRight w:val="0"/>
                      <w:marTop w:val="0"/>
                      <w:marBottom w:val="0"/>
                      <w:divBdr>
                        <w:top w:val="none" w:sz="0" w:space="0" w:color="auto"/>
                        <w:left w:val="none" w:sz="0" w:space="0" w:color="auto"/>
                        <w:bottom w:val="none" w:sz="0" w:space="0" w:color="auto"/>
                        <w:right w:val="none" w:sz="0" w:space="0" w:color="auto"/>
                      </w:divBdr>
                    </w:div>
                  </w:divsChild>
                </w:div>
                <w:div w:id="698429675">
                  <w:marLeft w:val="0"/>
                  <w:marRight w:val="0"/>
                  <w:marTop w:val="0"/>
                  <w:marBottom w:val="0"/>
                  <w:divBdr>
                    <w:top w:val="none" w:sz="0" w:space="0" w:color="auto"/>
                    <w:left w:val="none" w:sz="0" w:space="0" w:color="auto"/>
                    <w:bottom w:val="none" w:sz="0" w:space="0" w:color="auto"/>
                    <w:right w:val="none" w:sz="0" w:space="0" w:color="auto"/>
                  </w:divBdr>
                  <w:divsChild>
                    <w:div w:id="587350659">
                      <w:marLeft w:val="0"/>
                      <w:marRight w:val="0"/>
                      <w:marTop w:val="0"/>
                      <w:marBottom w:val="0"/>
                      <w:divBdr>
                        <w:top w:val="none" w:sz="0" w:space="0" w:color="auto"/>
                        <w:left w:val="none" w:sz="0" w:space="0" w:color="auto"/>
                        <w:bottom w:val="none" w:sz="0" w:space="0" w:color="auto"/>
                        <w:right w:val="none" w:sz="0" w:space="0" w:color="auto"/>
                      </w:divBdr>
                    </w:div>
                    <w:div w:id="639116875">
                      <w:marLeft w:val="0"/>
                      <w:marRight w:val="0"/>
                      <w:marTop w:val="0"/>
                      <w:marBottom w:val="0"/>
                      <w:divBdr>
                        <w:top w:val="none" w:sz="0" w:space="0" w:color="auto"/>
                        <w:left w:val="none" w:sz="0" w:space="0" w:color="auto"/>
                        <w:bottom w:val="none" w:sz="0" w:space="0" w:color="auto"/>
                        <w:right w:val="none" w:sz="0" w:space="0" w:color="auto"/>
                      </w:divBdr>
                    </w:div>
                    <w:div w:id="585111576">
                      <w:marLeft w:val="0"/>
                      <w:marRight w:val="0"/>
                      <w:marTop w:val="0"/>
                      <w:marBottom w:val="0"/>
                      <w:divBdr>
                        <w:top w:val="none" w:sz="0" w:space="0" w:color="auto"/>
                        <w:left w:val="none" w:sz="0" w:space="0" w:color="auto"/>
                        <w:bottom w:val="none" w:sz="0" w:space="0" w:color="auto"/>
                        <w:right w:val="none" w:sz="0" w:space="0" w:color="auto"/>
                      </w:divBdr>
                    </w:div>
                    <w:div w:id="19141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6692">
              <w:marLeft w:val="0"/>
              <w:marRight w:val="0"/>
              <w:marTop w:val="0"/>
              <w:marBottom w:val="0"/>
              <w:divBdr>
                <w:top w:val="none" w:sz="0" w:space="0" w:color="auto"/>
                <w:left w:val="none" w:sz="0" w:space="0" w:color="auto"/>
                <w:bottom w:val="none" w:sz="0" w:space="0" w:color="auto"/>
                <w:right w:val="none" w:sz="0" w:space="0" w:color="auto"/>
              </w:divBdr>
              <w:divsChild>
                <w:div w:id="934633562">
                  <w:marLeft w:val="0"/>
                  <w:marRight w:val="0"/>
                  <w:marTop w:val="0"/>
                  <w:marBottom w:val="0"/>
                  <w:divBdr>
                    <w:top w:val="none" w:sz="0" w:space="0" w:color="auto"/>
                    <w:left w:val="none" w:sz="0" w:space="0" w:color="auto"/>
                    <w:bottom w:val="none" w:sz="0" w:space="0" w:color="auto"/>
                    <w:right w:val="none" w:sz="0" w:space="0" w:color="auto"/>
                  </w:divBdr>
                </w:div>
                <w:div w:id="1222713632">
                  <w:marLeft w:val="0"/>
                  <w:marRight w:val="0"/>
                  <w:marTop w:val="0"/>
                  <w:marBottom w:val="0"/>
                  <w:divBdr>
                    <w:top w:val="none" w:sz="0" w:space="0" w:color="auto"/>
                    <w:left w:val="none" w:sz="0" w:space="0" w:color="auto"/>
                    <w:bottom w:val="none" w:sz="0" w:space="0" w:color="auto"/>
                    <w:right w:val="none" w:sz="0" w:space="0" w:color="auto"/>
                  </w:divBdr>
                  <w:divsChild>
                    <w:div w:id="1280993856">
                      <w:marLeft w:val="0"/>
                      <w:marRight w:val="0"/>
                      <w:marTop w:val="0"/>
                      <w:marBottom w:val="0"/>
                      <w:divBdr>
                        <w:top w:val="none" w:sz="0" w:space="0" w:color="auto"/>
                        <w:left w:val="none" w:sz="0" w:space="0" w:color="auto"/>
                        <w:bottom w:val="none" w:sz="0" w:space="0" w:color="auto"/>
                        <w:right w:val="none" w:sz="0" w:space="0" w:color="auto"/>
                      </w:divBdr>
                      <w:divsChild>
                        <w:div w:id="253443130">
                          <w:marLeft w:val="0"/>
                          <w:marRight w:val="0"/>
                          <w:marTop w:val="0"/>
                          <w:marBottom w:val="0"/>
                          <w:divBdr>
                            <w:top w:val="none" w:sz="0" w:space="0" w:color="auto"/>
                            <w:left w:val="none" w:sz="0" w:space="0" w:color="auto"/>
                            <w:bottom w:val="none" w:sz="0" w:space="0" w:color="auto"/>
                            <w:right w:val="none" w:sz="0" w:space="0" w:color="auto"/>
                          </w:divBdr>
                        </w:div>
                        <w:div w:id="156696710">
                          <w:marLeft w:val="0"/>
                          <w:marRight w:val="0"/>
                          <w:marTop w:val="0"/>
                          <w:marBottom w:val="0"/>
                          <w:divBdr>
                            <w:top w:val="none" w:sz="0" w:space="0" w:color="auto"/>
                            <w:left w:val="none" w:sz="0" w:space="0" w:color="auto"/>
                            <w:bottom w:val="none" w:sz="0" w:space="0" w:color="auto"/>
                            <w:right w:val="none" w:sz="0" w:space="0" w:color="auto"/>
                          </w:divBdr>
                        </w:div>
                        <w:div w:id="1074166366">
                          <w:marLeft w:val="0"/>
                          <w:marRight w:val="0"/>
                          <w:marTop w:val="0"/>
                          <w:marBottom w:val="0"/>
                          <w:divBdr>
                            <w:top w:val="none" w:sz="0" w:space="0" w:color="auto"/>
                            <w:left w:val="none" w:sz="0" w:space="0" w:color="auto"/>
                            <w:bottom w:val="none" w:sz="0" w:space="0" w:color="auto"/>
                            <w:right w:val="none" w:sz="0" w:space="0" w:color="auto"/>
                          </w:divBdr>
                        </w:div>
                        <w:div w:id="350450726">
                          <w:marLeft w:val="0"/>
                          <w:marRight w:val="0"/>
                          <w:marTop w:val="0"/>
                          <w:marBottom w:val="0"/>
                          <w:divBdr>
                            <w:top w:val="none" w:sz="0" w:space="0" w:color="auto"/>
                            <w:left w:val="none" w:sz="0" w:space="0" w:color="auto"/>
                            <w:bottom w:val="none" w:sz="0" w:space="0" w:color="auto"/>
                            <w:right w:val="none" w:sz="0" w:space="0" w:color="auto"/>
                          </w:divBdr>
                        </w:div>
                        <w:div w:id="1850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4480">
                  <w:marLeft w:val="0"/>
                  <w:marRight w:val="0"/>
                  <w:marTop w:val="0"/>
                  <w:marBottom w:val="0"/>
                  <w:divBdr>
                    <w:top w:val="none" w:sz="0" w:space="0" w:color="auto"/>
                    <w:left w:val="none" w:sz="0" w:space="0" w:color="auto"/>
                    <w:bottom w:val="none" w:sz="0" w:space="0" w:color="auto"/>
                    <w:right w:val="none" w:sz="0" w:space="0" w:color="auto"/>
                  </w:divBdr>
                  <w:divsChild>
                    <w:div w:id="1654604749">
                      <w:marLeft w:val="0"/>
                      <w:marRight w:val="0"/>
                      <w:marTop w:val="0"/>
                      <w:marBottom w:val="0"/>
                      <w:divBdr>
                        <w:top w:val="none" w:sz="0" w:space="0" w:color="auto"/>
                        <w:left w:val="none" w:sz="0" w:space="0" w:color="auto"/>
                        <w:bottom w:val="none" w:sz="0" w:space="0" w:color="auto"/>
                        <w:right w:val="none" w:sz="0" w:space="0" w:color="auto"/>
                      </w:divBdr>
                      <w:divsChild>
                        <w:div w:id="1411465658">
                          <w:marLeft w:val="0"/>
                          <w:marRight w:val="0"/>
                          <w:marTop w:val="0"/>
                          <w:marBottom w:val="0"/>
                          <w:divBdr>
                            <w:top w:val="none" w:sz="0" w:space="0" w:color="auto"/>
                            <w:left w:val="none" w:sz="0" w:space="0" w:color="auto"/>
                            <w:bottom w:val="none" w:sz="0" w:space="0" w:color="auto"/>
                            <w:right w:val="none" w:sz="0" w:space="0" w:color="auto"/>
                          </w:divBdr>
                        </w:div>
                        <w:div w:id="321470265">
                          <w:marLeft w:val="0"/>
                          <w:marRight w:val="0"/>
                          <w:marTop w:val="0"/>
                          <w:marBottom w:val="0"/>
                          <w:divBdr>
                            <w:top w:val="none" w:sz="0" w:space="0" w:color="auto"/>
                            <w:left w:val="none" w:sz="0" w:space="0" w:color="auto"/>
                            <w:bottom w:val="none" w:sz="0" w:space="0" w:color="auto"/>
                            <w:right w:val="none" w:sz="0" w:space="0" w:color="auto"/>
                          </w:divBdr>
                        </w:div>
                        <w:div w:id="376853460">
                          <w:marLeft w:val="0"/>
                          <w:marRight w:val="0"/>
                          <w:marTop w:val="0"/>
                          <w:marBottom w:val="0"/>
                          <w:divBdr>
                            <w:top w:val="none" w:sz="0" w:space="0" w:color="auto"/>
                            <w:left w:val="none" w:sz="0" w:space="0" w:color="auto"/>
                            <w:bottom w:val="none" w:sz="0" w:space="0" w:color="auto"/>
                            <w:right w:val="none" w:sz="0" w:space="0" w:color="auto"/>
                          </w:divBdr>
                        </w:div>
                        <w:div w:id="2127890389">
                          <w:marLeft w:val="0"/>
                          <w:marRight w:val="0"/>
                          <w:marTop w:val="0"/>
                          <w:marBottom w:val="0"/>
                          <w:divBdr>
                            <w:top w:val="none" w:sz="0" w:space="0" w:color="auto"/>
                            <w:left w:val="none" w:sz="0" w:space="0" w:color="auto"/>
                            <w:bottom w:val="none" w:sz="0" w:space="0" w:color="auto"/>
                            <w:right w:val="none" w:sz="0" w:space="0" w:color="auto"/>
                          </w:divBdr>
                        </w:div>
                        <w:div w:id="27537793">
                          <w:marLeft w:val="0"/>
                          <w:marRight w:val="0"/>
                          <w:marTop w:val="0"/>
                          <w:marBottom w:val="0"/>
                          <w:divBdr>
                            <w:top w:val="none" w:sz="0" w:space="0" w:color="auto"/>
                            <w:left w:val="none" w:sz="0" w:space="0" w:color="auto"/>
                            <w:bottom w:val="none" w:sz="0" w:space="0" w:color="auto"/>
                            <w:right w:val="none" w:sz="0" w:space="0" w:color="auto"/>
                          </w:divBdr>
                        </w:div>
                        <w:div w:id="1267694324">
                          <w:marLeft w:val="0"/>
                          <w:marRight w:val="0"/>
                          <w:marTop w:val="0"/>
                          <w:marBottom w:val="0"/>
                          <w:divBdr>
                            <w:top w:val="none" w:sz="0" w:space="0" w:color="auto"/>
                            <w:left w:val="none" w:sz="0" w:space="0" w:color="auto"/>
                            <w:bottom w:val="none" w:sz="0" w:space="0" w:color="auto"/>
                            <w:right w:val="none" w:sz="0" w:space="0" w:color="auto"/>
                          </w:divBdr>
                        </w:div>
                        <w:div w:id="192233770">
                          <w:marLeft w:val="0"/>
                          <w:marRight w:val="0"/>
                          <w:marTop w:val="0"/>
                          <w:marBottom w:val="0"/>
                          <w:divBdr>
                            <w:top w:val="none" w:sz="0" w:space="0" w:color="auto"/>
                            <w:left w:val="none" w:sz="0" w:space="0" w:color="auto"/>
                            <w:bottom w:val="none" w:sz="0" w:space="0" w:color="auto"/>
                            <w:right w:val="none" w:sz="0" w:space="0" w:color="auto"/>
                          </w:divBdr>
                        </w:div>
                        <w:div w:id="25763393">
                          <w:marLeft w:val="0"/>
                          <w:marRight w:val="0"/>
                          <w:marTop w:val="0"/>
                          <w:marBottom w:val="0"/>
                          <w:divBdr>
                            <w:top w:val="none" w:sz="0" w:space="0" w:color="auto"/>
                            <w:left w:val="none" w:sz="0" w:space="0" w:color="auto"/>
                            <w:bottom w:val="none" w:sz="0" w:space="0" w:color="auto"/>
                            <w:right w:val="none" w:sz="0" w:space="0" w:color="auto"/>
                          </w:divBdr>
                        </w:div>
                        <w:div w:id="1039746019">
                          <w:marLeft w:val="0"/>
                          <w:marRight w:val="0"/>
                          <w:marTop w:val="0"/>
                          <w:marBottom w:val="0"/>
                          <w:divBdr>
                            <w:top w:val="none" w:sz="0" w:space="0" w:color="auto"/>
                            <w:left w:val="none" w:sz="0" w:space="0" w:color="auto"/>
                            <w:bottom w:val="none" w:sz="0" w:space="0" w:color="auto"/>
                            <w:right w:val="none" w:sz="0" w:space="0" w:color="auto"/>
                          </w:divBdr>
                        </w:div>
                        <w:div w:id="1839078543">
                          <w:marLeft w:val="0"/>
                          <w:marRight w:val="0"/>
                          <w:marTop w:val="0"/>
                          <w:marBottom w:val="0"/>
                          <w:divBdr>
                            <w:top w:val="none" w:sz="0" w:space="0" w:color="auto"/>
                            <w:left w:val="none" w:sz="0" w:space="0" w:color="auto"/>
                            <w:bottom w:val="none" w:sz="0" w:space="0" w:color="auto"/>
                            <w:right w:val="none" w:sz="0" w:space="0" w:color="auto"/>
                          </w:divBdr>
                        </w:div>
                        <w:div w:id="902564010">
                          <w:marLeft w:val="0"/>
                          <w:marRight w:val="0"/>
                          <w:marTop w:val="0"/>
                          <w:marBottom w:val="0"/>
                          <w:divBdr>
                            <w:top w:val="none" w:sz="0" w:space="0" w:color="auto"/>
                            <w:left w:val="none" w:sz="0" w:space="0" w:color="auto"/>
                            <w:bottom w:val="none" w:sz="0" w:space="0" w:color="auto"/>
                            <w:right w:val="none" w:sz="0" w:space="0" w:color="auto"/>
                          </w:divBdr>
                        </w:div>
                      </w:divsChild>
                    </w:div>
                    <w:div w:id="82847213">
                      <w:marLeft w:val="0"/>
                      <w:marRight w:val="0"/>
                      <w:marTop w:val="0"/>
                      <w:marBottom w:val="0"/>
                      <w:divBdr>
                        <w:top w:val="none" w:sz="0" w:space="0" w:color="auto"/>
                        <w:left w:val="none" w:sz="0" w:space="0" w:color="auto"/>
                        <w:bottom w:val="none" w:sz="0" w:space="0" w:color="auto"/>
                        <w:right w:val="none" w:sz="0" w:space="0" w:color="auto"/>
                      </w:divBdr>
                      <w:divsChild>
                        <w:div w:id="572785843">
                          <w:marLeft w:val="0"/>
                          <w:marRight w:val="0"/>
                          <w:marTop w:val="0"/>
                          <w:marBottom w:val="0"/>
                          <w:divBdr>
                            <w:top w:val="none" w:sz="0" w:space="0" w:color="auto"/>
                            <w:left w:val="none" w:sz="0" w:space="0" w:color="auto"/>
                            <w:bottom w:val="none" w:sz="0" w:space="0" w:color="auto"/>
                            <w:right w:val="none" w:sz="0" w:space="0" w:color="auto"/>
                          </w:divBdr>
                        </w:div>
                      </w:divsChild>
                    </w:div>
                    <w:div w:id="1111439307">
                      <w:marLeft w:val="0"/>
                      <w:marRight w:val="0"/>
                      <w:marTop w:val="0"/>
                      <w:marBottom w:val="0"/>
                      <w:divBdr>
                        <w:top w:val="none" w:sz="0" w:space="0" w:color="auto"/>
                        <w:left w:val="none" w:sz="0" w:space="0" w:color="auto"/>
                        <w:bottom w:val="none" w:sz="0" w:space="0" w:color="auto"/>
                        <w:right w:val="none" w:sz="0" w:space="0" w:color="auto"/>
                      </w:divBdr>
                      <w:divsChild>
                        <w:div w:id="105782315">
                          <w:marLeft w:val="0"/>
                          <w:marRight w:val="0"/>
                          <w:marTop w:val="0"/>
                          <w:marBottom w:val="0"/>
                          <w:divBdr>
                            <w:top w:val="none" w:sz="0" w:space="0" w:color="auto"/>
                            <w:left w:val="none" w:sz="0" w:space="0" w:color="auto"/>
                            <w:bottom w:val="none" w:sz="0" w:space="0" w:color="auto"/>
                            <w:right w:val="none" w:sz="0" w:space="0" w:color="auto"/>
                          </w:divBdr>
                        </w:div>
                        <w:div w:id="826089905">
                          <w:marLeft w:val="0"/>
                          <w:marRight w:val="0"/>
                          <w:marTop w:val="0"/>
                          <w:marBottom w:val="0"/>
                          <w:divBdr>
                            <w:top w:val="none" w:sz="0" w:space="0" w:color="auto"/>
                            <w:left w:val="none" w:sz="0" w:space="0" w:color="auto"/>
                            <w:bottom w:val="none" w:sz="0" w:space="0" w:color="auto"/>
                            <w:right w:val="none" w:sz="0" w:space="0" w:color="auto"/>
                          </w:divBdr>
                        </w:div>
                        <w:div w:id="647900709">
                          <w:marLeft w:val="0"/>
                          <w:marRight w:val="0"/>
                          <w:marTop w:val="0"/>
                          <w:marBottom w:val="0"/>
                          <w:divBdr>
                            <w:top w:val="none" w:sz="0" w:space="0" w:color="auto"/>
                            <w:left w:val="none" w:sz="0" w:space="0" w:color="auto"/>
                            <w:bottom w:val="none" w:sz="0" w:space="0" w:color="auto"/>
                            <w:right w:val="none" w:sz="0" w:space="0" w:color="auto"/>
                          </w:divBdr>
                        </w:div>
                        <w:div w:id="1610116185">
                          <w:marLeft w:val="0"/>
                          <w:marRight w:val="0"/>
                          <w:marTop w:val="0"/>
                          <w:marBottom w:val="0"/>
                          <w:divBdr>
                            <w:top w:val="none" w:sz="0" w:space="0" w:color="auto"/>
                            <w:left w:val="none" w:sz="0" w:space="0" w:color="auto"/>
                            <w:bottom w:val="none" w:sz="0" w:space="0" w:color="auto"/>
                            <w:right w:val="none" w:sz="0" w:space="0" w:color="auto"/>
                          </w:divBdr>
                        </w:div>
                        <w:div w:id="985470772">
                          <w:marLeft w:val="0"/>
                          <w:marRight w:val="0"/>
                          <w:marTop w:val="0"/>
                          <w:marBottom w:val="0"/>
                          <w:divBdr>
                            <w:top w:val="none" w:sz="0" w:space="0" w:color="auto"/>
                            <w:left w:val="none" w:sz="0" w:space="0" w:color="auto"/>
                            <w:bottom w:val="none" w:sz="0" w:space="0" w:color="auto"/>
                            <w:right w:val="none" w:sz="0" w:space="0" w:color="auto"/>
                          </w:divBdr>
                        </w:div>
                        <w:div w:id="850295189">
                          <w:marLeft w:val="0"/>
                          <w:marRight w:val="0"/>
                          <w:marTop w:val="0"/>
                          <w:marBottom w:val="0"/>
                          <w:divBdr>
                            <w:top w:val="none" w:sz="0" w:space="0" w:color="auto"/>
                            <w:left w:val="none" w:sz="0" w:space="0" w:color="auto"/>
                            <w:bottom w:val="none" w:sz="0" w:space="0" w:color="auto"/>
                            <w:right w:val="none" w:sz="0" w:space="0" w:color="auto"/>
                          </w:divBdr>
                        </w:div>
                        <w:div w:id="1743524349">
                          <w:marLeft w:val="0"/>
                          <w:marRight w:val="0"/>
                          <w:marTop w:val="0"/>
                          <w:marBottom w:val="0"/>
                          <w:divBdr>
                            <w:top w:val="none" w:sz="0" w:space="0" w:color="auto"/>
                            <w:left w:val="none" w:sz="0" w:space="0" w:color="auto"/>
                            <w:bottom w:val="none" w:sz="0" w:space="0" w:color="auto"/>
                            <w:right w:val="none" w:sz="0" w:space="0" w:color="auto"/>
                          </w:divBdr>
                        </w:div>
                        <w:div w:id="295187838">
                          <w:marLeft w:val="0"/>
                          <w:marRight w:val="0"/>
                          <w:marTop w:val="0"/>
                          <w:marBottom w:val="0"/>
                          <w:divBdr>
                            <w:top w:val="none" w:sz="0" w:space="0" w:color="auto"/>
                            <w:left w:val="none" w:sz="0" w:space="0" w:color="auto"/>
                            <w:bottom w:val="none" w:sz="0" w:space="0" w:color="auto"/>
                            <w:right w:val="none" w:sz="0" w:space="0" w:color="auto"/>
                          </w:divBdr>
                        </w:div>
                      </w:divsChild>
                    </w:div>
                    <w:div w:id="472872428">
                      <w:marLeft w:val="0"/>
                      <w:marRight w:val="0"/>
                      <w:marTop w:val="0"/>
                      <w:marBottom w:val="0"/>
                      <w:divBdr>
                        <w:top w:val="none" w:sz="0" w:space="0" w:color="auto"/>
                        <w:left w:val="none" w:sz="0" w:space="0" w:color="auto"/>
                        <w:bottom w:val="none" w:sz="0" w:space="0" w:color="auto"/>
                        <w:right w:val="none" w:sz="0" w:space="0" w:color="auto"/>
                      </w:divBdr>
                      <w:divsChild>
                        <w:div w:id="2124881025">
                          <w:marLeft w:val="0"/>
                          <w:marRight w:val="0"/>
                          <w:marTop w:val="0"/>
                          <w:marBottom w:val="0"/>
                          <w:divBdr>
                            <w:top w:val="none" w:sz="0" w:space="0" w:color="auto"/>
                            <w:left w:val="none" w:sz="0" w:space="0" w:color="auto"/>
                            <w:bottom w:val="none" w:sz="0" w:space="0" w:color="auto"/>
                            <w:right w:val="none" w:sz="0" w:space="0" w:color="auto"/>
                          </w:divBdr>
                        </w:div>
                        <w:div w:id="332687297">
                          <w:marLeft w:val="0"/>
                          <w:marRight w:val="0"/>
                          <w:marTop w:val="0"/>
                          <w:marBottom w:val="0"/>
                          <w:divBdr>
                            <w:top w:val="none" w:sz="0" w:space="0" w:color="auto"/>
                            <w:left w:val="none" w:sz="0" w:space="0" w:color="auto"/>
                            <w:bottom w:val="none" w:sz="0" w:space="0" w:color="auto"/>
                            <w:right w:val="none" w:sz="0" w:space="0" w:color="auto"/>
                          </w:divBdr>
                        </w:div>
                        <w:div w:id="219946760">
                          <w:marLeft w:val="0"/>
                          <w:marRight w:val="0"/>
                          <w:marTop w:val="0"/>
                          <w:marBottom w:val="0"/>
                          <w:divBdr>
                            <w:top w:val="none" w:sz="0" w:space="0" w:color="auto"/>
                            <w:left w:val="none" w:sz="0" w:space="0" w:color="auto"/>
                            <w:bottom w:val="none" w:sz="0" w:space="0" w:color="auto"/>
                            <w:right w:val="none" w:sz="0" w:space="0" w:color="auto"/>
                          </w:divBdr>
                        </w:div>
                        <w:div w:id="2094274752">
                          <w:marLeft w:val="0"/>
                          <w:marRight w:val="0"/>
                          <w:marTop w:val="0"/>
                          <w:marBottom w:val="0"/>
                          <w:divBdr>
                            <w:top w:val="none" w:sz="0" w:space="0" w:color="auto"/>
                            <w:left w:val="none" w:sz="0" w:space="0" w:color="auto"/>
                            <w:bottom w:val="none" w:sz="0" w:space="0" w:color="auto"/>
                            <w:right w:val="none" w:sz="0" w:space="0" w:color="auto"/>
                          </w:divBdr>
                        </w:div>
                        <w:div w:id="26031335">
                          <w:marLeft w:val="0"/>
                          <w:marRight w:val="0"/>
                          <w:marTop w:val="0"/>
                          <w:marBottom w:val="0"/>
                          <w:divBdr>
                            <w:top w:val="none" w:sz="0" w:space="0" w:color="auto"/>
                            <w:left w:val="none" w:sz="0" w:space="0" w:color="auto"/>
                            <w:bottom w:val="none" w:sz="0" w:space="0" w:color="auto"/>
                            <w:right w:val="none" w:sz="0" w:space="0" w:color="auto"/>
                          </w:divBdr>
                        </w:div>
                      </w:divsChild>
                    </w:div>
                    <w:div w:id="2007592933">
                      <w:marLeft w:val="0"/>
                      <w:marRight w:val="0"/>
                      <w:marTop w:val="0"/>
                      <w:marBottom w:val="0"/>
                      <w:divBdr>
                        <w:top w:val="none" w:sz="0" w:space="0" w:color="auto"/>
                        <w:left w:val="none" w:sz="0" w:space="0" w:color="auto"/>
                        <w:bottom w:val="none" w:sz="0" w:space="0" w:color="auto"/>
                        <w:right w:val="none" w:sz="0" w:space="0" w:color="auto"/>
                      </w:divBdr>
                      <w:divsChild>
                        <w:div w:id="440995464">
                          <w:marLeft w:val="0"/>
                          <w:marRight w:val="0"/>
                          <w:marTop w:val="0"/>
                          <w:marBottom w:val="0"/>
                          <w:divBdr>
                            <w:top w:val="none" w:sz="0" w:space="0" w:color="auto"/>
                            <w:left w:val="none" w:sz="0" w:space="0" w:color="auto"/>
                            <w:bottom w:val="none" w:sz="0" w:space="0" w:color="auto"/>
                            <w:right w:val="none" w:sz="0" w:space="0" w:color="auto"/>
                          </w:divBdr>
                        </w:div>
                        <w:div w:id="1978533077">
                          <w:marLeft w:val="0"/>
                          <w:marRight w:val="0"/>
                          <w:marTop w:val="0"/>
                          <w:marBottom w:val="0"/>
                          <w:divBdr>
                            <w:top w:val="none" w:sz="0" w:space="0" w:color="auto"/>
                            <w:left w:val="none" w:sz="0" w:space="0" w:color="auto"/>
                            <w:bottom w:val="none" w:sz="0" w:space="0" w:color="auto"/>
                            <w:right w:val="none" w:sz="0" w:space="0" w:color="auto"/>
                          </w:divBdr>
                        </w:div>
                        <w:div w:id="1653632046">
                          <w:marLeft w:val="0"/>
                          <w:marRight w:val="0"/>
                          <w:marTop w:val="0"/>
                          <w:marBottom w:val="0"/>
                          <w:divBdr>
                            <w:top w:val="none" w:sz="0" w:space="0" w:color="auto"/>
                            <w:left w:val="none" w:sz="0" w:space="0" w:color="auto"/>
                            <w:bottom w:val="none" w:sz="0" w:space="0" w:color="auto"/>
                            <w:right w:val="none" w:sz="0" w:space="0" w:color="auto"/>
                          </w:divBdr>
                        </w:div>
                        <w:div w:id="1084843744">
                          <w:marLeft w:val="0"/>
                          <w:marRight w:val="0"/>
                          <w:marTop w:val="0"/>
                          <w:marBottom w:val="0"/>
                          <w:divBdr>
                            <w:top w:val="none" w:sz="0" w:space="0" w:color="auto"/>
                            <w:left w:val="none" w:sz="0" w:space="0" w:color="auto"/>
                            <w:bottom w:val="none" w:sz="0" w:space="0" w:color="auto"/>
                            <w:right w:val="none" w:sz="0" w:space="0" w:color="auto"/>
                          </w:divBdr>
                        </w:div>
                        <w:div w:id="1415321391">
                          <w:marLeft w:val="0"/>
                          <w:marRight w:val="0"/>
                          <w:marTop w:val="0"/>
                          <w:marBottom w:val="0"/>
                          <w:divBdr>
                            <w:top w:val="none" w:sz="0" w:space="0" w:color="auto"/>
                            <w:left w:val="none" w:sz="0" w:space="0" w:color="auto"/>
                            <w:bottom w:val="none" w:sz="0" w:space="0" w:color="auto"/>
                            <w:right w:val="none" w:sz="0" w:space="0" w:color="auto"/>
                          </w:divBdr>
                        </w:div>
                      </w:divsChild>
                    </w:div>
                    <w:div w:id="1292401472">
                      <w:marLeft w:val="0"/>
                      <w:marRight w:val="0"/>
                      <w:marTop w:val="0"/>
                      <w:marBottom w:val="0"/>
                      <w:divBdr>
                        <w:top w:val="none" w:sz="0" w:space="0" w:color="auto"/>
                        <w:left w:val="none" w:sz="0" w:space="0" w:color="auto"/>
                        <w:bottom w:val="none" w:sz="0" w:space="0" w:color="auto"/>
                        <w:right w:val="none" w:sz="0" w:space="0" w:color="auto"/>
                      </w:divBdr>
                      <w:divsChild>
                        <w:div w:id="1321546642">
                          <w:marLeft w:val="0"/>
                          <w:marRight w:val="0"/>
                          <w:marTop w:val="0"/>
                          <w:marBottom w:val="0"/>
                          <w:divBdr>
                            <w:top w:val="none" w:sz="0" w:space="0" w:color="auto"/>
                            <w:left w:val="none" w:sz="0" w:space="0" w:color="auto"/>
                            <w:bottom w:val="none" w:sz="0" w:space="0" w:color="auto"/>
                            <w:right w:val="none" w:sz="0" w:space="0" w:color="auto"/>
                          </w:divBdr>
                        </w:div>
                        <w:div w:id="1902935233">
                          <w:marLeft w:val="0"/>
                          <w:marRight w:val="0"/>
                          <w:marTop w:val="0"/>
                          <w:marBottom w:val="0"/>
                          <w:divBdr>
                            <w:top w:val="none" w:sz="0" w:space="0" w:color="auto"/>
                            <w:left w:val="none" w:sz="0" w:space="0" w:color="auto"/>
                            <w:bottom w:val="none" w:sz="0" w:space="0" w:color="auto"/>
                            <w:right w:val="none" w:sz="0" w:space="0" w:color="auto"/>
                          </w:divBdr>
                        </w:div>
                        <w:div w:id="1027952012">
                          <w:marLeft w:val="0"/>
                          <w:marRight w:val="0"/>
                          <w:marTop w:val="0"/>
                          <w:marBottom w:val="0"/>
                          <w:divBdr>
                            <w:top w:val="none" w:sz="0" w:space="0" w:color="auto"/>
                            <w:left w:val="none" w:sz="0" w:space="0" w:color="auto"/>
                            <w:bottom w:val="none" w:sz="0" w:space="0" w:color="auto"/>
                            <w:right w:val="none" w:sz="0" w:space="0" w:color="auto"/>
                          </w:divBdr>
                        </w:div>
                        <w:div w:id="599221007">
                          <w:marLeft w:val="0"/>
                          <w:marRight w:val="0"/>
                          <w:marTop w:val="0"/>
                          <w:marBottom w:val="0"/>
                          <w:divBdr>
                            <w:top w:val="none" w:sz="0" w:space="0" w:color="auto"/>
                            <w:left w:val="none" w:sz="0" w:space="0" w:color="auto"/>
                            <w:bottom w:val="none" w:sz="0" w:space="0" w:color="auto"/>
                            <w:right w:val="none" w:sz="0" w:space="0" w:color="auto"/>
                          </w:divBdr>
                        </w:div>
                        <w:div w:id="1572228334">
                          <w:marLeft w:val="0"/>
                          <w:marRight w:val="0"/>
                          <w:marTop w:val="0"/>
                          <w:marBottom w:val="0"/>
                          <w:divBdr>
                            <w:top w:val="none" w:sz="0" w:space="0" w:color="auto"/>
                            <w:left w:val="none" w:sz="0" w:space="0" w:color="auto"/>
                            <w:bottom w:val="none" w:sz="0" w:space="0" w:color="auto"/>
                            <w:right w:val="none" w:sz="0" w:space="0" w:color="auto"/>
                          </w:divBdr>
                        </w:div>
                        <w:div w:id="1853110070">
                          <w:marLeft w:val="0"/>
                          <w:marRight w:val="0"/>
                          <w:marTop w:val="0"/>
                          <w:marBottom w:val="0"/>
                          <w:divBdr>
                            <w:top w:val="none" w:sz="0" w:space="0" w:color="auto"/>
                            <w:left w:val="none" w:sz="0" w:space="0" w:color="auto"/>
                            <w:bottom w:val="none" w:sz="0" w:space="0" w:color="auto"/>
                            <w:right w:val="none" w:sz="0" w:space="0" w:color="auto"/>
                          </w:divBdr>
                        </w:div>
                        <w:div w:id="1388188902">
                          <w:marLeft w:val="0"/>
                          <w:marRight w:val="0"/>
                          <w:marTop w:val="0"/>
                          <w:marBottom w:val="0"/>
                          <w:divBdr>
                            <w:top w:val="none" w:sz="0" w:space="0" w:color="auto"/>
                            <w:left w:val="none" w:sz="0" w:space="0" w:color="auto"/>
                            <w:bottom w:val="none" w:sz="0" w:space="0" w:color="auto"/>
                            <w:right w:val="none" w:sz="0" w:space="0" w:color="auto"/>
                          </w:divBdr>
                        </w:div>
                        <w:div w:id="1300304207">
                          <w:marLeft w:val="0"/>
                          <w:marRight w:val="0"/>
                          <w:marTop w:val="0"/>
                          <w:marBottom w:val="0"/>
                          <w:divBdr>
                            <w:top w:val="none" w:sz="0" w:space="0" w:color="auto"/>
                            <w:left w:val="none" w:sz="0" w:space="0" w:color="auto"/>
                            <w:bottom w:val="none" w:sz="0" w:space="0" w:color="auto"/>
                            <w:right w:val="none" w:sz="0" w:space="0" w:color="auto"/>
                          </w:divBdr>
                        </w:div>
                        <w:div w:id="428738830">
                          <w:marLeft w:val="0"/>
                          <w:marRight w:val="0"/>
                          <w:marTop w:val="0"/>
                          <w:marBottom w:val="0"/>
                          <w:divBdr>
                            <w:top w:val="none" w:sz="0" w:space="0" w:color="auto"/>
                            <w:left w:val="none" w:sz="0" w:space="0" w:color="auto"/>
                            <w:bottom w:val="none" w:sz="0" w:space="0" w:color="auto"/>
                            <w:right w:val="none" w:sz="0" w:space="0" w:color="auto"/>
                          </w:divBdr>
                        </w:div>
                        <w:div w:id="1809005111">
                          <w:marLeft w:val="0"/>
                          <w:marRight w:val="0"/>
                          <w:marTop w:val="0"/>
                          <w:marBottom w:val="0"/>
                          <w:divBdr>
                            <w:top w:val="none" w:sz="0" w:space="0" w:color="auto"/>
                            <w:left w:val="none" w:sz="0" w:space="0" w:color="auto"/>
                            <w:bottom w:val="none" w:sz="0" w:space="0" w:color="auto"/>
                            <w:right w:val="none" w:sz="0" w:space="0" w:color="auto"/>
                          </w:divBdr>
                        </w:div>
                        <w:div w:id="1986856143">
                          <w:marLeft w:val="0"/>
                          <w:marRight w:val="0"/>
                          <w:marTop w:val="0"/>
                          <w:marBottom w:val="0"/>
                          <w:divBdr>
                            <w:top w:val="none" w:sz="0" w:space="0" w:color="auto"/>
                            <w:left w:val="none" w:sz="0" w:space="0" w:color="auto"/>
                            <w:bottom w:val="none" w:sz="0" w:space="0" w:color="auto"/>
                            <w:right w:val="none" w:sz="0" w:space="0" w:color="auto"/>
                          </w:divBdr>
                        </w:div>
                        <w:div w:id="306133145">
                          <w:marLeft w:val="0"/>
                          <w:marRight w:val="0"/>
                          <w:marTop w:val="0"/>
                          <w:marBottom w:val="0"/>
                          <w:divBdr>
                            <w:top w:val="none" w:sz="0" w:space="0" w:color="auto"/>
                            <w:left w:val="none" w:sz="0" w:space="0" w:color="auto"/>
                            <w:bottom w:val="none" w:sz="0" w:space="0" w:color="auto"/>
                            <w:right w:val="none" w:sz="0" w:space="0" w:color="auto"/>
                          </w:divBdr>
                        </w:div>
                      </w:divsChild>
                    </w:div>
                    <w:div w:id="1137725368">
                      <w:marLeft w:val="0"/>
                      <w:marRight w:val="0"/>
                      <w:marTop w:val="0"/>
                      <w:marBottom w:val="0"/>
                      <w:divBdr>
                        <w:top w:val="none" w:sz="0" w:space="0" w:color="auto"/>
                        <w:left w:val="none" w:sz="0" w:space="0" w:color="auto"/>
                        <w:bottom w:val="none" w:sz="0" w:space="0" w:color="auto"/>
                        <w:right w:val="none" w:sz="0" w:space="0" w:color="auto"/>
                      </w:divBdr>
                      <w:divsChild>
                        <w:div w:id="1667586786">
                          <w:marLeft w:val="0"/>
                          <w:marRight w:val="0"/>
                          <w:marTop w:val="0"/>
                          <w:marBottom w:val="0"/>
                          <w:divBdr>
                            <w:top w:val="none" w:sz="0" w:space="0" w:color="auto"/>
                            <w:left w:val="none" w:sz="0" w:space="0" w:color="auto"/>
                            <w:bottom w:val="none" w:sz="0" w:space="0" w:color="auto"/>
                            <w:right w:val="none" w:sz="0" w:space="0" w:color="auto"/>
                          </w:divBdr>
                        </w:div>
                        <w:div w:id="1859931883">
                          <w:marLeft w:val="0"/>
                          <w:marRight w:val="0"/>
                          <w:marTop w:val="0"/>
                          <w:marBottom w:val="0"/>
                          <w:divBdr>
                            <w:top w:val="none" w:sz="0" w:space="0" w:color="auto"/>
                            <w:left w:val="none" w:sz="0" w:space="0" w:color="auto"/>
                            <w:bottom w:val="none" w:sz="0" w:space="0" w:color="auto"/>
                            <w:right w:val="none" w:sz="0" w:space="0" w:color="auto"/>
                          </w:divBdr>
                        </w:div>
                        <w:div w:id="648168424">
                          <w:marLeft w:val="0"/>
                          <w:marRight w:val="0"/>
                          <w:marTop w:val="0"/>
                          <w:marBottom w:val="0"/>
                          <w:divBdr>
                            <w:top w:val="none" w:sz="0" w:space="0" w:color="auto"/>
                            <w:left w:val="none" w:sz="0" w:space="0" w:color="auto"/>
                            <w:bottom w:val="none" w:sz="0" w:space="0" w:color="auto"/>
                            <w:right w:val="none" w:sz="0" w:space="0" w:color="auto"/>
                          </w:divBdr>
                        </w:div>
                        <w:div w:id="1052269499">
                          <w:marLeft w:val="0"/>
                          <w:marRight w:val="0"/>
                          <w:marTop w:val="0"/>
                          <w:marBottom w:val="0"/>
                          <w:divBdr>
                            <w:top w:val="none" w:sz="0" w:space="0" w:color="auto"/>
                            <w:left w:val="none" w:sz="0" w:space="0" w:color="auto"/>
                            <w:bottom w:val="none" w:sz="0" w:space="0" w:color="auto"/>
                            <w:right w:val="none" w:sz="0" w:space="0" w:color="auto"/>
                          </w:divBdr>
                        </w:div>
                        <w:div w:id="714081729">
                          <w:marLeft w:val="0"/>
                          <w:marRight w:val="0"/>
                          <w:marTop w:val="0"/>
                          <w:marBottom w:val="0"/>
                          <w:divBdr>
                            <w:top w:val="none" w:sz="0" w:space="0" w:color="auto"/>
                            <w:left w:val="none" w:sz="0" w:space="0" w:color="auto"/>
                            <w:bottom w:val="none" w:sz="0" w:space="0" w:color="auto"/>
                            <w:right w:val="none" w:sz="0" w:space="0" w:color="auto"/>
                          </w:divBdr>
                        </w:div>
                        <w:div w:id="1833905544">
                          <w:marLeft w:val="0"/>
                          <w:marRight w:val="0"/>
                          <w:marTop w:val="0"/>
                          <w:marBottom w:val="0"/>
                          <w:divBdr>
                            <w:top w:val="none" w:sz="0" w:space="0" w:color="auto"/>
                            <w:left w:val="none" w:sz="0" w:space="0" w:color="auto"/>
                            <w:bottom w:val="none" w:sz="0" w:space="0" w:color="auto"/>
                            <w:right w:val="none" w:sz="0" w:space="0" w:color="auto"/>
                          </w:divBdr>
                        </w:div>
                        <w:div w:id="1545823351">
                          <w:marLeft w:val="0"/>
                          <w:marRight w:val="0"/>
                          <w:marTop w:val="0"/>
                          <w:marBottom w:val="0"/>
                          <w:divBdr>
                            <w:top w:val="none" w:sz="0" w:space="0" w:color="auto"/>
                            <w:left w:val="none" w:sz="0" w:space="0" w:color="auto"/>
                            <w:bottom w:val="none" w:sz="0" w:space="0" w:color="auto"/>
                            <w:right w:val="none" w:sz="0" w:space="0" w:color="auto"/>
                          </w:divBdr>
                        </w:div>
                        <w:div w:id="1164662048">
                          <w:marLeft w:val="0"/>
                          <w:marRight w:val="0"/>
                          <w:marTop w:val="0"/>
                          <w:marBottom w:val="0"/>
                          <w:divBdr>
                            <w:top w:val="none" w:sz="0" w:space="0" w:color="auto"/>
                            <w:left w:val="none" w:sz="0" w:space="0" w:color="auto"/>
                            <w:bottom w:val="none" w:sz="0" w:space="0" w:color="auto"/>
                            <w:right w:val="none" w:sz="0" w:space="0" w:color="auto"/>
                          </w:divBdr>
                        </w:div>
                      </w:divsChild>
                    </w:div>
                    <w:div w:id="4286675">
                      <w:marLeft w:val="0"/>
                      <w:marRight w:val="0"/>
                      <w:marTop w:val="0"/>
                      <w:marBottom w:val="0"/>
                      <w:divBdr>
                        <w:top w:val="none" w:sz="0" w:space="0" w:color="auto"/>
                        <w:left w:val="none" w:sz="0" w:space="0" w:color="auto"/>
                        <w:bottom w:val="none" w:sz="0" w:space="0" w:color="auto"/>
                        <w:right w:val="none" w:sz="0" w:space="0" w:color="auto"/>
                      </w:divBdr>
                      <w:divsChild>
                        <w:div w:id="1701471716">
                          <w:marLeft w:val="0"/>
                          <w:marRight w:val="0"/>
                          <w:marTop w:val="0"/>
                          <w:marBottom w:val="0"/>
                          <w:divBdr>
                            <w:top w:val="none" w:sz="0" w:space="0" w:color="auto"/>
                            <w:left w:val="none" w:sz="0" w:space="0" w:color="auto"/>
                            <w:bottom w:val="none" w:sz="0" w:space="0" w:color="auto"/>
                            <w:right w:val="none" w:sz="0" w:space="0" w:color="auto"/>
                          </w:divBdr>
                        </w:div>
                        <w:div w:id="263196784">
                          <w:marLeft w:val="0"/>
                          <w:marRight w:val="0"/>
                          <w:marTop w:val="0"/>
                          <w:marBottom w:val="0"/>
                          <w:divBdr>
                            <w:top w:val="none" w:sz="0" w:space="0" w:color="auto"/>
                            <w:left w:val="none" w:sz="0" w:space="0" w:color="auto"/>
                            <w:bottom w:val="none" w:sz="0" w:space="0" w:color="auto"/>
                            <w:right w:val="none" w:sz="0" w:space="0" w:color="auto"/>
                          </w:divBdr>
                        </w:div>
                        <w:div w:id="2019234654">
                          <w:marLeft w:val="0"/>
                          <w:marRight w:val="0"/>
                          <w:marTop w:val="0"/>
                          <w:marBottom w:val="0"/>
                          <w:divBdr>
                            <w:top w:val="none" w:sz="0" w:space="0" w:color="auto"/>
                            <w:left w:val="none" w:sz="0" w:space="0" w:color="auto"/>
                            <w:bottom w:val="none" w:sz="0" w:space="0" w:color="auto"/>
                            <w:right w:val="none" w:sz="0" w:space="0" w:color="auto"/>
                          </w:divBdr>
                        </w:div>
                        <w:div w:id="105347760">
                          <w:marLeft w:val="0"/>
                          <w:marRight w:val="0"/>
                          <w:marTop w:val="0"/>
                          <w:marBottom w:val="0"/>
                          <w:divBdr>
                            <w:top w:val="none" w:sz="0" w:space="0" w:color="auto"/>
                            <w:left w:val="none" w:sz="0" w:space="0" w:color="auto"/>
                            <w:bottom w:val="none" w:sz="0" w:space="0" w:color="auto"/>
                            <w:right w:val="none" w:sz="0" w:space="0" w:color="auto"/>
                          </w:divBdr>
                        </w:div>
                        <w:div w:id="1521045068">
                          <w:marLeft w:val="0"/>
                          <w:marRight w:val="0"/>
                          <w:marTop w:val="0"/>
                          <w:marBottom w:val="0"/>
                          <w:divBdr>
                            <w:top w:val="none" w:sz="0" w:space="0" w:color="auto"/>
                            <w:left w:val="none" w:sz="0" w:space="0" w:color="auto"/>
                            <w:bottom w:val="none" w:sz="0" w:space="0" w:color="auto"/>
                            <w:right w:val="none" w:sz="0" w:space="0" w:color="auto"/>
                          </w:divBdr>
                        </w:div>
                        <w:div w:id="1302344314">
                          <w:marLeft w:val="0"/>
                          <w:marRight w:val="0"/>
                          <w:marTop w:val="0"/>
                          <w:marBottom w:val="0"/>
                          <w:divBdr>
                            <w:top w:val="none" w:sz="0" w:space="0" w:color="auto"/>
                            <w:left w:val="none" w:sz="0" w:space="0" w:color="auto"/>
                            <w:bottom w:val="none" w:sz="0" w:space="0" w:color="auto"/>
                            <w:right w:val="none" w:sz="0" w:space="0" w:color="auto"/>
                          </w:divBdr>
                        </w:div>
                        <w:div w:id="142088172">
                          <w:marLeft w:val="0"/>
                          <w:marRight w:val="0"/>
                          <w:marTop w:val="0"/>
                          <w:marBottom w:val="0"/>
                          <w:divBdr>
                            <w:top w:val="none" w:sz="0" w:space="0" w:color="auto"/>
                            <w:left w:val="none" w:sz="0" w:space="0" w:color="auto"/>
                            <w:bottom w:val="none" w:sz="0" w:space="0" w:color="auto"/>
                            <w:right w:val="none" w:sz="0" w:space="0" w:color="auto"/>
                          </w:divBdr>
                        </w:div>
                        <w:div w:id="1228497233">
                          <w:marLeft w:val="0"/>
                          <w:marRight w:val="0"/>
                          <w:marTop w:val="0"/>
                          <w:marBottom w:val="0"/>
                          <w:divBdr>
                            <w:top w:val="none" w:sz="0" w:space="0" w:color="auto"/>
                            <w:left w:val="none" w:sz="0" w:space="0" w:color="auto"/>
                            <w:bottom w:val="none" w:sz="0" w:space="0" w:color="auto"/>
                            <w:right w:val="none" w:sz="0" w:space="0" w:color="auto"/>
                          </w:divBdr>
                        </w:div>
                      </w:divsChild>
                    </w:div>
                    <w:div w:id="1926107568">
                      <w:marLeft w:val="0"/>
                      <w:marRight w:val="0"/>
                      <w:marTop w:val="0"/>
                      <w:marBottom w:val="0"/>
                      <w:divBdr>
                        <w:top w:val="none" w:sz="0" w:space="0" w:color="auto"/>
                        <w:left w:val="none" w:sz="0" w:space="0" w:color="auto"/>
                        <w:bottom w:val="none" w:sz="0" w:space="0" w:color="auto"/>
                        <w:right w:val="none" w:sz="0" w:space="0" w:color="auto"/>
                      </w:divBdr>
                      <w:divsChild>
                        <w:div w:id="426583646">
                          <w:marLeft w:val="0"/>
                          <w:marRight w:val="0"/>
                          <w:marTop w:val="0"/>
                          <w:marBottom w:val="0"/>
                          <w:divBdr>
                            <w:top w:val="none" w:sz="0" w:space="0" w:color="auto"/>
                            <w:left w:val="none" w:sz="0" w:space="0" w:color="auto"/>
                            <w:bottom w:val="none" w:sz="0" w:space="0" w:color="auto"/>
                            <w:right w:val="none" w:sz="0" w:space="0" w:color="auto"/>
                          </w:divBdr>
                        </w:div>
                        <w:div w:id="1878161766">
                          <w:marLeft w:val="0"/>
                          <w:marRight w:val="0"/>
                          <w:marTop w:val="0"/>
                          <w:marBottom w:val="0"/>
                          <w:divBdr>
                            <w:top w:val="none" w:sz="0" w:space="0" w:color="auto"/>
                            <w:left w:val="none" w:sz="0" w:space="0" w:color="auto"/>
                            <w:bottom w:val="none" w:sz="0" w:space="0" w:color="auto"/>
                            <w:right w:val="none" w:sz="0" w:space="0" w:color="auto"/>
                          </w:divBdr>
                        </w:div>
                        <w:div w:id="1839617056">
                          <w:marLeft w:val="0"/>
                          <w:marRight w:val="0"/>
                          <w:marTop w:val="0"/>
                          <w:marBottom w:val="0"/>
                          <w:divBdr>
                            <w:top w:val="none" w:sz="0" w:space="0" w:color="auto"/>
                            <w:left w:val="none" w:sz="0" w:space="0" w:color="auto"/>
                            <w:bottom w:val="none" w:sz="0" w:space="0" w:color="auto"/>
                            <w:right w:val="none" w:sz="0" w:space="0" w:color="auto"/>
                          </w:divBdr>
                        </w:div>
                        <w:div w:id="2101633277">
                          <w:marLeft w:val="0"/>
                          <w:marRight w:val="0"/>
                          <w:marTop w:val="0"/>
                          <w:marBottom w:val="0"/>
                          <w:divBdr>
                            <w:top w:val="none" w:sz="0" w:space="0" w:color="auto"/>
                            <w:left w:val="none" w:sz="0" w:space="0" w:color="auto"/>
                            <w:bottom w:val="none" w:sz="0" w:space="0" w:color="auto"/>
                            <w:right w:val="none" w:sz="0" w:space="0" w:color="auto"/>
                          </w:divBdr>
                        </w:div>
                      </w:divsChild>
                    </w:div>
                    <w:div w:id="594703179">
                      <w:marLeft w:val="0"/>
                      <w:marRight w:val="0"/>
                      <w:marTop w:val="0"/>
                      <w:marBottom w:val="0"/>
                      <w:divBdr>
                        <w:top w:val="none" w:sz="0" w:space="0" w:color="auto"/>
                        <w:left w:val="none" w:sz="0" w:space="0" w:color="auto"/>
                        <w:bottom w:val="none" w:sz="0" w:space="0" w:color="auto"/>
                        <w:right w:val="none" w:sz="0" w:space="0" w:color="auto"/>
                      </w:divBdr>
                      <w:divsChild>
                        <w:div w:id="751202838">
                          <w:marLeft w:val="0"/>
                          <w:marRight w:val="0"/>
                          <w:marTop w:val="0"/>
                          <w:marBottom w:val="0"/>
                          <w:divBdr>
                            <w:top w:val="none" w:sz="0" w:space="0" w:color="auto"/>
                            <w:left w:val="none" w:sz="0" w:space="0" w:color="auto"/>
                            <w:bottom w:val="none" w:sz="0" w:space="0" w:color="auto"/>
                            <w:right w:val="none" w:sz="0" w:space="0" w:color="auto"/>
                          </w:divBdr>
                        </w:div>
                      </w:divsChild>
                    </w:div>
                    <w:div w:id="1469740612">
                      <w:marLeft w:val="0"/>
                      <w:marRight w:val="0"/>
                      <w:marTop w:val="0"/>
                      <w:marBottom w:val="0"/>
                      <w:divBdr>
                        <w:top w:val="none" w:sz="0" w:space="0" w:color="auto"/>
                        <w:left w:val="none" w:sz="0" w:space="0" w:color="auto"/>
                        <w:bottom w:val="none" w:sz="0" w:space="0" w:color="auto"/>
                        <w:right w:val="none" w:sz="0" w:space="0" w:color="auto"/>
                      </w:divBdr>
                      <w:divsChild>
                        <w:div w:id="767191590">
                          <w:marLeft w:val="0"/>
                          <w:marRight w:val="0"/>
                          <w:marTop w:val="0"/>
                          <w:marBottom w:val="0"/>
                          <w:divBdr>
                            <w:top w:val="none" w:sz="0" w:space="0" w:color="auto"/>
                            <w:left w:val="none" w:sz="0" w:space="0" w:color="auto"/>
                            <w:bottom w:val="none" w:sz="0" w:space="0" w:color="auto"/>
                            <w:right w:val="none" w:sz="0" w:space="0" w:color="auto"/>
                          </w:divBdr>
                        </w:div>
                        <w:div w:id="1979608965">
                          <w:marLeft w:val="0"/>
                          <w:marRight w:val="0"/>
                          <w:marTop w:val="0"/>
                          <w:marBottom w:val="0"/>
                          <w:divBdr>
                            <w:top w:val="none" w:sz="0" w:space="0" w:color="auto"/>
                            <w:left w:val="none" w:sz="0" w:space="0" w:color="auto"/>
                            <w:bottom w:val="none" w:sz="0" w:space="0" w:color="auto"/>
                            <w:right w:val="none" w:sz="0" w:space="0" w:color="auto"/>
                          </w:divBdr>
                        </w:div>
                        <w:div w:id="2092198831">
                          <w:marLeft w:val="0"/>
                          <w:marRight w:val="0"/>
                          <w:marTop w:val="0"/>
                          <w:marBottom w:val="0"/>
                          <w:divBdr>
                            <w:top w:val="none" w:sz="0" w:space="0" w:color="auto"/>
                            <w:left w:val="none" w:sz="0" w:space="0" w:color="auto"/>
                            <w:bottom w:val="none" w:sz="0" w:space="0" w:color="auto"/>
                            <w:right w:val="none" w:sz="0" w:space="0" w:color="auto"/>
                          </w:divBdr>
                        </w:div>
                        <w:div w:id="2279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2325">
              <w:marLeft w:val="0"/>
              <w:marRight w:val="0"/>
              <w:marTop w:val="0"/>
              <w:marBottom w:val="0"/>
              <w:divBdr>
                <w:top w:val="none" w:sz="0" w:space="0" w:color="auto"/>
                <w:left w:val="none" w:sz="0" w:space="0" w:color="auto"/>
                <w:bottom w:val="none" w:sz="0" w:space="0" w:color="auto"/>
                <w:right w:val="none" w:sz="0" w:space="0" w:color="auto"/>
              </w:divBdr>
              <w:divsChild>
                <w:div w:id="502860088">
                  <w:marLeft w:val="0"/>
                  <w:marRight w:val="0"/>
                  <w:marTop w:val="0"/>
                  <w:marBottom w:val="0"/>
                  <w:divBdr>
                    <w:top w:val="none" w:sz="0" w:space="0" w:color="auto"/>
                    <w:left w:val="none" w:sz="0" w:space="0" w:color="auto"/>
                    <w:bottom w:val="none" w:sz="0" w:space="0" w:color="auto"/>
                    <w:right w:val="none" w:sz="0" w:space="0" w:color="auto"/>
                  </w:divBdr>
                </w:div>
                <w:div w:id="483277773">
                  <w:marLeft w:val="0"/>
                  <w:marRight w:val="0"/>
                  <w:marTop w:val="0"/>
                  <w:marBottom w:val="0"/>
                  <w:divBdr>
                    <w:top w:val="none" w:sz="0" w:space="0" w:color="auto"/>
                    <w:left w:val="none" w:sz="0" w:space="0" w:color="auto"/>
                    <w:bottom w:val="none" w:sz="0" w:space="0" w:color="auto"/>
                    <w:right w:val="none" w:sz="0" w:space="0" w:color="auto"/>
                  </w:divBdr>
                  <w:divsChild>
                    <w:div w:id="929583370">
                      <w:marLeft w:val="0"/>
                      <w:marRight w:val="0"/>
                      <w:marTop w:val="0"/>
                      <w:marBottom w:val="0"/>
                      <w:divBdr>
                        <w:top w:val="none" w:sz="0" w:space="0" w:color="auto"/>
                        <w:left w:val="none" w:sz="0" w:space="0" w:color="auto"/>
                        <w:bottom w:val="none" w:sz="0" w:space="0" w:color="auto"/>
                        <w:right w:val="none" w:sz="0" w:space="0" w:color="auto"/>
                      </w:divBdr>
                    </w:div>
                    <w:div w:id="449588841">
                      <w:marLeft w:val="0"/>
                      <w:marRight w:val="0"/>
                      <w:marTop w:val="0"/>
                      <w:marBottom w:val="0"/>
                      <w:divBdr>
                        <w:top w:val="none" w:sz="0" w:space="0" w:color="auto"/>
                        <w:left w:val="none" w:sz="0" w:space="0" w:color="auto"/>
                        <w:bottom w:val="none" w:sz="0" w:space="0" w:color="auto"/>
                        <w:right w:val="none" w:sz="0" w:space="0" w:color="auto"/>
                      </w:divBdr>
                    </w:div>
                    <w:div w:id="225652510">
                      <w:marLeft w:val="0"/>
                      <w:marRight w:val="0"/>
                      <w:marTop w:val="0"/>
                      <w:marBottom w:val="0"/>
                      <w:divBdr>
                        <w:top w:val="none" w:sz="0" w:space="0" w:color="auto"/>
                        <w:left w:val="none" w:sz="0" w:space="0" w:color="auto"/>
                        <w:bottom w:val="none" w:sz="0" w:space="0" w:color="auto"/>
                        <w:right w:val="none" w:sz="0" w:space="0" w:color="auto"/>
                      </w:divBdr>
                    </w:div>
                    <w:div w:id="1867985601">
                      <w:marLeft w:val="0"/>
                      <w:marRight w:val="0"/>
                      <w:marTop w:val="0"/>
                      <w:marBottom w:val="0"/>
                      <w:divBdr>
                        <w:top w:val="none" w:sz="0" w:space="0" w:color="auto"/>
                        <w:left w:val="none" w:sz="0" w:space="0" w:color="auto"/>
                        <w:bottom w:val="none" w:sz="0" w:space="0" w:color="auto"/>
                        <w:right w:val="none" w:sz="0" w:space="0" w:color="auto"/>
                      </w:divBdr>
                    </w:div>
                  </w:divsChild>
                </w:div>
                <w:div w:id="1835800145">
                  <w:marLeft w:val="0"/>
                  <w:marRight w:val="0"/>
                  <w:marTop w:val="0"/>
                  <w:marBottom w:val="0"/>
                  <w:divBdr>
                    <w:top w:val="none" w:sz="0" w:space="0" w:color="auto"/>
                    <w:left w:val="none" w:sz="0" w:space="0" w:color="auto"/>
                    <w:bottom w:val="none" w:sz="0" w:space="0" w:color="auto"/>
                    <w:right w:val="none" w:sz="0" w:space="0" w:color="auto"/>
                  </w:divBdr>
                  <w:divsChild>
                    <w:div w:id="1125389067">
                      <w:marLeft w:val="0"/>
                      <w:marRight w:val="0"/>
                      <w:marTop w:val="0"/>
                      <w:marBottom w:val="0"/>
                      <w:divBdr>
                        <w:top w:val="none" w:sz="0" w:space="0" w:color="auto"/>
                        <w:left w:val="none" w:sz="0" w:space="0" w:color="auto"/>
                        <w:bottom w:val="none" w:sz="0" w:space="0" w:color="auto"/>
                        <w:right w:val="none" w:sz="0" w:space="0" w:color="auto"/>
                      </w:divBdr>
                    </w:div>
                    <w:div w:id="2102791814">
                      <w:marLeft w:val="0"/>
                      <w:marRight w:val="0"/>
                      <w:marTop w:val="0"/>
                      <w:marBottom w:val="0"/>
                      <w:divBdr>
                        <w:top w:val="none" w:sz="0" w:space="0" w:color="auto"/>
                        <w:left w:val="none" w:sz="0" w:space="0" w:color="auto"/>
                        <w:bottom w:val="none" w:sz="0" w:space="0" w:color="auto"/>
                        <w:right w:val="none" w:sz="0" w:space="0" w:color="auto"/>
                      </w:divBdr>
                    </w:div>
                    <w:div w:id="910504492">
                      <w:marLeft w:val="0"/>
                      <w:marRight w:val="0"/>
                      <w:marTop w:val="0"/>
                      <w:marBottom w:val="0"/>
                      <w:divBdr>
                        <w:top w:val="none" w:sz="0" w:space="0" w:color="auto"/>
                        <w:left w:val="none" w:sz="0" w:space="0" w:color="auto"/>
                        <w:bottom w:val="none" w:sz="0" w:space="0" w:color="auto"/>
                        <w:right w:val="none" w:sz="0" w:space="0" w:color="auto"/>
                      </w:divBdr>
                    </w:div>
                    <w:div w:id="1402287934">
                      <w:marLeft w:val="0"/>
                      <w:marRight w:val="0"/>
                      <w:marTop w:val="0"/>
                      <w:marBottom w:val="0"/>
                      <w:divBdr>
                        <w:top w:val="none" w:sz="0" w:space="0" w:color="auto"/>
                        <w:left w:val="none" w:sz="0" w:space="0" w:color="auto"/>
                        <w:bottom w:val="none" w:sz="0" w:space="0" w:color="auto"/>
                        <w:right w:val="none" w:sz="0" w:space="0" w:color="auto"/>
                      </w:divBdr>
                    </w:div>
                    <w:div w:id="1371029401">
                      <w:marLeft w:val="0"/>
                      <w:marRight w:val="0"/>
                      <w:marTop w:val="0"/>
                      <w:marBottom w:val="0"/>
                      <w:divBdr>
                        <w:top w:val="none" w:sz="0" w:space="0" w:color="auto"/>
                        <w:left w:val="none" w:sz="0" w:space="0" w:color="auto"/>
                        <w:bottom w:val="none" w:sz="0" w:space="0" w:color="auto"/>
                        <w:right w:val="none" w:sz="0" w:space="0" w:color="auto"/>
                      </w:divBdr>
                    </w:div>
                  </w:divsChild>
                </w:div>
                <w:div w:id="1407921371">
                  <w:marLeft w:val="0"/>
                  <w:marRight w:val="0"/>
                  <w:marTop w:val="0"/>
                  <w:marBottom w:val="0"/>
                  <w:divBdr>
                    <w:top w:val="none" w:sz="0" w:space="0" w:color="auto"/>
                    <w:left w:val="none" w:sz="0" w:space="0" w:color="auto"/>
                    <w:bottom w:val="none" w:sz="0" w:space="0" w:color="auto"/>
                    <w:right w:val="none" w:sz="0" w:space="0" w:color="auto"/>
                  </w:divBdr>
                  <w:divsChild>
                    <w:div w:id="812599866">
                      <w:marLeft w:val="0"/>
                      <w:marRight w:val="0"/>
                      <w:marTop w:val="0"/>
                      <w:marBottom w:val="0"/>
                      <w:divBdr>
                        <w:top w:val="none" w:sz="0" w:space="0" w:color="auto"/>
                        <w:left w:val="none" w:sz="0" w:space="0" w:color="auto"/>
                        <w:bottom w:val="none" w:sz="0" w:space="0" w:color="auto"/>
                        <w:right w:val="none" w:sz="0" w:space="0" w:color="auto"/>
                      </w:divBdr>
                    </w:div>
                    <w:div w:id="811361584">
                      <w:marLeft w:val="0"/>
                      <w:marRight w:val="0"/>
                      <w:marTop w:val="0"/>
                      <w:marBottom w:val="0"/>
                      <w:divBdr>
                        <w:top w:val="none" w:sz="0" w:space="0" w:color="auto"/>
                        <w:left w:val="none" w:sz="0" w:space="0" w:color="auto"/>
                        <w:bottom w:val="none" w:sz="0" w:space="0" w:color="auto"/>
                        <w:right w:val="none" w:sz="0" w:space="0" w:color="auto"/>
                      </w:divBdr>
                    </w:div>
                    <w:div w:id="32197726">
                      <w:marLeft w:val="0"/>
                      <w:marRight w:val="0"/>
                      <w:marTop w:val="0"/>
                      <w:marBottom w:val="0"/>
                      <w:divBdr>
                        <w:top w:val="none" w:sz="0" w:space="0" w:color="auto"/>
                        <w:left w:val="none" w:sz="0" w:space="0" w:color="auto"/>
                        <w:bottom w:val="none" w:sz="0" w:space="0" w:color="auto"/>
                        <w:right w:val="none" w:sz="0" w:space="0" w:color="auto"/>
                      </w:divBdr>
                    </w:div>
                    <w:div w:id="1315648940">
                      <w:marLeft w:val="0"/>
                      <w:marRight w:val="0"/>
                      <w:marTop w:val="0"/>
                      <w:marBottom w:val="0"/>
                      <w:divBdr>
                        <w:top w:val="none" w:sz="0" w:space="0" w:color="auto"/>
                        <w:left w:val="none" w:sz="0" w:space="0" w:color="auto"/>
                        <w:bottom w:val="none" w:sz="0" w:space="0" w:color="auto"/>
                        <w:right w:val="none" w:sz="0" w:space="0" w:color="auto"/>
                      </w:divBdr>
                    </w:div>
                    <w:div w:id="1190292958">
                      <w:marLeft w:val="0"/>
                      <w:marRight w:val="0"/>
                      <w:marTop w:val="0"/>
                      <w:marBottom w:val="0"/>
                      <w:divBdr>
                        <w:top w:val="none" w:sz="0" w:space="0" w:color="auto"/>
                        <w:left w:val="none" w:sz="0" w:space="0" w:color="auto"/>
                        <w:bottom w:val="none" w:sz="0" w:space="0" w:color="auto"/>
                        <w:right w:val="none" w:sz="0" w:space="0" w:color="auto"/>
                      </w:divBdr>
                    </w:div>
                    <w:div w:id="136849235">
                      <w:marLeft w:val="0"/>
                      <w:marRight w:val="0"/>
                      <w:marTop w:val="0"/>
                      <w:marBottom w:val="0"/>
                      <w:divBdr>
                        <w:top w:val="none" w:sz="0" w:space="0" w:color="auto"/>
                        <w:left w:val="none" w:sz="0" w:space="0" w:color="auto"/>
                        <w:bottom w:val="none" w:sz="0" w:space="0" w:color="auto"/>
                        <w:right w:val="none" w:sz="0" w:space="0" w:color="auto"/>
                      </w:divBdr>
                    </w:div>
                    <w:div w:id="878513590">
                      <w:marLeft w:val="0"/>
                      <w:marRight w:val="0"/>
                      <w:marTop w:val="0"/>
                      <w:marBottom w:val="0"/>
                      <w:divBdr>
                        <w:top w:val="none" w:sz="0" w:space="0" w:color="auto"/>
                        <w:left w:val="none" w:sz="0" w:space="0" w:color="auto"/>
                        <w:bottom w:val="none" w:sz="0" w:space="0" w:color="auto"/>
                        <w:right w:val="none" w:sz="0" w:space="0" w:color="auto"/>
                      </w:divBdr>
                    </w:div>
                    <w:div w:id="424770095">
                      <w:marLeft w:val="0"/>
                      <w:marRight w:val="0"/>
                      <w:marTop w:val="0"/>
                      <w:marBottom w:val="0"/>
                      <w:divBdr>
                        <w:top w:val="none" w:sz="0" w:space="0" w:color="auto"/>
                        <w:left w:val="none" w:sz="0" w:space="0" w:color="auto"/>
                        <w:bottom w:val="none" w:sz="0" w:space="0" w:color="auto"/>
                        <w:right w:val="none" w:sz="0" w:space="0" w:color="auto"/>
                      </w:divBdr>
                    </w:div>
                    <w:div w:id="439568214">
                      <w:marLeft w:val="0"/>
                      <w:marRight w:val="0"/>
                      <w:marTop w:val="0"/>
                      <w:marBottom w:val="0"/>
                      <w:divBdr>
                        <w:top w:val="none" w:sz="0" w:space="0" w:color="auto"/>
                        <w:left w:val="none" w:sz="0" w:space="0" w:color="auto"/>
                        <w:bottom w:val="none" w:sz="0" w:space="0" w:color="auto"/>
                        <w:right w:val="none" w:sz="0" w:space="0" w:color="auto"/>
                      </w:divBdr>
                    </w:div>
                  </w:divsChild>
                </w:div>
                <w:div w:id="80490185">
                  <w:marLeft w:val="0"/>
                  <w:marRight w:val="0"/>
                  <w:marTop w:val="0"/>
                  <w:marBottom w:val="0"/>
                  <w:divBdr>
                    <w:top w:val="none" w:sz="0" w:space="0" w:color="auto"/>
                    <w:left w:val="none" w:sz="0" w:space="0" w:color="auto"/>
                    <w:bottom w:val="none" w:sz="0" w:space="0" w:color="auto"/>
                    <w:right w:val="none" w:sz="0" w:space="0" w:color="auto"/>
                  </w:divBdr>
                  <w:divsChild>
                    <w:div w:id="1894349590">
                      <w:marLeft w:val="0"/>
                      <w:marRight w:val="0"/>
                      <w:marTop w:val="0"/>
                      <w:marBottom w:val="0"/>
                      <w:divBdr>
                        <w:top w:val="none" w:sz="0" w:space="0" w:color="auto"/>
                        <w:left w:val="none" w:sz="0" w:space="0" w:color="auto"/>
                        <w:bottom w:val="none" w:sz="0" w:space="0" w:color="auto"/>
                        <w:right w:val="none" w:sz="0" w:space="0" w:color="auto"/>
                      </w:divBdr>
                    </w:div>
                  </w:divsChild>
                </w:div>
                <w:div w:id="1688211214">
                  <w:marLeft w:val="0"/>
                  <w:marRight w:val="0"/>
                  <w:marTop w:val="0"/>
                  <w:marBottom w:val="0"/>
                  <w:divBdr>
                    <w:top w:val="none" w:sz="0" w:space="0" w:color="auto"/>
                    <w:left w:val="none" w:sz="0" w:space="0" w:color="auto"/>
                    <w:bottom w:val="none" w:sz="0" w:space="0" w:color="auto"/>
                    <w:right w:val="none" w:sz="0" w:space="0" w:color="auto"/>
                  </w:divBdr>
                  <w:divsChild>
                    <w:div w:id="1944847503">
                      <w:marLeft w:val="0"/>
                      <w:marRight w:val="0"/>
                      <w:marTop w:val="0"/>
                      <w:marBottom w:val="0"/>
                      <w:divBdr>
                        <w:top w:val="none" w:sz="0" w:space="0" w:color="auto"/>
                        <w:left w:val="none" w:sz="0" w:space="0" w:color="auto"/>
                        <w:bottom w:val="none" w:sz="0" w:space="0" w:color="auto"/>
                        <w:right w:val="none" w:sz="0" w:space="0" w:color="auto"/>
                      </w:divBdr>
                    </w:div>
                    <w:div w:id="1735004722">
                      <w:marLeft w:val="0"/>
                      <w:marRight w:val="0"/>
                      <w:marTop w:val="0"/>
                      <w:marBottom w:val="0"/>
                      <w:divBdr>
                        <w:top w:val="none" w:sz="0" w:space="0" w:color="auto"/>
                        <w:left w:val="none" w:sz="0" w:space="0" w:color="auto"/>
                        <w:bottom w:val="none" w:sz="0" w:space="0" w:color="auto"/>
                        <w:right w:val="none" w:sz="0" w:space="0" w:color="auto"/>
                      </w:divBdr>
                    </w:div>
                    <w:div w:id="1591499202">
                      <w:marLeft w:val="0"/>
                      <w:marRight w:val="0"/>
                      <w:marTop w:val="0"/>
                      <w:marBottom w:val="0"/>
                      <w:divBdr>
                        <w:top w:val="none" w:sz="0" w:space="0" w:color="auto"/>
                        <w:left w:val="none" w:sz="0" w:space="0" w:color="auto"/>
                        <w:bottom w:val="none" w:sz="0" w:space="0" w:color="auto"/>
                        <w:right w:val="none" w:sz="0" w:space="0" w:color="auto"/>
                      </w:divBdr>
                    </w:div>
                    <w:div w:id="412899523">
                      <w:marLeft w:val="0"/>
                      <w:marRight w:val="0"/>
                      <w:marTop w:val="0"/>
                      <w:marBottom w:val="0"/>
                      <w:divBdr>
                        <w:top w:val="none" w:sz="0" w:space="0" w:color="auto"/>
                        <w:left w:val="none" w:sz="0" w:space="0" w:color="auto"/>
                        <w:bottom w:val="none" w:sz="0" w:space="0" w:color="auto"/>
                        <w:right w:val="none" w:sz="0" w:space="0" w:color="auto"/>
                      </w:divBdr>
                    </w:div>
                  </w:divsChild>
                </w:div>
                <w:div w:id="1118718341">
                  <w:marLeft w:val="0"/>
                  <w:marRight w:val="0"/>
                  <w:marTop w:val="0"/>
                  <w:marBottom w:val="0"/>
                  <w:divBdr>
                    <w:top w:val="none" w:sz="0" w:space="0" w:color="auto"/>
                    <w:left w:val="none" w:sz="0" w:space="0" w:color="auto"/>
                    <w:bottom w:val="none" w:sz="0" w:space="0" w:color="auto"/>
                    <w:right w:val="none" w:sz="0" w:space="0" w:color="auto"/>
                  </w:divBdr>
                  <w:divsChild>
                    <w:div w:id="274561275">
                      <w:marLeft w:val="0"/>
                      <w:marRight w:val="0"/>
                      <w:marTop w:val="0"/>
                      <w:marBottom w:val="0"/>
                      <w:divBdr>
                        <w:top w:val="none" w:sz="0" w:space="0" w:color="auto"/>
                        <w:left w:val="none" w:sz="0" w:space="0" w:color="auto"/>
                        <w:bottom w:val="none" w:sz="0" w:space="0" w:color="auto"/>
                        <w:right w:val="none" w:sz="0" w:space="0" w:color="auto"/>
                      </w:divBdr>
                    </w:div>
                    <w:div w:id="1384251910">
                      <w:marLeft w:val="0"/>
                      <w:marRight w:val="0"/>
                      <w:marTop w:val="0"/>
                      <w:marBottom w:val="0"/>
                      <w:divBdr>
                        <w:top w:val="none" w:sz="0" w:space="0" w:color="auto"/>
                        <w:left w:val="none" w:sz="0" w:space="0" w:color="auto"/>
                        <w:bottom w:val="none" w:sz="0" w:space="0" w:color="auto"/>
                        <w:right w:val="none" w:sz="0" w:space="0" w:color="auto"/>
                      </w:divBdr>
                    </w:div>
                    <w:div w:id="714161578">
                      <w:marLeft w:val="0"/>
                      <w:marRight w:val="0"/>
                      <w:marTop w:val="0"/>
                      <w:marBottom w:val="0"/>
                      <w:divBdr>
                        <w:top w:val="none" w:sz="0" w:space="0" w:color="auto"/>
                        <w:left w:val="none" w:sz="0" w:space="0" w:color="auto"/>
                        <w:bottom w:val="none" w:sz="0" w:space="0" w:color="auto"/>
                        <w:right w:val="none" w:sz="0" w:space="0" w:color="auto"/>
                      </w:divBdr>
                    </w:div>
                  </w:divsChild>
                </w:div>
                <w:div w:id="1229534323">
                  <w:marLeft w:val="0"/>
                  <w:marRight w:val="0"/>
                  <w:marTop w:val="0"/>
                  <w:marBottom w:val="0"/>
                  <w:divBdr>
                    <w:top w:val="none" w:sz="0" w:space="0" w:color="auto"/>
                    <w:left w:val="none" w:sz="0" w:space="0" w:color="auto"/>
                    <w:bottom w:val="none" w:sz="0" w:space="0" w:color="auto"/>
                    <w:right w:val="none" w:sz="0" w:space="0" w:color="auto"/>
                  </w:divBdr>
                  <w:divsChild>
                    <w:div w:id="4343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7786">
              <w:marLeft w:val="0"/>
              <w:marRight w:val="0"/>
              <w:marTop w:val="0"/>
              <w:marBottom w:val="0"/>
              <w:divBdr>
                <w:top w:val="none" w:sz="0" w:space="0" w:color="auto"/>
                <w:left w:val="none" w:sz="0" w:space="0" w:color="auto"/>
                <w:bottom w:val="none" w:sz="0" w:space="0" w:color="auto"/>
                <w:right w:val="none" w:sz="0" w:space="0" w:color="auto"/>
              </w:divBdr>
              <w:divsChild>
                <w:div w:id="771128458">
                  <w:marLeft w:val="0"/>
                  <w:marRight w:val="0"/>
                  <w:marTop w:val="0"/>
                  <w:marBottom w:val="0"/>
                  <w:divBdr>
                    <w:top w:val="none" w:sz="0" w:space="0" w:color="auto"/>
                    <w:left w:val="none" w:sz="0" w:space="0" w:color="auto"/>
                    <w:bottom w:val="none" w:sz="0" w:space="0" w:color="auto"/>
                    <w:right w:val="none" w:sz="0" w:space="0" w:color="auto"/>
                  </w:divBdr>
                </w:div>
                <w:div w:id="1254627238">
                  <w:marLeft w:val="0"/>
                  <w:marRight w:val="0"/>
                  <w:marTop w:val="0"/>
                  <w:marBottom w:val="0"/>
                  <w:divBdr>
                    <w:top w:val="none" w:sz="0" w:space="0" w:color="auto"/>
                    <w:left w:val="none" w:sz="0" w:space="0" w:color="auto"/>
                    <w:bottom w:val="none" w:sz="0" w:space="0" w:color="auto"/>
                    <w:right w:val="none" w:sz="0" w:space="0" w:color="auto"/>
                  </w:divBdr>
                  <w:divsChild>
                    <w:div w:id="1779911241">
                      <w:marLeft w:val="0"/>
                      <w:marRight w:val="0"/>
                      <w:marTop w:val="0"/>
                      <w:marBottom w:val="0"/>
                      <w:divBdr>
                        <w:top w:val="none" w:sz="0" w:space="0" w:color="auto"/>
                        <w:left w:val="none" w:sz="0" w:space="0" w:color="auto"/>
                        <w:bottom w:val="none" w:sz="0" w:space="0" w:color="auto"/>
                        <w:right w:val="none" w:sz="0" w:space="0" w:color="auto"/>
                      </w:divBdr>
                    </w:div>
                    <w:div w:id="1636982400">
                      <w:marLeft w:val="0"/>
                      <w:marRight w:val="0"/>
                      <w:marTop w:val="0"/>
                      <w:marBottom w:val="0"/>
                      <w:divBdr>
                        <w:top w:val="none" w:sz="0" w:space="0" w:color="auto"/>
                        <w:left w:val="none" w:sz="0" w:space="0" w:color="auto"/>
                        <w:bottom w:val="none" w:sz="0" w:space="0" w:color="auto"/>
                        <w:right w:val="none" w:sz="0" w:space="0" w:color="auto"/>
                      </w:divBdr>
                    </w:div>
                    <w:div w:id="85924930">
                      <w:marLeft w:val="0"/>
                      <w:marRight w:val="0"/>
                      <w:marTop w:val="0"/>
                      <w:marBottom w:val="0"/>
                      <w:divBdr>
                        <w:top w:val="none" w:sz="0" w:space="0" w:color="auto"/>
                        <w:left w:val="none" w:sz="0" w:space="0" w:color="auto"/>
                        <w:bottom w:val="none" w:sz="0" w:space="0" w:color="auto"/>
                        <w:right w:val="none" w:sz="0" w:space="0" w:color="auto"/>
                      </w:divBdr>
                    </w:div>
                    <w:div w:id="270941394">
                      <w:marLeft w:val="0"/>
                      <w:marRight w:val="0"/>
                      <w:marTop w:val="0"/>
                      <w:marBottom w:val="0"/>
                      <w:divBdr>
                        <w:top w:val="none" w:sz="0" w:space="0" w:color="auto"/>
                        <w:left w:val="none" w:sz="0" w:space="0" w:color="auto"/>
                        <w:bottom w:val="none" w:sz="0" w:space="0" w:color="auto"/>
                        <w:right w:val="none" w:sz="0" w:space="0" w:color="auto"/>
                      </w:divBdr>
                    </w:div>
                    <w:div w:id="1357198233">
                      <w:marLeft w:val="0"/>
                      <w:marRight w:val="0"/>
                      <w:marTop w:val="0"/>
                      <w:marBottom w:val="0"/>
                      <w:divBdr>
                        <w:top w:val="none" w:sz="0" w:space="0" w:color="auto"/>
                        <w:left w:val="none" w:sz="0" w:space="0" w:color="auto"/>
                        <w:bottom w:val="none" w:sz="0" w:space="0" w:color="auto"/>
                        <w:right w:val="none" w:sz="0" w:space="0" w:color="auto"/>
                      </w:divBdr>
                    </w:div>
                    <w:div w:id="2073843748">
                      <w:marLeft w:val="0"/>
                      <w:marRight w:val="0"/>
                      <w:marTop w:val="0"/>
                      <w:marBottom w:val="0"/>
                      <w:divBdr>
                        <w:top w:val="none" w:sz="0" w:space="0" w:color="auto"/>
                        <w:left w:val="none" w:sz="0" w:space="0" w:color="auto"/>
                        <w:bottom w:val="none" w:sz="0" w:space="0" w:color="auto"/>
                        <w:right w:val="none" w:sz="0" w:space="0" w:color="auto"/>
                      </w:divBdr>
                    </w:div>
                    <w:div w:id="123081751">
                      <w:marLeft w:val="0"/>
                      <w:marRight w:val="0"/>
                      <w:marTop w:val="0"/>
                      <w:marBottom w:val="0"/>
                      <w:divBdr>
                        <w:top w:val="none" w:sz="0" w:space="0" w:color="auto"/>
                        <w:left w:val="none" w:sz="0" w:space="0" w:color="auto"/>
                        <w:bottom w:val="none" w:sz="0" w:space="0" w:color="auto"/>
                        <w:right w:val="none" w:sz="0" w:space="0" w:color="auto"/>
                      </w:divBdr>
                    </w:div>
                  </w:divsChild>
                </w:div>
                <w:div w:id="349962660">
                  <w:marLeft w:val="0"/>
                  <w:marRight w:val="0"/>
                  <w:marTop w:val="0"/>
                  <w:marBottom w:val="0"/>
                  <w:divBdr>
                    <w:top w:val="none" w:sz="0" w:space="0" w:color="auto"/>
                    <w:left w:val="none" w:sz="0" w:space="0" w:color="auto"/>
                    <w:bottom w:val="none" w:sz="0" w:space="0" w:color="auto"/>
                    <w:right w:val="none" w:sz="0" w:space="0" w:color="auto"/>
                  </w:divBdr>
                  <w:divsChild>
                    <w:div w:id="1528450280">
                      <w:marLeft w:val="0"/>
                      <w:marRight w:val="0"/>
                      <w:marTop w:val="0"/>
                      <w:marBottom w:val="0"/>
                      <w:divBdr>
                        <w:top w:val="none" w:sz="0" w:space="0" w:color="auto"/>
                        <w:left w:val="none" w:sz="0" w:space="0" w:color="auto"/>
                        <w:bottom w:val="none" w:sz="0" w:space="0" w:color="auto"/>
                        <w:right w:val="none" w:sz="0" w:space="0" w:color="auto"/>
                      </w:divBdr>
                    </w:div>
                    <w:div w:id="92634409">
                      <w:marLeft w:val="0"/>
                      <w:marRight w:val="0"/>
                      <w:marTop w:val="0"/>
                      <w:marBottom w:val="0"/>
                      <w:divBdr>
                        <w:top w:val="none" w:sz="0" w:space="0" w:color="auto"/>
                        <w:left w:val="none" w:sz="0" w:space="0" w:color="auto"/>
                        <w:bottom w:val="none" w:sz="0" w:space="0" w:color="auto"/>
                        <w:right w:val="none" w:sz="0" w:space="0" w:color="auto"/>
                      </w:divBdr>
                    </w:div>
                    <w:div w:id="1267158608">
                      <w:marLeft w:val="0"/>
                      <w:marRight w:val="0"/>
                      <w:marTop w:val="0"/>
                      <w:marBottom w:val="0"/>
                      <w:divBdr>
                        <w:top w:val="none" w:sz="0" w:space="0" w:color="auto"/>
                        <w:left w:val="none" w:sz="0" w:space="0" w:color="auto"/>
                        <w:bottom w:val="none" w:sz="0" w:space="0" w:color="auto"/>
                        <w:right w:val="none" w:sz="0" w:space="0" w:color="auto"/>
                      </w:divBdr>
                    </w:div>
                    <w:div w:id="1720126802">
                      <w:marLeft w:val="0"/>
                      <w:marRight w:val="0"/>
                      <w:marTop w:val="0"/>
                      <w:marBottom w:val="0"/>
                      <w:divBdr>
                        <w:top w:val="none" w:sz="0" w:space="0" w:color="auto"/>
                        <w:left w:val="none" w:sz="0" w:space="0" w:color="auto"/>
                        <w:bottom w:val="none" w:sz="0" w:space="0" w:color="auto"/>
                        <w:right w:val="none" w:sz="0" w:space="0" w:color="auto"/>
                      </w:divBdr>
                    </w:div>
                  </w:divsChild>
                </w:div>
                <w:div w:id="401175818">
                  <w:marLeft w:val="0"/>
                  <w:marRight w:val="0"/>
                  <w:marTop w:val="0"/>
                  <w:marBottom w:val="0"/>
                  <w:divBdr>
                    <w:top w:val="none" w:sz="0" w:space="0" w:color="auto"/>
                    <w:left w:val="none" w:sz="0" w:space="0" w:color="auto"/>
                    <w:bottom w:val="none" w:sz="0" w:space="0" w:color="auto"/>
                    <w:right w:val="none" w:sz="0" w:space="0" w:color="auto"/>
                  </w:divBdr>
                  <w:divsChild>
                    <w:div w:id="2105372051">
                      <w:marLeft w:val="0"/>
                      <w:marRight w:val="0"/>
                      <w:marTop w:val="0"/>
                      <w:marBottom w:val="0"/>
                      <w:divBdr>
                        <w:top w:val="none" w:sz="0" w:space="0" w:color="auto"/>
                        <w:left w:val="none" w:sz="0" w:space="0" w:color="auto"/>
                        <w:bottom w:val="none" w:sz="0" w:space="0" w:color="auto"/>
                        <w:right w:val="none" w:sz="0" w:space="0" w:color="auto"/>
                      </w:divBdr>
                    </w:div>
                    <w:div w:id="1168784341">
                      <w:marLeft w:val="0"/>
                      <w:marRight w:val="0"/>
                      <w:marTop w:val="0"/>
                      <w:marBottom w:val="0"/>
                      <w:divBdr>
                        <w:top w:val="none" w:sz="0" w:space="0" w:color="auto"/>
                        <w:left w:val="none" w:sz="0" w:space="0" w:color="auto"/>
                        <w:bottom w:val="none" w:sz="0" w:space="0" w:color="auto"/>
                        <w:right w:val="none" w:sz="0" w:space="0" w:color="auto"/>
                      </w:divBdr>
                    </w:div>
                    <w:div w:id="1886791419">
                      <w:marLeft w:val="0"/>
                      <w:marRight w:val="0"/>
                      <w:marTop w:val="0"/>
                      <w:marBottom w:val="0"/>
                      <w:divBdr>
                        <w:top w:val="none" w:sz="0" w:space="0" w:color="auto"/>
                        <w:left w:val="none" w:sz="0" w:space="0" w:color="auto"/>
                        <w:bottom w:val="none" w:sz="0" w:space="0" w:color="auto"/>
                        <w:right w:val="none" w:sz="0" w:space="0" w:color="auto"/>
                      </w:divBdr>
                    </w:div>
                    <w:div w:id="218172595">
                      <w:marLeft w:val="0"/>
                      <w:marRight w:val="0"/>
                      <w:marTop w:val="0"/>
                      <w:marBottom w:val="0"/>
                      <w:divBdr>
                        <w:top w:val="none" w:sz="0" w:space="0" w:color="auto"/>
                        <w:left w:val="none" w:sz="0" w:space="0" w:color="auto"/>
                        <w:bottom w:val="none" w:sz="0" w:space="0" w:color="auto"/>
                        <w:right w:val="none" w:sz="0" w:space="0" w:color="auto"/>
                      </w:divBdr>
                    </w:div>
                    <w:div w:id="850486403">
                      <w:marLeft w:val="0"/>
                      <w:marRight w:val="0"/>
                      <w:marTop w:val="0"/>
                      <w:marBottom w:val="0"/>
                      <w:divBdr>
                        <w:top w:val="none" w:sz="0" w:space="0" w:color="auto"/>
                        <w:left w:val="none" w:sz="0" w:space="0" w:color="auto"/>
                        <w:bottom w:val="none" w:sz="0" w:space="0" w:color="auto"/>
                        <w:right w:val="none" w:sz="0" w:space="0" w:color="auto"/>
                      </w:divBdr>
                    </w:div>
                    <w:div w:id="610476132">
                      <w:marLeft w:val="0"/>
                      <w:marRight w:val="0"/>
                      <w:marTop w:val="0"/>
                      <w:marBottom w:val="0"/>
                      <w:divBdr>
                        <w:top w:val="none" w:sz="0" w:space="0" w:color="auto"/>
                        <w:left w:val="none" w:sz="0" w:space="0" w:color="auto"/>
                        <w:bottom w:val="none" w:sz="0" w:space="0" w:color="auto"/>
                        <w:right w:val="none" w:sz="0" w:space="0" w:color="auto"/>
                      </w:divBdr>
                    </w:div>
                    <w:div w:id="752051009">
                      <w:marLeft w:val="0"/>
                      <w:marRight w:val="0"/>
                      <w:marTop w:val="0"/>
                      <w:marBottom w:val="0"/>
                      <w:divBdr>
                        <w:top w:val="none" w:sz="0" w:space="0" w:color="auto"/>
                        <w:left w:val="none" w:sz="0" w:space="0" w:color="auto"/>
                        <w:bottom w:val="none" w:sz="0" w:space="0" w:color="auto"/>
                        <w:right w:val="none" w:sz="0" w:space="0" w:color="auto"/>
                      </w:divBdr>
                    </w:div>
                    <w:div w:id="1467043233">
                      <w:marLeft w:val="0"/>
                      <w:marRight w:val="0"/>
                      <w:marTop w:val="0"/>
                      <w:marBottom w:val="0"/>
                      <w:divBdr>
                        <w:top w:val="none" w:sz="0" w:space="0" w:color="auto"/>
                        <w:left w:val="none" w:sz="0" w:space="0" w:color="auto"/>
                        <w:bottom w:val="none" w:sz="0" w:space="0" w:color="auto"/>
                        <w:right w:val="none" w:sz="0" w:space="0" w:color="auto"/>
                      </w:divBdr>
                    </w:div>
                    <w:div w:id="777603981">
                      <w:marLeft w:val="0"/>
                      <w:marRight w:val="0"/>
                      <w:marTop w:val="0"/>
                      <w:marBottom w:val="0"/>
                      <w:divBdr>
                        <w:top w:val="none" w:sz="0" w:space="0" w:color="auto"/>
                        <w:left w:val="none" w:sz="0" w:space="0" w:color="auto"/>
                        <w:bottom w:val="none" w:sz="0" w:space="0" w:color="auto"/>
                        <w:right w:val="none" w:sz="0" w:space="0" w:color="auto"/>
                      </w:divBdr>
                    </w:div>
                    <w:div w:id="64644687">
                      <w:marLeft w:val="0"/>
                      <w:marRight w:val="0"/>
                      <w:marTop w:val="0"/>
                      <w:marBottom w:val="0"/>
                      <w:divBdr>
                        <w:top w:val="none" w:sz="0" w:space="0" w:color="auto"/>
                        <w:left w:val="none" w:sz="0" w:space="0" w:color="auto"/>
                        <w:bottom w:val="none" w:sz="0" w:space="0" w:color="auto"/>
                        <w:right w:val="none" w:sz="0" w:space="0" w:color="auto"/>
                      </w:divBdr>
                    </w:div>
                    <w:div w:id="346106441">
                      <w:marLeft w:val="0"/>
                      <w:marRight w:val="0"/>
                      <w:marTop w:val="0"/>
                      <w:marBottom w:val="0"/>
                      <w:divBdr>
                        <w:top w:val="none" w:sz="0" w:space="0" w:color="auto"/>
                        <w:left w:val="none" w:sz="0" w:space="0" w:color="auto"/>
                        <w:bottom w:val="none" w:sz="0" w:space="0" w:color="auto"/>
                        <w:right w:val="none" w:sz="0" w:space="0" w:color="auto"/>
                      </w:divBdr>
                    </w:div>
                    <w:div w:id="960115713">
                      <w:marLeft w:val="0"/>
                      <w:marRight w:val="0"/>
                      <w:marTop w:val="0"/>
                      <w:marBottom w:val="0"/>
                      <w:divBdr>
                        <w:top w:val="none" w:sz="0" w:space="0" w:color="auto"/>
                        <w:left w:val="none" w:sz="0" w:space="0" w:color="auto"/>
                        <w:bottom w:val="none" w:sz="0" w:space="0" w:color="auto"/>
                        <w:right w:val="none" w:sz="0" w:space="0" w:color="auto"/>
                      </w:divBdr>
                    </w:div>
                  </w:divsChild>
                </w:div>
                <w:div w:id="492261427">
                  <w:marLeft w:val="0"/>
                  <w:marRight w:val="0"/>
                  <w:marTop w:val="0"/>
                  <w:marBottom w:val="0"/>
                  <w:divBdr>
                    <w:top w:val="none" w:sz="0" w:space="0" w:color="auto"/>
                    <w:left w:val="none" w:sz="0" w:space="0" w:color="auto"/>
                    <w:bottom w:val="none" w:sz="0" w:space="0" w:color="auto"/>
                    <w:right w:val="none" w:sz="0" w:space="0" w:color="auto"/>
                  </w:divBdr>
                  <w:divsChild>
                    <w:div w:id="923495651">
                      <w:marLeft w:val="0"/>
                      <w:marRight w:val="0"/>
                      <w:marTop w:val="0"/>
                      <w:marBottom w:val="0"/>
                      <w:divBdr>
                        <w:top w:val="none" w:sz="0" w:space="0" w:color="auto"/>
                        <w:left w:val="none" w:sz="0" w:space="0" w:color="auto"/>
                        <w:bottom w:val="none" w:sz="0" w:space="0" w:color="auto"/>
                        <w:right w:val="none" w:sz="0" w:space="0" w:color="auto"/>
                      </w:divBdr>
                    </w:div>
                    <w:div w:id="1043751558">
                      <w:marLeft w:val="0"/>
                      <w:marRight w:val="0"/>
                      <w:marTop w:val="0"/>
                      <w:marBottom w:val="0"/>
                      <w:divBdr>
                        <w:top w:val="none" w:sz="0" w:space="0" w:color="auto"/>
                        <w:left w:val="none" w:sz="0" w:space="0" w:color="auto"/>
                        <w:bottom w:val="none" w:sz="0" w:space="0" w:color="auto"/>
                        <w:right w:val="none" w:sz="0" w:space="0" w:color="auto"/>
                      </w:divBdr>
                    </w:div>
                    <w:div w:id="1652439115">
                      <w:marLeft w:val="0"/>
                      <w:marRight w:val="0"/>
                      <w:marTop w:val="0"/>
                      <w:marBottom w:val="0"/>
                      <w:divBdr>
                        <w:top w:val="none" w:sz="0" w:space="0" w:color="auto"/>
                        <w:left w:val="none" w:sz="0" w:space="0" w:color="auto"/>
                        <w:bottom w:val="none" w:sz="0" w:space="0" w:color="auto"/>
                        <w:right w:val="none" w:sz="0" w:space="0" w:color="auto"/>
                      </w:divBdr>
                    </w:div>
                    <w:div w:id="9673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4755">
              <w:marLeft w:val="0"/>
              <w:marRight w:val="0"/>
              <w:marTop w:val="0"/>
              <w:marBottom w:val="0"/>
              <w:divBdr>
                <w:top w:val="none" w:sz="0" w:space="0" w:color="auto"/>
                <w:left w:val="none" w:sz="0" w:space="0" w:color="auto"/>
                <w:bottom w:val="none" w:sz="0" w:space="0" w:color="auto"/>
                <w:right w:val="none" w:sz="0" w:space="0" w:color="auto"/>
              </w:divBdr>
              <w:divsChild>
                <w:div w:id="789006695">
                  <w:marLeft w:val="0"/>
                  <w:marRight w:val="0"/>
                  <w:marTop w:val="0"/>
                  <w:marBottom w:val="0"/>
                  <w:divBdr>
                    <w:top w:val="none" w:sz="0" w:space="0" w:color="auto"/>
                    <w:left w:val="none" w:sz="0" w:space="0" w:color="auto"/>
                    <w:bottom w:val="none" w:sz="0" w:space="0" w:color="auto"/>
                    <w:right w:val="none" w:sz="0" w:space="0" w:color="auto"/>
                  </w:divBdr>
                </w:div>
                <w:div w:id="1636371876">
                  <w:marLeft w:val="0"/>
                  <w:marRight w:val="0"/>
                  <w:marTop w:val="0"/>
                  <w:marBottom w:val="0"/>
                  <w:divBdr>
                    <w:top w:val="none" w:sz="0" w:space="0" w:color="auto"/>
                    <w:left w:val="none" w:sz="0" w:space="0" w:color="auto"/>
                    <w:bottom w:val="none" w:sz="0" w:space="0" w:color="auto"/>
                    <w:right w:val="none" w:sz="0" w:space="0" w:color="auto"/>
                  </w:divBdr>
                  <w:divsChild>
                    <w:div w:id="254364430">
                      <w:marLeft w:val="0"/>
                      <w:marRight w:val="0"/>
                      <w:marTop w:val="0"/>
                      <w:marBottom w:val="0"/>
                      <w:divBdr>
                        <w:top w:val="none" w:sz="0" w:space="0" w:color="auto"/>
                        <w:left w:val="none" w:sz="0" w:space="0" w:color="auto"/>
                        <w:bottom w:val="none" w:sz="0" w:space="0" w:color="auto"/>
                        <w:right w:val="none" w:sz="0" w:space="0" w:color="auto"/>
                      </w:divBdr>
                    </w:div>
                    <w:div w:id="1081946075">
                      <w:marLeft w:val="0"/>
                      <w:marRight w:val="0"/>
                      <w:marTop w:val="0"/>
                      <w:marBottom w:val="0"/>
                      <w:divBdr>
                        <w:top w:val="none" w:sz="0" w:space="0" w:color="auto"/>
                        <w:left w:val="none" w:sz="0" w:space="0" w:color="auto"/>
                        <w:bottom w:val="none" w:sz="0" w:space="0" w:color="auto"/>
                        <w:right w:val="none" w:sz="0" w:space="0" w:color="auto"/>
                      </w:divBdr>
                      <w:divsChild>
                        <w:div w:id="1775127684">
                          <w:marLeft w:val="0"/>
                          <w:marRight w:val="0"/>
                          <w:marTop w:val="0"/>
                          <w:marBottom w:val="0"/>
                          <w:divBdr>
                            <w:top w:val="none" w:sz="0" w:space="0" w:color="auto"/>
                            <w:left w:val="none" w:sz="0" w:space="0" w:color="auto"/>
                            <w:bottom w:val="none" w:sz="0" w:space="0" w:color="auto"/>
                            <w:right w:val="none" w:sz="0" w:space="0" w:color="auto"/>
                          </w:divBdr>
                        </w:div>
                        <w:div w:id="253126226">
                          <w:marLeft w:val="0"/>
                          <w:marRight w:val="0"/>
                          <w:marTop w:val="0"/>
                          <w:marBottom w:val="0"/>
                          <w:divBdr>
                            <w:top w:val="none" w:sz="0" w:space="0" w:color="auto"/>
                            <w:left w:val="none" w:sz="0" w:space="0" w:color="auto"/>
                            <w:bottom w:val="none" w:sz="0" w:space="0" w:color="auto"/>
                            <w:right w:val="none" w:sz="0" w:space="0" w:color="auto"/>
                          </w:divBdr>
                        </w:div>
                        <w:div w:id="2064479235">
                          <w:marLeft w:val="0"/>
                          <w:marRight w:val="0"/>
                          <w:marTop w:val="0"/>
                          <w:marBottom w:val="0"/>
                          <w:divBdr>
                            <w:top w:val="none" w:sz="0" w:space="0" w:color="auto"/>
                            <w:left w:val="none" w:sz="0" w:space="0" w:color="auto"/>
                            <w:bottom w:val="none" w:sz="0" w:space="0" w:color="auto"/>
                            <w:right w:val="none" w:sz="0" w:space="0" w:color="auto"/>
                          </w:divBdr>
                        </w:div>
                        <w:div w:id="1298411648">
                          <w:marLeft w:val="0"/>
                          <w:marRight w:val="0"/>
                          <w:marTop w:val="0"/>
                          <w:marBottom w:val="0"/>
                          <w:divBdr>
                            <w:top w:val="none" w:sz="0" w:space="0" w:color="auto"/>
                            <w:left w:val="none" w:sz="0" w:space="0" w:color="auto"/>
                            <w:bottom w:val="none" w:sz="0" w:space="0" w:color="auto"/>
                            <w:right w:val="none" w:sz="0" w:space="0" w:color="auto"/>
                          </w:divBdr>
                        </w:div>
                        <w:div w:id="1296644940">
                          <w:marLeft w:val="0"/>
                          <w:marRight w:val="0"/>
                          <w:marTop w:val="0"/>
                          <w:marBottom w:val="0"/>
                          <w:divBdr>
                            <w:top w:val="none" w:sz="0" w:space="0" w:color="auto"/>
                            <w:left w:val="none" w:sz="0" w:space="0" w:color="auto"/>
                            <w:bottom w:val="none" w:sz="0" w:space="0" w:color="auto"/>
                            <w:right w:val="none" w:sz="0" w:space="0" w:color="auto"/>
                          </w:divBdr>
                        </w:div>
                        <w:div w:id="1808620994">
                          <w:marLeft w:val="0"/>
                          <w:marRight w:val="0"/>
                          <w:marTop w:val="0"/>
                          <w:marBottom w:val="0"/>
                          <w:divBdr>
                            <w:top w:val="none" w:sz="0" w:space="0" w:color="auto"/>
                            <w:left w:val="none" w:sz="0" w:space="0" w:color="auto"/>
                            <w:bottom w:val="none" w:sz="0" w:space="0" w:color="auto"/>
                            <w:right w:val="none" w:sz="0" w:space="0" w:color="auto"/>
                          </w:divBdr>
                        </w:div>
                        <w:div w:id="1983002601">
                          <w:marLeft w:val="0"/>
                          <w:marRight w:val="0"/>
                          <w:marTop w:val="0"/>
                          <w:marBottom w:val="0"/>
                          <w:divBdr>
                            <w:top w:val="none" w:sz="0" w:space="0" w:color="auto"/>
                            <w:left w:val="none" w:sz="0" w:space="0" w:color="auto"/>
                            <w:bottom w:val="none" w:sz="0" w:space="0" w:color="auto"/>
                            <w:right w:val="none" w:sz="0" w:space="0" w:color="auto"/>
                          </w:divBdr>
                        </w:div>
                        <w:div w:id="1593079256">
                          <w:marLeft w:val="0"/>
                          <w:marRight w:val="0"/>
                          <w:marTop w:val="0"/>
                          <w:marBottom w:val="0"/>
                          <w:divBdr>
                            <w:top w:val="none" w:sz="0" w:space="0" w:color="auto"/>
                            <w:left w:val="none" w:sz="0" w:space="0" w:color="auto"/>
                            <w:bottom w:val="none" w:sz="0" w:space="0" w:color="auto"/>
                            <w:right w:val="none" w:sz="0" w:space="0" w:color="auto"/>
                          </w:divBdr>
                        </w:div>
                        <w:div w:id="1943297112">
                          <w:marLeft w:val="0"/>
                          <w:marRight w:val="0"/>
                          <w:marTop w:val="0"/>
                          <w:marBottom w:val="0"/>
                          <w:divBdr>
                            <w:top w:val="none" w:sz="0" w:space="0" w:color="auto"/>
                            <w:left w:val="none" w:sz="0" w:space="0" w:color="auto"/>
                            <w:bottom w:val="none" w:sz="0" w:space="0" w:color="auto"/>
                            <w:right w:val="none" w:sz="0" w:space="0" w:color="auto"/>
                          </w:divBdr>
                        </w:div>
                        <w:div w:id="1225486176">
                          <w:marLeft w:val="0"/>
                          <w:marRight w:val="0"/>
                          <w:marTop w:val="0"/>
                          <w:marBottom w:val="0"/>
                          <w:divBdr>
                            <w:top w:val="none" w:sz="0" w:space="0" w:color="auto"/>
                            <w:left w:val="none" w:sz="0" w:space="0" w:color="auto"/>
                            <w:bottom w:val="none" w:sz="0" w:space="0" w:color="auto"/>
                            <w:right w:val="none" w:sz="0" w:space="0" w:color="auto"/>
                          </w:divBdr>
                        </w:div>
                        <w:div w:id="1364790264">
                          <w:marLeft w:val="0"/>
                          <w:marRight w:val="0"/>
                          <w:marTop w:val="0"/>
                          <w:marBottom w:val="0"/>
                          <w:divBdr>
                            <w:top w:val="none" w:sz="0" w:space="0" w:color="auto"/>
                            <w:left w:val="none" w:sz="0" w:space="0" w:color="auto"/>
                            <w:bottom w:val="none" w:sz="0" w:space="0" w:color="auto"/>
                            <w:right w:val="none" w:sz="0" w:space="0" w:color="auto"/>
                          </w:divBdr>
                        </w:div>
                      </w:divsChild>
                    </w:div>
                    <w:div w:id="681978700">
                      <w:marLeft w:val="0"/>
                      <w:marRight w:val="0"/>
                      <w:marTop w:val="0"/>
                      <w:marBottom w:val="0"/>
                      <w:divBdr>
                        <w:top w:val="none" w:sz="0" w:space="0" w:color="auto"/>
                        <w:left w:val="none" w:sz="0" w:space="0" w:color="auto"/>
                        <w:bottom w:val="none" w:sz="0" w:space="0" w:color="auto"/>
                        <w:right w:val="none" w:sz="0" w:space="0" w:color="auto"/>
                      </w:divBdr>
                      <w:divsChild>
                        <w:div w:id="2061704410">
                          <w:marLeft w:val="0"/>
                          <w:marRight w:val="0"/>
                          <w:marTop w:val="0"/>
                          <w:marBottom w:val="0"/>
                          <w:divBdr>
                            <w:top w:val="none" w:sz="0" w:space="0" w:color="auto"/>
                            <w:left w:val="none" w:sz="0" w:space="0" w:color="auto"/>
                            <w:bottom w:val="none" w:sz="0" w:space="0" w:color="auto"/>
                            <w:right w:val="none" w:sz="0" w:space="0" w:color="auto"/>
                          </w:divBdr>
                        </w:div>
                        <w:div w:id="530143592">
                          <w:marLeft w:val="0"/>
                          <w:marRight w:val="0"/>
                          <w:marTop w:val="0"/>
                          <w:marBottom w:val="0"/>
                          <w:divBdr>
                            <w:top w:val="none" w:sz="0" w:space="0" w:color="auto"/>
                            <w:left w:val="none" w:sz="0" w:space="0" w:color="auto"/>
                            <w:bottom w:val="none" w:sz="0" w:space="0" w:color="auto"/>
                            <w:right w:val="none" w:sz="0" w:space="0" w:color="auto"/>
                          </w:divBdr>
                        </w:div>
                        <w:div w:id="429545152">
                          <w:marLeft w:val="0"/>
                          <w:marRight w:val="0"/>
                          <w:marTop w:val="0"/>
                          <w:marBottom w:val="0"/>
                          <w:divBdr>
                            <w:top w:val="none" w:sz="0" w:space="0" w:color="auto"/>
                            <w:left w:val="none" w:sz="0" w:space="0" w:color="auto"/>
                            <w:bottom w:val="none" w:sz="0" w:space="0" w:color="auto"/>
                            <w:right w:val="none" w:sz="0" w:space="0" w:color="auto"/>
                          </w:divBdr>
                        </w:div>
                      </w:divsChild>
                    </w:div>
                    <w:div w:id="525292249">
                      <w:marLeft w:val="0"/>
                      <w:marRight w:val="0"/>
                      <w:marTop w:val="0"/>
                      <w:marBottom w:val="0"/>
                      <w:divBdr>
                        <w:top w:val="none" w:sz="0" w:space="0" w:color="auto"/>
                        <w:left w:val="none" w:sz="0" w:space="0" w:color="auto"/>
                        <w:bottom w:val="none" w:sz="0" w:space="0" w:color="auto"/>
                        <w:right w:val="none" w:sz="0" w:space="0" w:color="auto"/>
                      </w:divBdr>
                      <w:divsChild>
                        <w:div w:id="550187547">
                          <w:marLeft w:val="0"/>
                          <w:marRight w:val="0"/>
                          <w:marTop w:val="0"/>
                          <w:marBottom w:val="0"/>
                          <w:divBdr>
                            <w:top w:val="none" w:sz="0" w:space="0" w:color="auto"/>
                            <w:left w:val="none" w:sz="0" w:space="0" w:color="auto"/>
                            <w:bottom w:val="none" w:sz="0" w:space="0" w:color="auto"/>
                            <w:right w:val="none" w:sz="0" w:space="0" w:color="auto"/>
                          </w:divBdr>
                        </w:div>
                        <w:div w:id="1424649081">
                          <w:marLeft w:val="0"/>
                          <w:marRight w:val="0"/>
                          <w:marTop w:val="0"/>
                          <w:marBottom w:val="0"/>
                          <w:divBdr>
                            <w:top w:val="none" w:sz="0" w:space="0" w:color="auto"/>
                            <w:left w:val="none" w:sz="0" w:space="0" w:color="auto"/>
                            <w:bottom w:val="none" w:sz="0" w:space="0" w:color="auto"/>
                            <w:right w:val="none" w:sz="0" w:space="0" w:color="auto"/>
                          </w:divBdr>
                        </w:div>
                        <w:div w:id="1943344066">
                          <w:marLeft w:val="0"/>
                          <w:marRight w:val="0"/>
                          <w:marTop w:val="0"/>
                          <w:marBottom w:val="0"/>
                          <w:divBdr>
                            <w:top w:val="none" w:sz="0" w:space="0" w:color="auto"/>
                            <w:left w:val="none" w:sz="0" w:space="0" w:color="auto"/>
                            <w:bottom w:val="none" w:sz="0" w:space="0" w:color="auto"/>
                            <w:right w:val="none" w:sz="0" w:space="0" w:color="auto"/>
                          </w:divBdr>
                        </w:div>
                        <w:div w:id="621691130">
                          <w:marLeft w:val="0"/>
                          <w:marRight w:val="0"/>
                          <w:marTop w:val="0"/>
                          <w:marBottom w:val="0"/>
                          <w:divBdr>
                            <w:top w:val="none" w:sz="0" w:space="0" w:color="auto"/>
                            <w:left w:val="none" w:sz="0" w:space="0" w:color="auto"/>
                            <w:bottom w:val="none" w:sz="0" w:space="0" w:color="auto"/>
                            <w:right w:val="none" w:sz="0" w:space="0" w:color="auto"/>
                          </w:divBdr>
                        </w:div>
                        <w:div w:id="1651523303">
                          <w:marLeft w:val="0"/>
                          <w:marRight w:val="0"/>
                          <w:marTop w:val="0"/>
                          <w:marBottom w:val="0"/>
                          <w:divBdr>
                            <w:top w:val="none" w:sz="0" w:space="0" w:color="auto"/>
                            <w:left w:val="none" w:sz="0" w:space="0" w:color="auto"/>
                            <w:bottom w:val="none" w:sz="0" w:space="0" w:color="auto"/>
                            <w:right w:val="none" w:sz="0" w:space="0" w:color="auto"/>
                          </w:divBdr>
                        </w:div>
                        <w:div w:id="12880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732">
                  <w:marLeft w:val="0"/>
                  <w:marRight w:val="0"/>
                  <w:marTop w:val="0"/>
                  <w:marBottom w:val="0"/>
                  <w:divBdr>
                    <w:top w:val="none" w:sz="0" w:space="0" w:color="auto"/>
                    <w:left w:val="none" w:sz="0" w:space="0" w:color="auto"/>
                    <w:bottom w:val="none" w:sz="0" w:space="0" w:color="auto"/>
                    <w:right w:val="none" w:sz="0" w:space="0" w:color="auto"/>
                  </w:divBdr>
                  <w:divsChild>
                    <w:div w:id="1499420150">
                      <w:marLeft w:val="0"/>
                      <w:marRight w:val="0"/>
                      <w:marTop w:val="0"/>
                      <w:marBottom w:val="0"/>
                      <w:divBdr>
                        <w:top w:val="none" w:sz="0" w:space="0" w:color="auto"/>
                        <w:left w:val="none" w:sz="0" w:space="0" w:color="auto"/>
                        <w:bottom w:val="none" w:sz="0" w:space="0" w:color="auto"/>
                        <w:right w:val="none" w:sz="0" w:space="0" w:color="auto"/>
                      </w:divBdr>
                    </w:div>
                    <w:div w:id="507597126">
                      <w:marLeft w:val="0"/>
                      <w:marRight w:val="0"/>
                      <w:marTop w:val="0"/>
                      <w:marBottom w:val="0"/>
                      <w:divBdr>
                        <w:top w:val="none" w:sz="0" w:space="0" w:color="auto"/>
                        <w:left w:val="none" w:sz="0" w:space="0" w:color="auto"/>
                        <w:bottom w:val="none" w:sz="0" w:space="0" w:color="auto"/>
                        <w:right w:val="none" w:sz="0" w:space="0" w:color="auto"/>
                      </w:divBdr>
                      <w:divsChild>
                        <w:div w:id="1505434716">
                          <w:marLeft w:val="0"/>
                          <w:marRight w:val="0"/>
                          <w:marTop w:val="0"/>
                          <w:marBottom w:val="0"/>
                          <w:divBdr>
                            <w:top w:val="none" w:sz="0" w:space="0" w:color="auto"/>
                            <w:left w:val="none" w:sz="0" w:space="0" w:color="auto"/>
                            <w:bottom w:val="none" w:sz="0" w:space="0" w:color="auto"/>
                            <w:right w:val="none" w:sz="0" w:space="0" w:color="auto"/>
                          </w:divBdr>
                        </w:div>
                        <w:div w:id="169368635">
                          <w:marLeft w:val="0"/>
                          <w:marRight w:val="0"/>
                          <w:marTop w:val="0"/>
                          <w:marBottom w:val="0"/>
                          <w:divBdr>
                            <w:top w:val="none" w:sz="0" w:space="0" w:color="auto"/>
                            <w:left w:val="none" w:sz="0" w:space="0" w:color="auto"/>
                            <w:bottom w:val="none" w:sz="0" w:space="0" w:color="auto"/>
                            <w:right w:val="none" w:sz="0" w:space="0" w:color="auto"/>
                          </w:divBdr>
                        </w:div>
                        <w:div w:id="1852838429">
                          <w:marLeft w:val="0"/>
                          <w:marRight w:val="0"/>
                          <w:marTop w:val="0"/>
                          <w:marBottom w:val="0"/>
                          <w:divBdr>
                            <w:top w:val="none" w:sz="0" w:space="0" w:color="auto"/>
                            <w:left w:val="none" w:sz="0" w:space="0" w:color="auto"/>
                            <w:bottom w:val="none" w:sz="0" w:space="0" w:color="auto"/>
                            <w:right w:val="none" w:sz="0" w:space="0" w:color="auto"/>
                          </w:divBdr>
                        </w:div>
                        <w:div w:id="1949921015">
                          <w:marLeft w:val="0"/>
                          <w:marRight w:val="0"/>
                          <w:marTop w:val="0"/>
                          <w:marBottom w:val="0"/>
                          <w:divBdr>
                            <w:top w:val="none" w:sz="0" w:space="0" w:color="auto"/>
                            <w:left w:val="none" w:sz="0" w:space="0" w:color="auto"/>
                            <w:bottom w:val="none" w:sz="0" w:space="0" w:color="auto"/>
                            <w:right w:val="none" w:sz="0" w:space="0" w:color="auto"/>
                          </w:divBdr>
                        </w:div>
                        <w:div w:id="444931309">
                          <w:marLeft w:val="0"/>
                          <w:marRight w:val="0"/>
                          <w:marTop w:val="0"/>
                          <w:marBottom w:val="0"/>
                          <w:divBdr>
                            <w:top w:val="none" w:sz="0" w:space="0" w:color="auto"/>
                            <w:left w:val="none" w:sz="0" w:space="0" w:color="auto"/>
                            <w:bottom w:val="none" w:sz="0" w:space="0" w:color="auto"/>
                            <w:right w:val="none" w:sz="0" w:space="0" w:color="auto"/>
                          </w:divBdr>
                        </w:div>
                        <w:div w:id="1335498545">
                          <w:marLeft w:val="0"/>
                          <w:marRight w:val="0"/>
                          <w:marTop w:val="0"/>
                          <w:marBottom w:val="0"/>
                          <w:divBdr>
                            <w:top w:val="none" w:sz="0" w:space="0" w:color="auto"/>
                            <w:left w:val="none" w:sz="0" w:space="0" w:color="auto"/>
                            <w:bottom w:val="none" w:sz="0" w:space="0" w:color="auto"/>
                            <w:right w:val="none" w:sz="0" w:space="0" w:color="auto"/>
                          </w:divBdr>
                        </w:div>
                        <w:div w:id="797650328">
                          <w:marLeft w:val="0"/>
                          <w:marRight w:val="0"/>
                          <w:marTop w:val="0"/>
                          <w:marBottom w:val="0"/>
                          <w:divBdr>
                            <w:top w:val="none" w:sz="0" w:space="0" w:color="auto"/>
                            <w:left w:val="none" w:sz="0" w:space="0" w:color="auto"/>
                            <w:bottom w:val="none" w:sz="0" w:space="0" w:color="auto"/>
                            <w:right w:val="none" w:sz="0" w:space="0" w:color="auto"/>
                          </w:divBdr>
                        </w:div>
                        <w:div w:id="1025785503">
                          <w:marLeft w:val="0"/>
                          <w:marRight w:val="0"/>
                          <w:marTop w:val="0"/>
                          <w:marBottom w:val="0"/>
                          <w:divBdr>
                            <w:top w:val="none" w:sz="0" w:space="0" w:color="auto"/>
                            <w:left w:val="none" w:sz="0" w:space="0" w:color="auto"/>
                            <w:bottom w:val="none" w:sz="0" w:space="0" w:color="auto"/>
                            <w:right w:val="none" w:sz="0" w:space="0" w:color="auto"/>
                          </w:divBdr>
                        </w:div>
                        <w:div w:id="217861867">
                          <w:marLeft w:val="0"/>
                          <w:marRight w:val="0"/>
                          <w:marTop w:val="0"/>
                          <w:marBottom w:val="0"/>
                          <w:divBdr>
                            <w:top w:val="none" w:sz="0" w:space="0" w:color="auto"/>
                            <w:left w:val="none" w:sz="0" w:space="0" w:color="auto"/>
                            <w:bottom w:val="none" w:sz="0" w:space="0" w:color="auto"/>
                            <w:right w:val="none" w:sz="0" w:space="0" w:color="auto"/>
                          </w:divBdr>
                        </w:div>
                        <w:div w:id="497774115">
                          <w:marLeft w:val="0"/>
                          <w:marRight w:val="0"/>
                          <w:marTop w:val="0"/>
                          <w:marBottom w:val="0"/>
                          <w:divBdr>
                            <w:top w:val="none" w:sz="0" w:space="0" w:color="auto"/>
                            <w:left w:val="none" w:sz="0" w:space="0" w:color="auto"/>
                            <w:bottom w:val="none" w:sz="0" w:space="0" w:color="auto"/>
                            <w:right w:val="none" w:sz="0" w:space="0" w:color="auto"/>
                          </w:divBdr>
                        </w:div>
                        <w:div w:id="1428234990">
                          <w:marLeft w:val="0"/>
                          <w:marRight w:val="0"/>
                          <w:marTop w:val="0"/>
                          <w:marBottom w:val="0"/>
                          <w:divBdr>
                            <w:top w:val="none" w:sz="0" w:space="0" w:color="auto"/>
                            <w:left w:val="none" w:sz="0" w:space="0" w:color="auto"/>
                            <w:bottom w:val="none" w:sz="0" w:space="0" w:color="auto"/>
                            <w:right w:val="none" w:sz="0" w:space="0" w:color="auto"/>
                          </w:divBdr>
                        </w:div>
                        <w:div w:id="491335890">
                          <w:marLeft w:val="0"/>
                          <w:marRight w:val="0"/>
                          <w:marTop w:val="0"/>
                          <w:marBottom w:val="0"/>
                          <w:divBdr>
                            <w:top w:val="none" w:sz="0" w:space="0" w:color="auto"/>
                            <w:left w:val="none" w:sz="0" w:space="0" w:color="auto"/>
                            <w:bottom w:val="none" w:sz="0" w:space="0" w:color="auto"/>
                            <w:right w:val="none" w:sz="0" w:space="0" w:color="auto"/>
                          </w:divBdr>
                        </w:div>
                        <w:div w:id="2064596172">
                          <w:marLeft w:val="0"/>
                          <w:marRight w:val="0"/>
                          <w:marTop w:val="0"/>
                          <w:marBottom w:val="0"/>
                          <w:divBdr>
                            <w:top w:val="none" w:sz="0" w:space="0" w:color="auto"/>
                            <w:left w:val="none" w:sz="0" w:space="0" w:color="auto"/>
                            <w:bottom w:val="none" w:sz="0" w:space="0" w:color="auto"/>
                            <w:right w:val="none" w:sz="0" w:space="0" w:color="auto"/>
                          </w:divBdr>
                        </w:div>
                        <w:div w:id="1897549543">
                          <w:marLeft w:val="0"/>
                          <w:marRight w:val="0"/>
                          <w:marTop w:val="0"/>
                          <w:marBottom w:val="0"/>
                          <w:divBdr>
                            <w:top w:val="none" w:sz="0" w:space="0" w:color="auto"/>
                            <w:left w:val="none" w:sz="0" w:space="0" w:color="auto"/>
                            <w:bottom w:val="none" w:sz="0" w:space="0" w:color="auto"/>
                            <w:right w:val="none" w:sz="0" w:space="0" w:color="auto"/>
                          </w:divBdr>
                        </w:div>
                      </w:divsChild>
                    </w:div>
                    <w:div w:id="388387170">
                      <w:marLeft w:val="0"/>
                      <w:marRight w:val="0"/>
                      <w:marTop w:val="0"/>
                      <w:marBottom w:val="0"/>
                      <w:divBdr>
                        <w:top w:val="none" w:sz="0" w:space="0" w:color="auto"/>
                        <w:left w:val="none" w:sz="0" w:space="0" w:color="auto"/>
                        <w:bottom w:val="none" w:sz="0" w:space="0" w:color="auto"/>
                        <w:right w:val="none" w:sz="0" w:space="0" w:color="auto"/>
                      </w:divBdr>
                      <w:divsChild>
                        <w:div w:id="385371907">
                          <w:marLeft w:val="0"/>
                          <w:marRight w:val="0"/>
                          <w:marTop w:val="0"/>
                          <w:marBottom w:val="0"/>
                          <w:divBdr>
                            <w:top w:val="none" w:sz="0" w:space="0" w:color="auto"/>
                            <w:left w:val="none" w:sz="0" w:space="0" w:color="auto"/>
                            <w:bottom w:val="none" w:sz="0" w:space="0" w:color="auto"/>
                            <w:right w:val="none" w:sz="0" w:space="0" w:color="auto"/>
                          </w:divBdr>
                        </w:div>
                        <w:div w:id="1123691460">
                          <w:marLeft w:val="0"/>
                          <w:marRight w:val="0"/>
                          <w:marTop w:val="0"/>
                          <w:marBottom w:val="0"/>
                          <w:divBdr>
                            <w:top w:val="none" w:sz="0" w:space="0" w:color="auto"/>
                            <w:left w:val="none" w:sz="0" w:space="0" w:color="auto"/>
                            <w:bottom w:val="none" w:sz="0" w:space="0" w:color="auto"/>
                            <w:right w:val="none" w:sz="0" w:space="0" w:color="auto"/>
                          </w:divBdr>
                        </w:div>
                        <w:div w:id="398017676">
                          <w:marLeft w:val="0"/>
                          <w:marRight w:val="0"/>
                          <w:marTop w:val="0"/>
                          <w:marBottom w:val="0"/>
                          <w:divBdr>
                            <w:top w:val="none" w:sz="0" w:space="0" w:color="auto"/>
                            <w:left w:val="none" w:sz="0" w:space="0" w:color="auto"/>
                            <w:bottom w:val="none" w:sz="0" w:space="0" w:color="auto"/>
                            <w:right w:val="none" w:sz="0" w:space="0" w:color="auto"/>
                          </w:divBdr>
                        </w:div>
                        <w:div w:id="1236863990">
                          <w:marLeft w:val="0"/>
                          <w:marRight w:val="0"/>
                          <w:marTop w:val="0"/>
                          <w:marBottom w:val="0"/>
                          <w:divBdr>
                            <w:top w:val="none" w:sz="0" w:space="0" w:color="auto"/>
                            <w:left w:val="none" w:sz="0" w:space="0" w:color="auto"/>
                            <w:bottom w:val="none" w:sz="0" w:space="0" w:color="auto"/>
                            <w:right w:val="none" w:sz="0" w:space="0" w:color="auto"/>
                          </w:divBdr>
                        </w:div>
                        <w:div w:id="1166552588">
                          <w:marLeft w:val="0"/>
                          <w:marRight w:val="0"/>
                          <w:marTop w:val="0"/>
                          <w:marBottom w:val="0"/>
                          <w:divBdr>
                            <w:top w:val="none" w:sz="0" w:space="0" w:color="auto"/>
                            <w:left w:val="none" w:sz="0" w:space="0" w:color="auto"/>
                            <w:bottom w:val="none" w:sz="0" w:space="0" w:color="auto"/>
                            <w:right w:val="none" w:sz="0" w:space="0" w:color="auto"/>
                          </w:divBdr>
                        </w:div>
                        <w:div w:id="109250794">
                          <w:marLeft w:val="0"/>
                          <w:marRight w:val="0"/>
                          <w:marTop w:val="0"/>
                          <w:marBottom w:val="0"/>
                          <w:divBdr>
                            <w:top w:val="none" w:sz="0" w:space="0" w:color="auto"/>
                            <w:left w:val="none" w:sz="0" w:space="0" w:color="auto"/>
                            <w:bottom w:val="none" w:sz="0" w:space="0" w:color="auto"/>
                            <w:right w:val="none" w:sz="0" w:space="0" w:color="auto"/>
                          </w:divBdr>
                        </w:div>
                        <w:div w:id="2024086843">
                          <w:marLeft w:val="0"/>
                          <w:marRight w:val="0"/>
                          <w:marTop w:val="0"/>
                          <w:marBottom w:val="0"/>
                          <w:divBdr>
                            <w:top w:val="none" w:sz="0" w:space="0" w:color="auto"/>
                            <w:left w:val="none" w:sz="0" w:space="0" w:color="auto"/>
                            <w:bottom w:val="none" w:sz="0" w:space="0" w:color="auto"/>
                            <w:right w:val="none" w:sz="0" w:space="0" w:color="auto"/>
                          </w:divBdr>
                        </w:div>
                        <w:div w:id="1735614828">
                          <w:marLeft w:val="0"/>
                          <w:marRight w:val="0"/>
                          <w:marTop w:val="0"/>
                          <w:marBottom w:val="0"/>
                          <w:divBdr>
                            <w:top w:val="none" w:sz="0" w:space="0" w:color="auto"/>
                            <w:left w:val="none" w:sz="0" w:space="0" w:color="auto"/>
                            <w:bottom w:val="none" w:sz="0" w:space="0" w:color="auto"/>
                            <w:right w:val="none" w:sz="0" w:space="0" w:color="auto"/>
                          </w:divBdr>
                        </w:div>
                        <w:div w:id="329061853">
                          <w:marLeft w:val="0"/>
                          <w:marRight w:val="0"/>
                          <w:marTop w:val="0"/>
                          <w:marBottom w:val="0"/>
                          <w:divBdr>
                            <w:top w:val="none" w:sz="0" w:space="0" w:color="auto"/>
                            <w:left w:val="none" w:sz="0" w:space="0" w:color="auto"/>
                            <w:bottom w:val="none" w:sz="0" w:space="0" w:color="auto"/>
                            <w:right w:val="none" w:sz="0" w:space="0" w:color="auto"/>
                          </w:divBdr>
                        </w:div>
                        <w:div w:id="1545605886">
                          <w:marLeft w:val="0"/>
                          <w:marRight w:val="0"/>
                          <w:marTop w:val="0"/>
                          <w:marBottom w:val="0"/>
                          <w:divBdr>
                            <w:top w:val="none" w:sz="0" w:space="0" w:color="auto"/>
                            <w:left w:val="none" w:sz="0" w:space="0" w:color="auto"/>
                            <w:bottom w:val="none" w:sz="0" w:space="0" w:color="auto"/>
                            <w:right w:val="none" w:sz="0" w:space="0" w:color="auto"/>
                          </w:divBdr>
                        </w:div>
                      </w:divsChild>
                    </w:div>
                    <w:div w:id="1788114950">
                      <w:marLeft w:val="0"/>
                      <w:marRight w:val="0"/>
                      <w:marTop w:val="0"/>
                      <w:marBottom w:val="0"/>
                      <w:divBdr>
                        <w:top w:val="none" w:sz="0" w:space="0" w:color="auto"/>
                        <w:left w:val="none" w:sz="0" w:space="0" w:color="auto"/>
                        <w:bottom w:val="none" w:sz="0" w:space="0" w:color="auto"/>
                        <w:right w:val="none" w:sz="0" w:space="0" w:color="auto"/>
                      </w:divBdr>
                      <w:divsChild>
                        <w:div w:id="810295063">
                          <w:marLeft w:val="0"/>
                          <w:marRight w:val="0"/>
                          <w:marTop w:val="0"/>
                          <w:marBottom w:val="0"/>
                          <w:divBdr>
                            <w:top w:val="none" w:sz="0" w:space="0" w:color="auto"/>
                            <w:left w:val="none" w:sz="0" w:space="0" w:color="auto"/>
                            <w:bottom w:val="none" w:sz="0" w:space="0" w:color="auto"/>
                            <w:right w:val="none" w:sz="0" w:space="0" w:color="auto"/>
                          </w:divBdr>
                        </w:div>
                        <w:div w:id="1338114604">
                          <w:marLeft w:val="0"/>
                          <w:marRight w:val="0"/>
                          <w:marTop w:val="0"/>
                          <w:marBottom w:val="0"/>
                          <w:divBdr>
                            <w:top w:val="none" w:sz="0" w:space="0" w:color="auto"/>
                            <w:left w:val="none" w:sz="0" w:space="0" w:color="auto"/>
                            <w:bottom w:val="none" w:sz="0" w:space="0" w:color="auto"/>
                            <w:right w:val="none" w:sz="0" w:space="0" w:color="auto"/>
                          </w:divBdr>
                        </w:div>
                        <w:div w:id="1741950263">
                          <w:marLeft w:val="0"/>
                          <w:marRight w:val="0"/>
                          <w:marTop w:val="0"/>
                          <w:marBottom w:val="0"/>
                          <w:divBdr>
                            <w:top w:val="none" w:sz="0" w:space="0" w:color="auto"/>
                            <w:left w:val="none" w:sz="0" w:space="0" w:color="auto"/>
                            <w:bottom w:val="none" w:sz="0" w:space="0" w:color="auto"/>
                            <w:right w:val="none" w:sz="0" w:space="0" w:color="auto"/>
                          </w:divBdr>
                        </w:div>
                        <w:div w:id="1490825691">
                          <w:marLeft w:val="0"/>
                          <w:marRight w:val="0"/>
                          <w:marTop w:val="0"/>
                          <w:marBottom w:val="0"/>
                          <w:divBdr>
                            <w:top w:val="none" w:sz="0" w:space="0" w:color="auto"/>
                            <w:left w:val="none" w:sz="0" w:space="0" w:color="auto"/>
                            <w:bottom w:val="none" w:sz="0" w:space="0" w:color="auto"/>
                            <w:right w:val="none" w:sz="0" w:space="0" w:color="auto"/>
                          </w:divBdr>
                        </w:div>
                        <w:div w:id="1100950341">
                          <w:marLeft w:val="0"/>
                          <w:marRight w:val="0"/>
                          <w:marTop w:val="0"/>
                          <w:marBottom w:val="0"/>
                          <w:divBdr>
                            <w:top w:val="none" w:sz="0" w:space="0" w:color="auto"/>
                            <w:left w:val="none" w:sz="0" w:space="0" w:color="auto"/>
                            <w:bottom w:val="none" w:sz="0" w:space="0" w:color="auto"/>
                            <w:right w:val="none" w:sz="0" w:space="0" w:color="auto"/>
                          </w:divBdr>
                        </w:div>
                        <w:div w:id="2068600100">
                          <w:marLeft w:val="0"/>
                          <w:marRight w:val="0"/>
                          <w:marTop w:val="0"/>
                          <w:marBottom w:val="0"/>
                          <w:divBdr>
                            <w:top w:val="none" w:sz="0" w:space="0" w:color="auto"/>
                            <w:left w:val="none" w:sz="0" w:space="0" w:color="auto"/>
                            <w:bottom w:val="none" w:sz="0" w:space="0" w:color="auto"/>
                            <w:right w:val="none" w:sz="0" w:space="0" w:color="auto"/>
                          </w:divBdr>
                        </w:div>
                      </w:divsChild>
                    </w:div>
                    <w:div w:id="777796202">
                      <w:marLeft w:val="0"/>
                      <w:marRight w:val="0"/>
                      <w:marTop w:val="0"/>
                      <w:marBottom w:val="0"/>
                      <w:divBdr>
                        <w:top w:val="none" w:sz="0" w:space="0" w:color="auto"/>
                        <w:left w:val="none" w:sz="0" w:space="0" w:color="auto"/>
                        <w:bottom w:val="none" w:sz="0" w:space="0" w:color="auto"/>
                        <w:right w:val="none" w:sz="0" w:space="0" w:color="auto"/>
                      </w:divBdr>
                      <w:divsChild>
                        <w:div w:id="1000043574">
                          <w:marLeft w:val="0"/>
                          <w:marRight w:val="0"/>
                          <w:marTop w:val="0"/>
                          <w:marBottom w:val="0"/>
                          <w:divBdr>
                            <w:top w:val="none" w:sz="0" w:space="0" w:color="auto"/>
                            <w:left w:val="none" w:sz="0" w:space="0" w:color="auto"/>
                            <w:bottom w:val="none" w:sz="0" w:space="0" w:color="auto"/>
                            <w:right w:val="none" w:sz="0" w:space="0" w:color="auto"/>
                          </w:divBdr>
                        </w:div>
                        <w:div w:id="1422795879">
                          <w:marLeft w:val="0"/>
                          <w:marRight w:val="0"/>
                          <w:marTop w:val="0"/>
                          <w:marBottom w:val="0"/>
                          <w:divBdr>
                            <w:top w:val="none" w:sz="0" w:space="0" w:color="auto"/>
                            <w:left w:val="none" w:sz="0" w:space="0" w:color="auto"/>
                            <w:bottom w:val="none" w:sz="0" w:space="0" w:color="auto"/>
                            <w:right w:val="none" w:sz="0" w:space="0" w:color="auto"/>
                          </w:divBdr>
                        </w:div>
                        <w:div w:id="224683557">
                          <w:marLeft w:val="0"/>
                          <w:marRight w:val="0"/>
                          <w:marTop w:val="0"/>
                          <w:marBottom w:val="0"/>
                          <w:divBdr>
                            <w:top w:val="none" w:sz="0" w:space="0" w:color="auto"/>
                            <w:left w:val="none" w:sz="0" w:space="0" w:color="auto"/>
                            <w:bottom w:val="none" w:sz="0" w:space="0" w:color="auto"/>
                            <w:right w:val="none" w:sz="0" w:space="0" w:color="auto"/>
                          </w:divBdr>
                        </w:div>
                        <w:div w:id="758450571">
                          <w:marLeft w:val="0"/>
                          <w:marRight w:val="0"/>
                          <w:marTop w:val="0"/>
                          <w:marBottom w:val="0"/>
                          <w:divBdr>
                            <w:top w:val="none" w:sz="0" w:space="0" w:color="auto"/>
                            <w:left w:val="none" w:sz="0" w:space="0" w:color="auto"/>
                            <w:bottom w:val="none" w:sz="0" w:space="0" w:color="auto"/>
                            <w:right w:val="none" w:sz="0" w:space="0" w:color="auto"/>
                          </w:divBdr>
                        </w:div>
                      </w:divsChild>
                    </w:div>
                    <w:div w:id="1260483275">
                      <w:marLeft w:val="0"/>
                      <w:marRight w:val="0"/>
                      <w:marTop w:val="0"/>
                      <w:marBottom w:val="0"/>
                      <w:divBdr>
                        <w:top w:val="none" w:sz="0" w:space="0" w:color="auto"/>
                        <w:left w:val="none" w:sz="0" w:space="0" w:color="auto"/>
                        <w:bottom w:val="none" w:sz="0" w:space="0" w:color="auto"/>
                        <w:right w:val="none" w:sz="0" w:space="0" w:color="auto"/>
                      </w:divBdr>
                      <w:divsChild>
                        <w:div w:id="117797052">
                          <w:marLeft w:val="0"/>
                          <w:marRight w:val="0"/>
                          <w:marTop w:val="0"/>
                          <w:marBottom w:val="0"/>
                          <w:divBdr>
                            <w:top w:val="none" w:sz="0" w:space="0" w:color="auto"/>
                            <w:left w:val="none" w:sz="0" w:space="0" w:color="auto"/>
                            <w:bottom w:val="none" w:sz="0" w:space="0" w:color="auto"/>
                            <w:right w:val="none" w:sz="0" w:space="0" w:color="auto"/>
                          </w:divBdr>
                        </w:div>
                        <w:div w:id="2014649762">
                          <w:marLeft w:val="0"/>
                          <w:marRight w:val="0"/>
                          <w:marTop w:val="0"/>
                          <w:marBottom w:val="0"/>
                          <w:divBdr>
                            <w:top w:val="none" w:sz="0" w:space="0" w:color="auto"/>
                            <w:left w:val="none" w:sz="0" w:space="0" w:color="auto"/>
                            <w:bottom w:val="none" w:sz="0" w:space="0" w:color="auto"/>
                            <w:right w:val="none" w:sz="0" w:space="0" w:color="auto"/>
                          </w:divBdr>
                        </w:div>
                        <w:div w:id="900095535">
                          <w:marLeft w:val="0"/>
                          <w:marRight w:val="0"/>
                          <w:marTop w:val="0"/>
                          <w:marBottom w:val="0"/>
                          <w:divBdr>
                            <w:top w:val="none" w:sz="0" w:space="0" w:color="auto"/>
                            <w:left w:val="none" w:sz="0" w:space="0" w:color="auto"/>
                            <w:bottom w:val="none" w:sz="0" w:space="0" w:color="auto"/>
                            <w:right w:val="none" w:sz="0" w:space="0" w:color="auto"/>
                          </w:divBdr>
                        </w:div>
                        <w:div w:id="1441299434">
                          <w:marLeft w:val="0"/>
                          <w:marRight w:val="0"/>
                          <w:marTop w:val="0"/>
                          <w:marBottom w:val="0"/>
                          <w:divBdr>
                            <w:top w:val="none" w:sz="0" w:space="0" w:color="auto"/>
                            <w:left w:val="none" w:sz="0" w:space="0" w:color="auto"/>
                            <w:bottom w:val="none" w:sz="0" w:space="0" w:color="auto"/>
                            <w:right w:val="none" w:sz="0" w:space="0" w:color="auto"/>
                          </w:divBdr>
                        </w:div>
                        <w:div w:id="1633823982">
                          <w:marLeft w:val="0"/>
                          <w:marRight w:val="0"/>
                          <w:marTop w:val="0"/>
                          <w:marBottom w:val="0"/>
                          <w:divBdr>
                            <w:top w:val="none" w:sz="0" w:space="0" w:color="auto"/>
                            <w:left w:val="none" w:sz="0" w:space="0" w:color="auto"/>
                            <w:bottom w:val="none" w:sz="0" w:space="0" w:color="auto"/>
                            <w:right w:val="none" w:sz="0" w:space="0" w:color="auto"/>
                          </w:divBdr>
                        </w:div>
                        <w:div w:id="728647327">
                          <w:marLeft w:val="0"/>
                          <w:marRight w:val="0"/>
                          <w:marTop w:val="0"/>
                          <w:marBottom w:val="0"/>
                          <w:divBdr>
                            <w:top w:val="none" w:sz="0" w:space="0" w:color="auto"/>
                            <w:left w:val="none" w:sz="0" w:space="0" w:color="auto"/>
                            <w:bottom w:val="none" w:sz="0" w:space="0" w:color="auto"/>
                            <w:right w:val="none" w:sz="0" w:space="0" w:color="auto"/>
                          </w:divBdr>
                        </w:div>
                        <w:div w:id="1905947995">
                          <w:marLeft w:val="0"/>
                          <w:marRight w:val="0"/>
                          <w:marTop w:val="0"/>
                          <w:marBottom w:val="0"/>
                          <w:divBdr>
                            <w:top w:val="none" w:sz="0" w:space="0" w:color="auto"/>
                            <w:left w:val="none" w:sz="0" w:space="0" w:color="auto"/>
                            <w:bottom w:val="none" w:sz="0" w:space="0" w:color="auto"/>
                            <w:right w:val="none" w:sz="0" w:space="0" w:color="auto"/>
                          </w:divBdr>
                        </w:div>
                        <w:div w:id="1483546780">
                          <w:marLeft w:val="0"/>
                          <w:marRight w:val="0"/>
                          <w:marTop w:val="0"/>
                          <w:marBottom w:val="0"/>
                          <w:divBdr>
                            <w:top w:val="none" w:sz="0" w:space="0" w:color="auto"/>
                            <w:left w:val="none" w:sz="0" w:space="0" w:color="auto"/>
                            <w:bottom w:val="none" w:sz="0" w:space="0" w:color="auto"/>
                            <w:right w:val="none" w:sz="0" w:space="0" w:color="auto"/>
                          </w:divBdr>
                        </w:div>
                        <w:div w:id="277027319">
                          <w:marLeft w:val="0"/>
                          <w:marRight w:val="0"/>
                          <w:marTop w:val="0"/>
                          <w:marBottom w:val="0"/>
                          <w:divBdr>
                            <w:top w:val="none" w:sz="0" w:space="0" w:color="auto"/>
                            <w:left w:val="none" w:sz="0" w:space="0" w:color="auto"/>
                            <w:bottom w:val="none" w:sz="0" w:space="0" w:color="auto"/>
                            <w:right w:val="none" w:sz="0" w:space="0" w:color="auto"/>
                          </w:divBdr>
                        </w:div>
                        <w:div w:id="544486575">
                          <w:marLeft w:val="0"/>
                          <w:marRight w:val="0"/>
                          <w:marTop w:val="0"/>
                          <w:marBottom w:val="0"/>
                          <w:divBdr>
                            <w:top w:val="none" w:sz="0" w:space="0" w:color="auto"/>
                            <w:left w:val="none" w:sz="0" w:space="0" w:color="auto"/>
                            <w:bottom w:val="none" w:sz="0" w:space="0" w:color="auto"/>
                            <w:right w:val="none" w:sz="0" w:space="0" w:color="auto"/>
                          </w:divBdr>
                        </w:div>
                        <w:div w:id="889342696">
                          <w:marLeft w:val="0"/>
                          <w:marRight w:val="0"/>
                          <w:marTop w:val="0"/>
                          <w:marBottom w:val="0"/>
                          <w:divBdr>
                            <w:top w:val="none" w:sz="0" w:space="0" w:color="auto"/>
                            <w:left w:val="none" w:sz="0" w:space="0" w:color="auto"/>
                            <w:bottom w:val="none" w:sz="0" w:space="0" w:color="auto"/>
                            <w:right w:val="none" w:sz="0" w:space="0" w:color="auto"/>
                          </w:divBdr>
                        </w:div>
                        <w:div w:id="1240214533">
                          <w:marLeft w:val="0"/>
                          <w:marRight w:val="0"/>
                          <w:marTop w:val="0"/>
                          <w:marBottom w:val="0"/>
                          <w:divBdr>
                            <w:top w:val="none" w:sz="0" w:space="0" w:color="auto"/>
                            <w:left w:val="none" w:sz="0" w:space="0" w:color="auto"/>
                            <w:bottom w:val="none" w:sz="0" w:space="0" w:color="auto"/>
                            <w:right w:val="none" w:sz="0" w:space="0" w:color="auto"/>
                          </w:divBdr>
                        </w:div>
                      </w:divsChild>
                    </w:div>
                    <w:div w:id="1275212023">
                      <w:marLeft w:val="0"/>
                      <w:marRight w:val="0"/>
                      <w:marTop w:val="0"/>
                      <w:marBottom w:val="0"/>
                      <w:divBdr>
                        <w:top w:val="none" w:sz="0" w:space="0" w:color="auto"/>
                        <w:left w:val="none" w:sz="0" w:space="0" w:color="auto"/>
                        <w:bottom w:val="none" w:sz="0" w:space="0" w:color="auto"/>
                        <w:right w:val="none" w:sz="0" w:space="0" w:color="auto"/>
                      </w:divBdr>
                      <w:divsChild>
                        <w:div w:id="298464487">
                          <w:marLeft w:val="0"/>
                          <w:marRight w:val="0"/>
                          <w:marTop w:val="0"/>
                          <w:marBottom w:val="0"/>
                          <w:divBdr>
                            <w:top w:val="none" w:sz="0" w:space="0" w:color="auto"/>
                            <w:left w:val="none" w:sz="0" w:space="0" w:color="auto"/>
                            <w:bottom w:val="none" w:sz="0" w:space="0" w:color="auto"/>
                            <w:right w:val="none" w:sz="0" w:space="0" w:color="auto"/>
                          </w:divBdr>
                        </w:div>
                        <w:div w:id="2082870187">
                          <w:marLeft w:val="0"/>
                          <w:marRight w:val="0"/>
                          <w:marTop w:val="0"/>
                          <w:marBottom w:val="0"/>
                          <w:divBdr>
                            <w:top w:val="none" w:sz="0" w:space="0" w:color="auto"/>
                            <w:left w:val="none" w:sz="0" w:space="0" w:color="auto"/>
                            <w:bottom w:val="none" w:sz="0" w:space="0" w:color="auto"/>
                            <w:right w:val="none" w:sz="0" w:space="0" w:color="auto"/>
                          </w:divBdr>
                        </w:div>
                        <w:div w:id="1866861938">
                          <w:marLeft w:val="0"/>
                          <w:marRight w:val="0"/>
                          <w:marTop w:val="0"/>
                          <w:marBottom w:val="0"/>
                          <w:divBdr>
                            <w:top w:val="none" w:sz="0" w:space="0" w:color="auto"/>
                            <w:left w:val="none" w:sz="0" w:space="0" w:color="auto"/>
                            <w:bottom w:val="none" w:sz="0" w:space="0" w:color="auto"/>
                            <w:right w:val="none" w:sz="0" w:space="0" w:color="auto"/>
                          </w:divBdr>
                        </w:div>
                        <w:div w:id="1430077236">
                          <w:marLeft w:val="0"/>
                          <w:marRight w:val="0"/>
                          <w:marTop w:val="0"/>
                          <w:marBottom w:val="0"/>
                          <w:divBdr>
                            <w:top w:val="none" w:sz="0" w:space="0" w:color="auto"/>
                            <w:left w:val="none" w:sz="0" w:space="0" w:color="auto"/>
                            <w:bottom w:val="none" w:sz="0" w:space="0" w:color="auto"/>
                            <w:right w:val="none" w:sz="0" w:space="0" w:color="auto"/>
                          </w:divBdr>
                        </w:div>
                      </w:divsChild>
                    </w:div>
                    <w:div w:id="624970107">
                      <w:marLeft w:val="0"/>
                      <w:marRight w:val="0"/>
                      <w:marTop w:val="0"/>
                      <w:marBottom w:val="0"/>
                      <w:divBdr>
                        <w:top w:val="none" w:sz="0" w:space="0" w:color="auto"/>
                        <w:left w:val="none" w:sz="0" w:space="0" w:color="auto"/>
                        <w:bottom w:val="none" w:sz="0" w:space="0" w:color="auto"/>
                        <w:right w:val="none" w:sz="0" w:space="0" w:color="auto"/>
                      </w:divBdr>
                      <w:divsChild>
                        <w:div w:id="279190034">
                          <w:marLeft w:val="0"/>
                          <w:marRight w:val="0"/>
                          <w:marTop w:val="0"/>
                          <w:marBottom w:val="0"/>
                          <w:divBdr>
                            <w:top w:val="none" w:sz="0" w:space="0" w:color="auto"/>
                            <w:left w:val="none" w:sz="0" w:space="0" w:color="auto"/>
                            <w:bottom w:val="none" w:sz="0" w:space="0" w:color="auto"/>
                            <w:right w:val="none" w:sz="0" w:space="0" w:color="auto"/>
                          </w:divBdr>
                        </w:div>
                        <w:div w:id="1021470318">
                          <w:marLeft w:val="0"/>
                          <w:marRight w:val="0"/>
                          <w:marTop w:val="0"/>
                          <w:marBottom w:val="0"/>
                          <w:divBdr>
                            <w:top w:val="none" w:sz="0" w:space="0" w:color="auto"/>
                            <w:left w:val="none" w:sz="0" w:space="0" w:color="auto"/>
                            <w:bottom w:val="none" w:sz="0" w:space="0" w:color="auto"/>
                            <w:right w:val="none" w:sz="0" w:space="0" w:color="auto"/>
                          </w:divBdr>
                        </w:div>
                        <w:div w:id="748842802">
                          <w:marLeft w:val="0"/>
                          <w:marRight w:val="0"/>
                          <w:marTop w:val="0"/>
                          <w:marBottom w:val="0"/>
                          <w:divBdr>
                            <w:top w:val="none" w:sz="0" w:space="0" w:color="auto"/>
                            <w:left w:val="none" w:sz="0" w:space="0" w:color="auto"/>
                            <w:bottom w:val="none" w:sz="0" w:space="0" w:color="auto"/>
                            <w:right w:val="none" w:sz="0" w:space="0" w:color="auto"/>
                          </w:divBdr>
                        </w:div>
                        <w:div w:id="318077611">
                          <w:marLeft w:val="0"/>
                          <w:marRight w:val="0"/>
                          <w:marTop w:val="0"/>
                          <w:marBottom w:val="0"/>
                          <w:divBdr>
                            <w:top w:val="none" w:sz="0" w:space="0" w:color="auto"/>
                            <w:left w:val="none" w:sz="0" w:space="0" w:color="auto"/>
                            <w:bottom w:val="none" w:sz="0" w:space="0" w:color="auto"/>
                            <w:right w:val="none" w:sz="0" w:space="0" w:color="auto"/>
                          </w:divBdr>
                        </w:div>
                        <w:div w:id="232588249">
                          <w:marLeft w:val="0"/>
                          <w:marRight w:val="0"/>
                          <w:marTop w:val="0"/>
                          <w:marBottom w:val="0"/>
                          <w:divBdr>
                            <w:top w:val="none" w:sz="0" w:space="0" w:color="auto"/>
                            <w:left w:val="none" w:sz="0" w:space="0" w:color="auto"/>
                            <w:bottom w:val="none" w:sz="0" w:space="0" w:color="auto"/>
                            <w:right w:val="none" w:sz="0" w:space="0" w:color="auto"/>
                          </w:divBdr>
                        </w:div>
                        <w:div w:id="566457450">
                          <w:marLeft w:val="0"/>
                          <w:marRight w:val="0"/>
                          <w:marTop w:val="0"/>
                          <w:marBottom w:val="0"/>
                          <w:divBdr>
                            <w:top w:val="none" w:sz="0" w:space="0" w:color="auto"/>
                            <w:left w:val="none" w:sz="0" w:space="0" w:color="auto"/>
                            <w:bottom w:val="none" w:sz="0" w:space="0" w:color="auto"/>
                            <w:right w:val="none" w:sz="0" w:space="0" w:color="auto"/>
                          </w:divBdr>
                        </w:div>
                      </w:divsChild>
                    </w:div>
                    <w:div w:id="610628020">
                      <w:marLeft w:val="0"/>
                      <w:marRight w:val="0"/>
                      <w:marTop w:val="0"/>
                      <w:marBottom w:val="0"/>
                      <w:divBdr>
                        <w:top w:val="none" w:sz="0" w:space="0" w:color="auto"/>
                        <w:left w:val="none" w:sz="0" w:space="0" w:color="auto"/>
                        <w:bottom w:val="none" w:sz="0" w:space="0" w:color="auto"/>
                        <w:right w:val="none" w:sz="0" w:space="0" w:color="auto"/>
                      </w:divBdr>
                      <w:divsChild>
                        <w:div w:id="378824867">
                          <w:marLeft w:val="0"/>
                          <w:marRight w:val="0"/>
                          <w:marTop w:val="0"/>
                          <w:marBottom w:val="0"/>
                          <w:divBdr>
                            <w:top w:val="none" w:sz="0" w:space="0" w:color="auto"/>
                            <w:left w:val="none" w:sz="0" w:space="0" w:color="auto"/>
                            <w:bottom w:val="none" w:sz="0" w:space="0" w:color="auto"/>
                            <w:right w:val="none" w:sz="0" w:space="0" w:color="auto"/>
                          </w:divBdr>
                        </w:div>
                        <w:div w:id="1615363527">
                          <w:marLeft w:val="0"/>
                          <w:marRight w:val="0"/>
                          <w:marTop w:val="0"/>
                          <w:marBottom w:val="0"/>
                          <w:divBdr>
                            <w:top w:val="none" w:sz="0" w:space="0" w:color="auto"/>
                            <w:left w:val="none" w:sz="0" w:space="0" w:color="auto"/>
                            <w:bottom w:val="none" w:sz="0" w:space="0" w:color="auto"/>
                            <w:right w:val="none" w:sz="0" w:space="0" w:color="auto"/>
                          </w:divBdr>
                        </w:div>
                        <w:div w:id="816264353">
                          <w:marLeft w:val="0"/>
                          <w:marRight w:val="0"/>
                          <w:marTop w:val="0"/>
                          <w:marBottom w:val="0"/>
                          <w:divBdr>
                            <w:top w:val="none" w:sz="0" w:space="0" w:color="auto"/>
                            <w:left w:val="none" w:sz="0" w:space="0" w:color="auto"/>
                            <w:bottom w:val="none" w:sz="0" w:space="0" w:color="auto"/>
                            <w:right w:val="none" w:sz="0" w:space="0" w:color="auto"/>
                          </w:divBdr>
                        </w:div>
                        <w:div w:id="233976375">
                          <w:marLeft w:val="0"/>
                          <w:marRight w:val="0"/>
                          <w:marTop w:val="0"/>
                          <w:marBottom w:val="0"/>
                          <w:divBdr>
                            <w:top w:val="none" w:sz="0" w:space="0" w:color="auto"/>
                            <w:left w:val="none" w:sz="0" w:space="0" w:color="auto"/>
                            <w:bottom w:val="none" w:sz="0" w:space="0" w:color="auto"/>
                            <w:right w:val="none" w:sz="0" w:space="0" w:color="auto"/>
                          </w:divBdr>
                        </w:div>
                        <w:div w:id="1837764086">
                          <w:marLeft w:val="0"/>
                          <w:marRight w:val="0"/>
                          <w:marTop w:val="0"/>
                          <w:marBottom w:val="0"/>
                          <w:divBdr>
                            <w:top w:val="none" w:sz="0" w:space="0" w:color="auto"/>
                            <w:left w:val="none" w:sz="0" w:space="0" w:color="auto"/>
                            <w:bottom w:val="none" w:sz="0" w:space="0" w:color="auto"/>
                            <w:right w:val="none" w:sz="0" w:space="0" w:color="auto"/>
                          </w:divBdr>
                        </w:div>
                        <w:div w:id="793401171">
                          <w:marLeft w:val="0"/>
                          <w:marRight w:val="0"/>
                          <w:marTop w:val="0"/>
                          <w:marBottom w:val="0"/>
                          <w:divBdr>
                            <w:top w:val="none" w:sz="0" w:space="0" w:color="auto"/>
                            <w:left w:val="none" w:sz="0" w:space="0" w:color="auto"/>
                            <w:bottom w:val="none" w:sz="0" w:space="0" w:color="auto"/>
                            <w:right w:val="none" w:sz="0" w:space="0" w:color="auto"/>
                          </w:divBdr>
                        </w:div>
                      </w:divsChild>
                    </w:div>
                    <w:div w:id="1475179358">
                      <w:marLeft w:val="0"/>
                      <w:marRight w:val="0"/>
                      <w:marTop w:val="0"/>
                      <w:marBottom w:val="0"/>
                      <w:divBdr>
                        <w:top w:val="none" w:sz="0" w:space="0" w:color="auto"/>
                        <w:left w:val="none" w:sz="0" w:space="0" w:color="auto"/>
                        <w:bottom w:val="none" w:sz="0" w:space="0" w:color="auto"/>
                        <w:right w:val="none" w:sz="0" w:space="0" w:color="auto"/>
                      </w:divBdr>
                      <w:divsChild>
                        <w:div w:id="921842609">
                          <w:marLeft w:val="0"/>
                          <w:marRight w:val="0"/>
                          <w:marTop w:val="0"/>
                          <w:marBottom w:val="0"/>
                          <w:divBdr>
                            <w:top w:val="none" w:sz="0" w:space="0" w:color="auto"/>
                            <w:left w:val="none" w:sz="0" w:space="0" w:color="auto"/>
                            <w:bottom w:val="none" w:sz="0" w:space="0" w:color="auto"/>
                            <w:right w:val="none" w:sz="0" w:space="0" w:color="auto"/>
                          </w:divBdr>
                        </w:div>
                        <w:div w:id="385300393">
                          <w:marLeft w:val="0"/>
                          <w:marRight w:val="0"/>
                          <w:marTop w:val="0"/>
                          <w:marBottom w:val="0"/>
                          <w:divBdr>
                            <w:top w:val="none" w:sz="0" w:space="0" w:color="auto"/>
                            <w:left w:val="none" w:sz="0" w:space="0" w:color="auto"/>
                            <w:bottom w:val="none" w:sz="0" w:space="0" w:color="auto"/>
                            <w:right w:val="none" w:sz="0" w:space="0" w:color="auto"/>
                          </w:divBdr>
                        </w:div>
                        <w:div w:id="2119984172">
                          <w:marLeft w:val="0"/>
                          <w:marRight w:val="0"/>
                          <w:marTop w:val="0"/>
                          <w:marBottom w:val="0"/>
                          <w:divBdr>
                            <w:top w:val="none" w:sz="0" w:space="0" w:color="auto"/>
                            <w:left w:val="none" w:sz="0" w:space="0" w:color="auto"/>
                            <w:bottom w:val="none" w:sz="0" w:space="0" w:color="auto"/>
                            <w:right w:val="none" w:sz="0" w:space="0" w:color="auto"/>
                          </w:divBdr>
                        </w:div>
                        <w:div w:id="482892509">
                          <w:marLeft w:val="0"/>
                          <w:marRight w:val="0"/>
                          <w:marTop w:val="0"/>
                          <w:marBottom w:val="0"/>
                          <w:divBdr>
                            <w:top w:val="none" w:sz="0" w:space="0" w:color="auto"/>
                            <w:left w:val="none" w:sz="0" w:space="0" w:color="auto"/>
                            <w:bottom w:val="none" w:sz="0" w:space="0" w:color="auto"/>
                            <w:right w:val="none" w:sz="0" w:space="0" w:color="auto"/>
                          </w:divBdr>
                        </w:div>
                        <w:div w:id="1816948093">
                          <w:marLeft w:val="0"/>
                          <w:marRight w:val="0"/>
                          <w:marTop w:val="0"/>
                          <w:marBottom w:val="0"/>
                          <w:divBdr>
                            <w:top w:val="none" w:sz="0" w:space="0" w:color="auto"/>
                            <w:left w:val="none" w:sz="0" w:space="0" w:color="auto"/>
                            <w:bottom w:val="none" w:sz="0" w:space="0" w:color="auto"/>
                            <w:right w:val="none" w:sz="0" w:space="0" w:color="auto"/>
                          </w:divBdr>
                        </w:div>
                        <w:div w:id="193077700">
                          <w:marLeft w:val="0"/>
                          <w:marRight w:val="0"/>
                          <w:marTop w:val="0"/>
                          <w:marBottom w:val="0"/>
                          <w:divBdr>
                            <w:top w:val="none" w:sz="0" w:space="0" w:color="auto"/>
                            <w:left w:val="none" w:sz="0" w:space="0" w:color="auto"/>
                            <w:bottom w:val="none" w:sz="0" w:space="0" w:color="auto"/>
                            <w:right w:val="none" w:sz="0" w:space="0" w:color="auto"/>
                          </w:divBdr>
                        </w:div>
                        <w:div w:id="1939487205">
                          <w:marLeft w:val="0"/>
                          <w:marRight w:val="0"/>
                          <w:marTop w:val="0"/>
                          <w:marBottom w:val="0"/>
                          <w:divBdr>
                            <w:top w:val="none" w:sz="0" w:space="0" w:color="auto"/>
                            <w:left w:val="none" w:sz="0" w:space="0" w:color="auto"/>
                            <w:bottom w:val="none" w:sz="0" w:space="0" w:color="auto"/>
                            <w:right w:val="none" w:sz="0" w:space="0" w:color="auto"/>
                          </w:divBdr>
                        </w:div>
                        <w:div w:id="550389073">
                          <w:marLeft w:val="0"/>
                          <w:marRight w:val="0"/>
                          <w:marTop w:val="0"/>
                          <w:marBottom w:val="0"/>
                          <w:divBdr>
                            <w:top w:val="none" w:sz="0" w:space="0" w:color="auto"/>
                            <w:left w:val="none" w:sz="0" w:space="0" w:color="auto"/>
                            <w:bottom w:val="none" w:sz="0" w:space="0" w:color="auto"/>
                            <w:right w:val="none" w:sz="0" w:space="0" w:color="auto"/>
                          </w:divBdr>
                        </w:div>
                      </w:divsChild>
                    </w:div>
                    <w:div w:id="1971477347">
                      <w:marLeft w:val="0"/>
                      <w:marRight w:val="0"/>
                      <w:marTop w:val="0"/>
                      <w:marBottom w:val="0"/>
                      <w:divBdr>
                        <w:top w:val="none" w:sz="0" w:space="0" w:color="auto"/>
                        <w:left w:val="none" w:sz="0" w:space="0" w:color="auto"/>
                        <w:bottom w:val="none" w:sz="0" w:space="0" w:color="auto"/>
                        <w:right w:val="none" w:sz="0" w:space="0" w:color="auto"/>
                      </w:divBdr>
                      <w:divsChild>
                        <w:div w:id="326443726">
                          <w:marLeft w:val="0"/>
                          <w:marRight w:val="0"/>
                          <w:marTop w:val="0"/>
                          <w:marBottom w:val="0"/>
                          <w:divBdr>
                            <w:top w:val="none" w:sz="0" w:space="0" w:color="auto"/>
                            <w:left w:val="none" w:sz="0" w:space="0" w:color="auto"/>
                            <w:bottom w:val="none" w:sz="0" w:space="0" w:color="auto"/>
                            <w:right w:val="none" w:sz="0" w:space="0" w:color="auto"/>
                          </w:divBdr>
                        </w:div>
                        <w:div w:id="941959659">
                          <w:marLeft w:val="0"/>
                          <w:marRight w:val="0"/>
                          <w:marTop w:val="0"/>
                          <w:marBottom w:val="0"/>
                          <w:divBdr>
                            <w:top w:val="none" w:sz="0" w:space="0" w:color="auto"/>
                            <w:left w:val="none" w:sz="0" w:space="0" w:color="auto"/>
                            <w:bottom w:val="none" w:sz="0" w:space="0" w:color="auto"/>
                            <w:right w:val="none" w:sz="0" w:space="0" w:color="auto"/>
                          </w:divBdr>
                        </w:div>
                        <w:div w:id="65762815">
                          <w:marLeft w:val="0"/>
                          <w:marRight w:val="0"/>
                          <w:marTop w:val="0"/>
                          <w:marBottom w:val="0"/>
                          <w:divBdr>
                            <w:top w:val="none" w:sz="0" w:space="0" w:color="auto"/>
                            <w:left w:val="none" w:sz="0" w:space="0" w:color="auto"/>
                            <w:bottom w:val="none" w:sz="0" w:space="0" w:color="auto"/>
                            <w:right w:val="none" w:sz="0" w:space="0" w:color="auto"/>
                          </w:divBdr>
                        </w:div>
                        <w:div w:id="1356344988">
                          <w:marLeft w:val="0"/>
                          <w:marRight w:val="0"/>
                          <w:marTop w:val="0"/>
                          <w:marBottom w:val="0"/>
                          <w:divBdr>
                            <w:top w:val="none" w:sz="0" w:space="0" w:color="auto"/>
                            <w:left w:val="none" w:sz="0" w:space="0" w:color="auto"/>
                            <w:bottom w:val="none" w:sz="0" w:space="0" w:color="auto"/>
                            <w:right w:val="none" w:sz="0" w:space="0" w:color="auto"/>
                          </w:divBdr>
                        </w:div>
                        <w:div w:id="505294030">
                          <w:marLeft w:val="0"/>
                          <w:marRight w:val="0"/>
                          <w:marTop w:val="0"/>
                          <w:marBottom w:val="0"/>
                          <w:divBdr>
                            <w:top w:val="none" w:sz="0" w:space="0" w:color="auto"/>
                            <w:left w:val="none" w:sz="0" w:space="0" w:color="auto"/>
                            <w:bottom w:val="none" w:sz="0" w:space="0" w:color="auto"/>
                            <w:right w:val="none" w:sz="0" w:space="0" w:color="auto"/>
                          </w:divBdr>
                        </w:div>
                      </w:divsChild>
                    </w:div>
                    <w:div w:id="1694570734">
                      <w:marLeft w:val="0"/>
                      <w:marRight w:val="0"/>
                      <w:marTop w:val="0"/>
                      <w:marBottom w:val="0"/>
                      <w:divBdr>
                        <w:top w:val="none" w:sz="0" w:space="0" w:color="auto"/>
                        <w:left w:val="none" w:sz="0" w:space="0" w:color="auto"/>
                        <w:bottom w:val="none" w:sz="0" w:space="0" w:color="auto"/>
                        <w:right w:val="none" w:sz="0" w:space="0" w:color="auto"/>
                      </w:divBdr>
                      <w:divsChild>
                        <w:div w:id="222303255">
                          <w:marLeft w:val="0"/>
                          <w:marRight w:val="0"/>
                          <w:marTop w:val="0"/>
                          <w:marBottom w:val="0"/>
                          <w:divBdr>
                            <w:top w:val="none" w:sz="0" w:space="0" w:color="auto"/>
                            <w:left w:val="none" w:sz="0" w:space="0" w:color="auto"/>
                            <w:bottom w:val="none" w:sz="0" w:space="0" w:color="auto"/>
                            <w:right w:val="none" w:sz="0" w:space="0" w:color="auto"/>
                          </w:divBdr>
                        </w:div>
                        <w:div w:id="2092849686">
                          <w:marLeft w:val="0"/>
                          <w:marRight w:val="0"/>
                          <w:marTop w:val="0"/>
                          <w:marBottom w:val="0"/>
                          <w:divBdr>
                            <w:top w:val="none" w:sz="0" w:space="0" w:color="auto"/>
                            <w:left w:val="none" w:sz="0" w:space="0" w:color="auto"/>
                            <w:bottom w:val="none" w:sz="0" w:space="0" w:color="auto"/>
                            <w:right w:val="none" w:sz="0" w:space="0" w:color="auto"/>
                          </w:divBdr>
                        </w:div>
                        <w:div w:id="353966391">
                          <w:marLeft w:val="0"/>
                          <w:marRight w:val="0"/>
                          <w:marTop w:val="0"/>
                          <w:marBottom w:val="0"/>
                          <w:divBdr>
                            <w:top w:val="none" w:sz="0" w:space="0" w:color="auto"/>
                            <w:left w:val="none" w:sz="0" w:space="0" w:color="auto"/>
                            <w:bottom w:val="none" w:sz="0" w:space="0" w:color="auto"/>
                            <w:right w:val="none" w:sz="0" w:space="0" w:color="auto"/>
                          </w:divBdr>
                        </w:div>
                      </w:divsChild>
                    </w:div>
                    <w:div w:id="1715041208">
                      <w:marLeft w:val="0"/>
                      <w:marRight w:val="0"/>
                      <w:marTop w:val="0"/>
                      <w:marBottom w:val="0"/>
                      <w:divBdr>
                        <w:top w:val="none" w:sz="0" w:space="0" w:color="auto"/>
                        <w:left w:val="none" w:sz="0" w:space="0" w:color="auto"/>
                        <w:bottom w:val="none" w:sz="0" w:space="0" w:color="auto"/>
                        <w:right w:val="none" w:sz="0" w:space="0" w:color="auto"/>
                      </w:divBdr>
                      <w:divsChild>
                        <w:div w:id="1883787132">
                          <w:marLeft w:val="0"/>
                          <w:marRight w:val="0"/>
                          <w:marTop w:val="0"/>
                          <w:marBottom w:val="0"/>
                          <w:divBdr>
                            <w:top w:val="none" w:sz="0" w:space="0" w:color="auto"/>
                            <w:left w:val="none" w:sz="0" w:space="0" w:color="auto"/>
                            <w:bottom w:val="none" w:sz="0" w:space="0" w:color="auto"/>
                            <w:right w:val="none" w:sz="0" w:space="0" w:color="auto"/>
                          </w:divBdr>
                        </w:div>
                        <w:div w:id="1461149250">
                          <w:marLeft w:val="0"/>
                          <w:marRight w:val="0"/>
                          <w:marTop w:val="0"/>
                          <w:marBottom w:val="0"/>
                          <w:divBdr>
                            <w:top w:val="none" w:sz="0" w:space="0" w:color="auto"/>
                            <w:left w:val="none" w:sz="0" w:space="0" w:color="auto"/>
                            <w:bottom w:val="none" w:sz="0" w:space="0" w:color="auto"/>
                            <w:right w:val="none" w:sz="0" w:space="0" w:color="auto"/>
                          </w:divBdr>
                        </w:div>
                        <w:div w:id="878392422">
                          <w:marLeft w:val="0"/>
                          <w:marRight w:val="0"/>
                          <w:marTop w:val="0"/>
                          <w:marBottom w:val="0"/>
                          <w:divBdr>
                            <w:top w:val="none" w:sz="0" w:space="0" w:color="auto"/>
                            <w:left w:val="none" w:sz="0" w:space="0" w:color="auto"/>
                            <w:bottom w:val="none" w:sz="0" w:space="0" w:color="auto"/>
                            <w:right w:val="none" w:sz="0" w:space="0" w:color="auto"/>
                          </w:divBdr>
                        </w:div>
                        <w:div w:id="1360545307">
                          <w:marLeft w:val="0"/>
                          <w:marRight w:val="0"/>
                          <w:marTop w:val="0"/>
                          <w:marBottom w:val="0"/>
                          <w:divBdr>
                            <w:top w:val="none" w:sz="0" w:space="0" w:color="auto"/>
                            <w:left w:val="none" w:sz="0" w:space="0" w:color="auto"/>
                            <w:bottom w:val="none" w:sz="0" w:space="0" w:color="auto"/>
                            <w:right w:val="none" w:sz="0" w:space="0" w:color="auto"/>
                          </w:divBdr>
                        </w:div>
                        <w:div w:id="618874090">
                          <w:marLeft w:val="0"/>
                          <w:marRight w:val="0"/>
                          <w:marTop w:val="0"/>
                          <w:marBottom w:val="0"/>
                          <w:divBdr>
                            <w:top w:val="none" w:sz="0" w:space="0" w:color="auto"/>
                            <w:left w:val="none" w:sz="0" w:space="0" w:color="auto"/>
                            <w:bottom w:val="none" w:sz="0" w:space="0" w:color="auto"/>
                            <w:right w:val="none" w:sz="0" w:space="0" w:color="auto"/>
                          </w:divBdr>
                        </w:div>
                        <w:div w:id="1496602188">
                          <w:marLeft w:val="0"/>
                          <w:marRight w:val="0"/>
                          <w:marTop w:val="0"/>
                          <w:marBottom w:val="0"/>
                          <w:divBdr>
                            <w:top w:val="none" w:sz="0" w:space="0" w:color="auto"/>
                            <w:left w:val="none" w:sz="0" w:space="0" w:color="auto"/>
                            <w:bottom w:val="none" w:sz="0" w:space="0" w:color="auto"/>
                            <w:right w:val="none" w:sz="0" w:space="0" w:color="auto"/>
                          </w:divBdr>
                        </w:div>
                        <w:div w:id="1020199611">
                          <w:marLeft w:val="0"/>
                          <w:marRight w:val="0"/>
                          <w:marTop w:val="0"/>
                          <w:marBottom w:val="0"/>
                          <w:divBdr>
                            <w:top w:val="none" w:sz="0" w:space="0" w:color="auto"/>
                            <w:left w:val="none" w:sz="0" w:space="0" w:color="auto"/>
                            <w:bottom w:val="none" w:sz="0" w:space="0" w:color="auto"/>
                            <w:right w:val="none" w:sz="0" w:space="0" w:color="auto"/>
                          </w:divBdr>
                        </w:div>
                        <w:div w:id="1052576989">
                          <w:marLeft w:val="0"/>
                          <w:marRight w:val="0"/>
                          <w:marTop w:val="0"/>
                          <w:marBottom w:val="0"/>
                          <w:divBdr>
                            <w:top w:val="none" w:sz="0" w:space="0" w:color="auto"/>
                            <w:left w:val="none" w:sz="0" w:space="0" w:color="auto"/>
                            <w:bottom w:val="none" w:sz="0" w:space="0" w:color="auto"/>
                            <w:right w:val="none" w:sz="0" w:space="0" w:color="auto"/>
                          </w:divBdr>
                        </w:div>
                        <w:div w:id="1486319672">
                          <w:marLeft w:val="0"/>
                          <w:marRight w:val="0"/>
                          <w:marTop w:val="0"/>
                          <w:marBottom w:val="0"/>
                          <w:divBdr>
                            <w:top w:val="none" w:sz="0" w:space="0" w:color="auto"/>
                            <w:left w:val="none" w:sz="0" w:space="0" w:color="auto"/>
                            <w:bottom w:val="none" w:sz="0" w:space="0" w:color="auto"/>
                            <w:right w:val="none" w:sz="0" w:space="0" w:color="auto"/>
                          </w:divBdr>
                        </w:div>
                        <w:div w:id="942300912">
                          <w:marLeft w:val="0"/>
                          <w:marRight w:val="0"/>
                          <w:marTop w:val="0"/>
                          <w:marBottom w:val="0"/>
                          <w:divBdr>
                            <w:top w:val="none" w:sz="0" w:space="0" w:color="auto"/>
                            <w:left w:val="none" w:sz="0" w:space="0" w:color="auto"/>
                            <w:bottom w:val="none" w:sz="0" w:space="0" w:color="auto"/>
                            <w:right w:val="none" w:sz="0" w:space="0" w:color="auto"/>
                          </w:divBdr>
                        </w:div>
                        <w:div w:id="886185667">
                          <w:marLeft w:val="0"/>
                          <w:marRight w:val="0"/>
                          <w:marTop w:val="0"/>
                          <w:marBottom w:val="0"/>
                          <w:divBdr>
                            <w:top w:val="none" w:sz="0" w:space="0" w:color="auto"/>
                            <w:left w:val="none" w:sz="0" w:space="0" w:color="auto"/>
                            <w:bottom w:val="none" w:sz="0" w:space="0" w:color="auto"/>
                            <w:right w:val="none" w:sz="0" w:space="0" w:color="auto"/>
                          </w:divBdr>
                        </w:div>
                        <w:div w:id="1106460495">
                          <w:marLeft w:val="0"/>
                          <w:marRight w:val="0"/>
                          <w:marTop w:val="0"/>
                          <w:marBottom w:val="0"/>
                          <w:divBdr>
                            <w:top w:val="none" w:sz="0" w:space="0" w:color="auto"/>
                            <w:left w:val="none" w:sz="0" w:space="0" w:color="auto"/>
                            <w:bottom w:val="none" w:sz="0" w:space="0" w:color="auto"/>
                            <w:right w:val="none" w:sz="0" w:space="0" w:color="auto"/>
                          </w:divBdr>
                        </w:div>
                      </w:divsChild>
                    </w:div>
                    <w:div w:id="1885947486">
                      <w:marLeft w:val="0"/>
                      <w:marRight w:val="0"/>
                      <w:marTop w:val="0"/>
                      <w:marBottom w:val="0"/>
                      <w:divBdr>
                        <w:top w:val="none" w:sz="0" w:space="0" w:color="auto"/>
                        <w:left w:val="none" w:sz="0" w:space="0" w:color="auto"/>
                        <w:bottom w:val="none" w:sz="0" w:space="0" w:color="auto"/>
                        <w:right w:val="none" w:sz="0" w:space="0" w:color="auto"/>
                      </w:divBdr>
                      <w:divsChild>
                        <w:div w:id="1950307373">
                          <w:marLeft w:val="0"/>
                          <w:marRight w:val="0"/>
                          <w:marTop w:val="0"/>
                          <w:marBottom w:val="0"/>
                          <w:divBdr>
                            <w:top w:val="none" w:sz="0" w:space="0" w:color="auto"/>
                            <w:left w:val="none" w:sz="0" w:space="0" w:color="auto"/>
                            <w:bottom w:val="none" w:sz="0" w:space="0" w:color="auto"/>
                            <w:right w:val="none" w:sz="0" w:space="0" w:color="auto"/>
                          </w:divBdr>
                        </w:div>
                        <w:div w:id="1485006214">
                          <w:marLeft w:val="0"/>
                          <w:marRight w:val="0"/>
                          <w:marTop w:val="0"/>
                          <w:marBottom w:val="0"/>
                          <w:divBdr>
                            <w:top w:val="none" w:sz="0" w:space="0" w:color="auto"/>
                            <w:left w:val="none" w:sz="0" w:space="0" w:color="auto"/>
                            <w:bottom w:val="none" w:sz="0" w:space="0" w:color="auto"/>
                            <w:right w:val="none" w:sz="0" w:space="0" w:color="auto"/>
                          </w:divBdr>
                        </w:div>
                        <w:div w:id="2030637357">
                          <w:marLeft w:val="0"/>
                          <w:marRight w:val="0"/>
                          <w:marTop w:val="0"/>
                          <w:marBottom w:val="0"/>
                          <w:divBdr>
                            <w:top w:val="none" w:sz="0" w:space="0" w:color="auto"/>
                            <w:left w:val="none" w:sz="0" w:space="0" w:color="auto"/>
                            <w:bottom w:val="none" w:sz="0" w:space="0" w:color="auto"/>
                            <w:right w:val="none" w:sz="0" w:space="0" w:color="auto"/>
                          </w:divBdr>
                        </w:div>
                      </w:divsChild>
                    </w:div>
                    <w:div w:id="1828476725">
                      <w:marLeft w:val="0"/>
                      <w:marRight w:val="0"/>
                      <w:marTop w:val="0"/>
                      <w:marBottom w:val="0"/>
                      <w:divBdr>
                        <w:top w:val="none" w:sz="0" w:space="0" w:color="auto"/>
                        <w:left w:val="none" w:sz="0" w:space="0" w:color="auto"/>
                        <w:bottom w:val="none" w:sz="0" w:space="0" w:color="auto"/>
                        <w:right w:val="none" w:sz="0" w:space="0" w:color="auto"/>
                      </w:divBdr>
                      <w:divsChild>
                        <w:div w:id="457996425">
                          <w:marLeft w:val="0"/>
                          <w:marRight w:val="0"/>
                          <w:marTop w:val="0"/>
                          <w:marBottom w:val="0"/>
                          <w:divBdr>
                            <w:top w:val="none" w:sz="0" w:space="0" w:color="auto"/>
                            <w:left w:val="none" w:sz="0" w:space="0" w:color="auto"/>
                            <w:bottom w:val="none" w:sz="0" w:space="0" w:color="auto"/>
                            <w:right w:val="none" w:sz="0" w:space="0" w:color="auto"/>
                          </w:divBdr>
                        </w:div>
                        <w:div w:id="956716209">
                          <w:marLeft w:val="0"/>
                          <w:marRight w:val="0"/>
                          <w:marTop w:val="0"/>
                          <w:marBottom w:val="0"/>
                          <w:divBdr>
                            <w:top w:val="none" w:sz="0" w:space="0" w:color="auto"/>
                            <w:left w:val="none" w:sz="0" w:space="0" w:color="auto"/>
                            <w:bottom w:val="none" w:sz="0" w:space="0" w:color="auto"/>
                            <w:right w:val="none" w:sz="0" w:space="0" w:color="auto"/>
                          </w:divBdr>
                        </w:div>
                        <w:div w:id="594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6217">
              <w:marLeft w:val="0"/>
              <w:marRight w:val="0"/>
              <w:marTop w:val="0"/>
              <w:marBottom w:val="0"/>
              <w:divBdr>
                <w:top w:val="none" w:sz="0" w:space="0" w:color="auto"/>
                <w:left w:val="none" w:sz="0" w:space="0" w:color="auto"/>
                <w:bottom w:val="none" w:sz="0" w:space="0" w:color="auto"/>
                <w:right w:val="none" w:sz="0" w:space="0" w:color="auto"/>
              </w:divBdr>
              <w:divsChild>
                <w:div w:id="1946888789">
                  <w:marLeft w:val="0"/>
                  <w:marRight w:val="0"/>
                  <w:marTop w:val="0"/>
                  <w:marBottom w:val="0"/>
                  <w:divBdr>
                    <w:top w:val="none" w:sz="0" w:space="0" w:color="auto"/>
                    <w:left w:val="none" w:sz="0" w:space="0" w:color="auto"/>
                    <w:bottom w:val="none" w:sz="0" w:space="0" w:color="auto"/>
                    <w:right w:val="none" w:sz="0" w:space="0" w:color="auto"/>
                  </w:divBdr>
                </w:div>
                <w:div w:id="576137363">
                  <w:marLeft w:val="0"/>
                  <w:marRight w:val="0"/>
                  <w:marTop w:val="0"/>
                  <w:marBottom w:val="0"/>
                  <w:divBdr>
                    <w:top w:val="none" w:sz="0" w:space="0" w:color="auto"/>
                    <w:left w:val="none" w:sz="0" w:space="0" w:color="auto"/>
                    <w:bottom w:val="none" w:sz="0" w:space="0" w:color="auto"/>
                    <w:right w:val="none" w:sz="0" w:space="0" w:color="auto"/>
                  </w:divBdr>
                  <w:divsChild>
                    <w:div w:id="379480396">
                      <w:marLeft w:val="0"/>
                      <w:marRight w:val="0"/>
                      <w:marTop w:val="0"/>
                      <w:marBottom w:val="0"/>
                      <w:divBdr>
                        <w:top w:val="none" w:sz="0" w:space="0" w:color="auto"/>
                        <w:left w:val="none" w:sz="0" w:space="0" w:color="auto"/>
                        <w:bottom w:val="none" w:sz="0" w:space="0" w:color="auto"/>
                        <w:right w:val="none" w:sz="0" w:space="0" w:color="auto"/>
                      </w:divBdr>
                    </w:div>
                    <w:div w:id="2000428517">
                      <w:marLeft w:val="0"/>
                      <w:marRight w:val="0"/>
                      <w:marTop w:val="0"/>
                      <w:marBottom w:val="0"/>
                      <w:divBdr>
                        <w:top w:val="none" w:sz="0" w:space="0" w:color="auto"/>
                        <w:left w:val="none" w:sz="0" w:space="0" w:color="auto"/>
                        <w:bottom w:val="none" w:sz="0" w:space="0" w:color="auto"/>
                        <w:right w:val="none" w:sz="0" w:space="0" w:color="auto"/>
                      </w:divBdr>
                    </w:div>
                    <w:div w:id="2035574845">
                      <w:marLeft w:val="0"/>
                      <w:marRight w:val="0"/>
                      <w:marTop w:val="0"/>
                      <w:marBottom w:val="0"/>
                      <w:divBdr>
                        <w:top w:val="none" w:sz="0" w:space="0" w:color="auto"/>
                        <w:left w:val="none" w:sz="0" w:space="0" w:color="auto"/>
                        <w:bottom w:val="none" w:sz="0" w:space="0" w:color="auto"/>
                        <w:right w:val="none" w:sz="0" w:space="0" w:color="auto"/>
                      </w:divBdr>
                    </w:div>
                    <w:div w:id="132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868">
              <w:marLeft w:val="0"/>
              <w:marRight w:val="0"/>
              <w:marTop w:val="0"/>
              <w:marBottom w:val="0"/>
              <w:divBdr>
                <w:top w:val="none" w:sz="0" w:space="0" w:color="auto"/>
                <w:left w:val="none" w:sz="0" w:space="0" w:color="auto"/>
                <w:bottom w:val="none" w:sz="0" w:space="0" w:color="auto"/>
                <w:right w:val="none" w:sz="0" w:space="0" w:color="auto"/>
              </w:divBdr>
              <w:divsChild>
                <w:div w:id="1771656299">
                  <w:marLeft w:val="0"/>
                  <w:marRight w:val="0"/>
                  <w:marTop w:val="0"/>
                  <w:marBottom w:val="0"/>
                  <w:divBdr>
                    <w:top w:val="none" w:sz="0" w:space="0" w:color="auto"/>
                    <w:left w:val="none" w:sz="0" w:space="0" w:color="auto"/>
                    <w:bottom w:val="none" w:sz="0" w:space="0" w:color="auto"/>
                    <w:right w:val="none" w:sz="0" w:space="0" w:color="auto"/>
                  </w:divBdr>
                </w:div>
                <w:div w:id="1214075842">
                  <w:marLeft w:val="0"/>
                  <w:marRight w:val="0"/>
                  <w:marTop w:val="0"/>
                  <w:marBottom w:val="0"/>
                  <w:divBdr>
                    <w:top w:val="none" w:sz="0" w:space="0" w:color="auto"/>
                    <w:left w:val="none" w:sz="0" w:space="0" w:color="auto"/>
                    <w:bottom w:val="none" w:sz="0" w:space="0" w:color="auto"/>
                    <w:right w:val="none" w:sz="0" w:space="0" w:color="auto"/>
                  </w:divBdr>
                  <w:divsChild>
                    <w:div w:id="965115438">
                      <w:marLeft w:val="0"/>
                      <w:marRight w:val="0"/>
                      <w:marTop w:val="0"/>
                      <w:marBottom w:val="0"/>
                      <w:divBdr>
                        <w:top w:val="none" w:sz="0" w:space="0" w:color="auto"/>
                        <w:left w:val="none" w:sz="0" w:space="0" w:color="auto"/>
                        <w:bottom w:val="none" w:sz="0" w:space="0" w:color="auto"/>
                        <w:right w:val="none" w:sz="0" w:space="0" w:color="auto"/>
                      </w:divBdr>
                    </w:div>
                  </w:divsChild>
                </w:div>
                <w:div w:id="1232885175">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 w:id="1830755874">
                      <w:marLeft w:val="0"/>
                      <w:marRight w:val="0"/>
                      <w:marTop w:val="0"/>
                      <w:marBottom w:val="0"/>
                      <w:divBdr>
                        <w:top w:val="none" w:sz="0" w:space="0" w:color="auto"/>
                        <w:left w:val="none" w:sz="0" w:space="0" w:color="auto"/>
                        <w:bottom w:val="none" w:sz="0" w:space="0" w:color="auto"/>
                        <w:right w:val="none" w:sz="0" w:space="0" w:color="auto"/>
                      </w:divBdr>
                    </w:div>
                    <w:div w:id="480318203">
                      <w:marLeft w:val="0"/>
                      <w:marRight w:val="0"/>
                      <w:marTop w:val="0"/>
                      <w:marBottom w:val="0"/>
                      <w:divBdr>
                        <w:top w:val="none" w:sz="0" w:space="0" w:color="auto"/>
                        <w:left w:val="none" w:sz="0" w:space="0" w:color="auto"/>
                        <w:bottom w:val="none" w:sz="0" w:space="0" w:color="auto"/>
                        <w:right w:val="none" w:sz="0" w:space="0" w:color="auto"/>
                      </w:divBdr>
                    </w:div>
                    <w:div w:id="941492954">
                      <w:marLeft w:val="0"/>
                      <w:marRight w:val="0"/>
                      <w:marTop w:val="0"/>
                      <w:marBottom w:val="0"/>
                      <w:divBdr>
                        <w:top w:val="none" w:sz="0" w:space="0" w:color="auto"/>
                        <w:left w:val="none" w:sz="0" w:space="0" w:color="auto"/>
                        <w:bottom w:val="none" w:sz="0" w:space="0" w:color="auto"/>
                        <w:right w:val="none" w:sz="0" w:space="0" w:color="auto"/>
                      </w:divBdr>
                    </w:div>
                    <w:div w:id="1311590884">
                      <w:marLeft w:val="0"/>
                      <w:marRight w:val="0"/>
                      <w:marTop w:val="0"/>
                      <w:marBottom w:val="0"/>
                      <w:divBdr>
                        <w:top w:val="none" w:sz="0" w:space="0" w:color="auto"/>
                        <w:left w:val="none" w:sz="0" w:space="0" w:color="auto"/>
                        <w:bottom w:val="none" w:sz="0" w:space="0" w:color="auto"/>
                        <w:right w:val="none" w:sz="0" w:space="0" w:color="auto"/>
                      </w:divBdr>
                    </w:div>
                  </w:divsChild>
                </w:div>
                <w:div w:id="552885218">
                  <w:marLeft w:val="0"/>
                  <w:marRight w:val="0"/>
                  <w:marTop w:val="0"/>
                  <w:marBottom w:val="0"/>
                  <w:divBdr>
                    <w:top w:val="none" w:sz="0" w:space="0" w:color="auto"/>
                    <w:left w:val="none" w:sz="0" w:space="0" w:color="auto"/>
                    <w:bottom w:val="none" w:sz="0" w:space="0" w:color="auto"/>
                    <w:right w:val="none" w:sz="0" w:space="0" w:color="auto"/>
                  </w:divBdr>
                  <w:divsChild>
                    <w:div w:id="1963268562">
                      <w:marLeft w:val="0"/>
                      <w:marRight w:val="0"/>
                      <w:marTop w:val="0"/>
                      <w:marBottom w:val="0"/>
                      <w:divBdr>
                        <w:top w:val="none" w:sz="0" w:space="0" w:color="auto"/>
                        <w:left w:val="none" w:sz="0" w:space="0" w:color="auto"/>
                        <w:bottom w:val="none" w:sz="0" w:space="0" w:color="auto"/>
                        <w:right w:val="none" w:sz="0" w:space="0" w:color="auto"/>
                      </w:divBdr>
                    </w:div>
                    <w:div w:id="399133842">
                      <w:marLeft w:val="0"/>
                      <w:marRight w:val="0"/>
                      <w:marTop w:val="0"/>
                      <w:marBottom w:val="0"/>
                      <w:divBdr>
                        <w:top w:val="none" w:sz="0" w:space="0" w:color="auto"/>
                        <w:left w:val="none" w:sz="0" w:space="0" w:color="auto"/>
                        <w:bottom w:val="none" w:sz="0" w:space="0" w:color="auto"/>
                        <w:right w:val="none" w:sz="0" w:space="0" w:color="auto"/>
                      </w:divBdr>
                    </w:div>
                    <w:div w:id="651257464">
                      <w:marLeft w:val="0"/>
                      <w:marRight w:val="0"/>
                      <w:marTop w:val="0"/>
                      <w:marBottom w:val="0"/>
                      <w:divBdr>
                        <w:top w:val="none" w:sz="0" w:space="0" w:color="auto"/>
                        <w:left w:val="none" w:sz="0" w:space="0" w:color="auto"/>
                        <w:bottom w:val="none" w:sz="0" w:space="0" w:color="auto"/>
                        <w:right w:val="none" w:sz="0" w:space="0" w:color="auto"/>
                      </w:divBdr>
                    </w:div>
                  </w:divsChild>
                </w:div>
                <w:div w:id="1806317840">
                  <w:marLeft w:val="0"/>
                  <w:marRight w:val="0"/>
                  <w:marTop w:val="0"/>
                  <w:marBottom w:val="0"/>
                  <w:divBdr>
                    <w:top w:val="none" w:sz="0" w:space="0" w:color="auto"/>
                    <w:left w:val="none" w:sz="0" w:space="0" w:color="auto"/>
                    <w:bottom w:val="none" w:sz="0" w:space="0" w:color="auto"/>
                    <w:right w:val="none" w:sz="0" w:space="0" w:color="auto"/>
                  </w:divBdr>
                  <w:divsChild>
                    <w:div w:id="104614316">
                      <w:marLeft w:val="0"/>
                      <w:marRight w:val="0"/>
                      <w:marTop w:val="0"/>
                      <w:marBottom w:val="0"/>
                      <w:divBdr>
                        <w:top w:val="none" w:sz="0" w:space="0" w:color="auto"/>
                        <w:left w:val="none" w:sz="0" w:space="0" w:color="auto"/>
                        <w:bottom w:val="none" w:sz="0" w:space="0" w:color="auto"/>
                        <w:right w:val="none" w:sz="0" w:space="0" w:color="auto"/>
                      </w:divBdr>
                    </w:div>
                    <w:div w:id="1526795840">
                      <w:marLeft w:val="0"/>
                      <w:marRight w:val="0"/>
                      <w:marTop w:val="0"/>
                      <w:marBottom w:val="0"/>
                      <w:divBdr>
                        <w:top w:val="none" w:sz="0" w:space="0" w:color="auto"/>
                        <w:left w:val="none" w:sz="0" w:space="0" w:color="auto"/>
                        <w:bottom w:val="none" w:sz="0" w:space="0" w:color="auto"/>
                        <w:right w:val="none" w:sz="0" w:space="0" w:color="auto"/>
                      </w:divBdr>
                    </w:div>
                    <w:div w:id="871266449">
                      <w:marLeft w:val="0"/>
                      <w:marRight w:val="0"/>
                      <w:marTop w:val="0"/>
                      <w:marBottom w:val="0"/>
                      <w:divBdr>
                        <w:top w:val="none" w:sz="0" w:space="0" w:color="auto"/>
                        <w:left w:val="none" w:sz="0" w:space="0" w:color="auto"/>
                        <w:bottom w:val="none" w:sz="0" w:space="0" w:color="auto"/>
                        <w:right w:val="none" w:sz="0" w:space="0" w:color="auto"/>
                      </w:divBdr>
                    </w:div>
                  </w:divsChild>
                </w:div>
                <w:div w:id="314647503">
                  <w:marLeft w:val="0"/>
                  <w:marRight w:val="0"/>
                  <w:marTop w:val="0"/>
                  <w:marBottom w:val="0"/>
                  <w:divBdr>
                    <w:top w:val="none" w:sz="0" w:space="0" w:color="auto"/>
                    <w:left w:val="none" w:sz="0" w:space="0" w:color="auto"/>
                    <w:bottom w:val="none" w:sz="0" w:space="0" w:color="auto"/>
                    <w:right w:val="none" w:sz="0" w:space="0" w:color="auto"/>
                  </w:divBdr>
                  <w:divsChild>
                    <w:div w:id="789670424">
                      <w:marLeft w:val="0"/>
                      <w:marRight w:val="0"/>
                      <w:marTop w:val="0"/>
                      <w:marBottom w:val="0"/>
                      <w:divBdr>
                        <w:top w:val="none" w:sz="0" w:space="0" w:color="auto"/>
                        <w:left w:val="none" w:sz="0" w:space="0" w:color="auto"/>
                        <w:bottom w:val="none" w:sz="0" w:space="0" w:color="auto"/>
                        <w:right w:val="none" w:sz="0" w:space="0" w:color="auto"/>
                      </w:divBdr>
                    </w:div>
                    <w:div w:id="1346857380">
                      <w:marLeft w:val="0"/>
                      <w:marRight w:val="0"/>
                      <w:marTop w:val="0"/>
                      <w:marBottom w:val="0"/>
                      <w:divBdr>
                        <w:top w:val="none" w:sz="0" w:space="0" w:color="auto"/>
                        <w:left w:val="none" w:sz="0" w:space="0" w:color="auto"/>
                        <w:bottom w:val="none" w:sz="0" w:space="0" w:color="auto"/>
                        <w:right w:val="none" w:sz="0" w:space="0" w:color="auto"/>
                      </w:divBdr>
                    </w:div>
                    <w:div w:id="925505164">
                      <w:marLeft w:val="0"/>
                      <w:marRight w:val="0"/>
                      <w:marTop w:val="0"/>
                      <w:marBottom w:val="0"/>
                      <w:divBdr>
                        <w:top w:val="none" w:sz="0" w:space="0" w:color="auto"/>
                        <w:left w:val="none" w:sz="0" w:space="0" w:color="auto"/>
                        <w:bottom w:val="none" w:sz="0" w:space="0" w:color="auto"/>
                        <w:right w:val="none" w:sz="0" w:space="0" w:color="auto"/>
                      </w:divBdr>
                    </w:div>
                    <w:div w:id="431704468">
                      <w:marLeft w:val="0"/>
                      <w:marRight w:val="0"/>
                      <w:marTop w:val="0"/>
                      <w:marBottom w:val="0"/>
                      <w:divBdr>
                        <w:top w:val="none" w:sz="0" w:space="0" w:color="auto"/>
                        <w:left w:val="none" w:sz="0" w:space="0" w:color="auto"/>
                        <w:bottom w:val="none" w:sz="0" w:space="0" w:color="auto"/>
                        <w:right w:val="none" w:sz="0" w:space="0" w:color="auto"/>
                      </w:divBdr>
                    </w:div>
                    <w:div w:id="7290674">
                      <w:marLeft w:val="0"/>
                      <w:marRight w:val="0"/>
                      <w:marTop w:val="0"/>
                      <w:marBottom w:val="0"/>
                      <w:divBdr>
                        <w:top w:val="none" w:sz="0" w:space="0" w:color="auto"/>
                        <w:left w:val="none" w:sz="0" w:space="0" w:color="auto"/>
                        <w:bottom w:val="none" w:sz="0" w:space="0" w:color="auto"/>
                        <w:right w:val="none" w:sz="0" w:space="0" w:color="auto"/>
                      </w:divBdr>
                    </w:div>
                    <w:div w:id="183791532">
                      <w:marLeft w:val="0"/>
                      <w:marRight w:val="0"/>
                      <w:marTop w:val="0"/>
                      <w:marBottom w:val="0"/>
                      <w:divBdr>
                        <w:top w:val="none" w:sz="0" w:space="0" w:color="auto"/>
                        <w:left w:val="none" w:sz="0" w:space="0" w:color="auto"/>
                        <w:bottom w:val="none" w:sz="0" w:space="0" w:color="auto"/>
                        <w:right w:val="none" w:sz="0" w:space="0" w:color="auto"/>
                      </w:divBdr>
                    </w:div>
                    <w:div w:id="1411275933">
                      <w:marLeft w:val="0"/>
                      <w:marRight w:val="0"/>
                      <w:marTop w:val="0"/>
                      <w:marBottom w:val="0"/>
                      <w:divBdr>
                        <w:top w:val="none" w:sz="0" w:space="0" w:color="auto"/>
                        <w:left w:val="none" w:sz="0" w:space="0" w:color="auto"/>
                        <w:bottom w:val="none" w:sz="0" w:space="0" w:color="auto"/>
                        <w:right w:val="none" w:sz="0" w:space="0" w:color="auto"/>
                      </w:divBdr>
                    </w:div>
                  </w:divsChild>
                </w:div>
                <w:div w:id="107362685">
                  <w:marLeft w:val="0"/>
                  <w:marRight w:val="0"/>
                  <w:marTop w:val="0"/>
                  <w:marBottom w:val="0"/>
                  <w:divBdr>
                    <w:top w:val="none" w:sz="0" w:space="0" w:color="auto"/>
                    <w:left w:val="none" w:sz="0" w:space="0" w:color="auto"/>
                    <w:bottom w:val="none" w:sz="0" w:space="0" w:color="auto"/>
                    <w:right w:val="none" w:sz="0" w:space="0" w:color="auto"/>
                  </w:divBdr>
                  <w:divsChild>
                    <w:div w:id="1035617196">
                      <w:marLeft w:val="0"/>
                      <w:marRight w:val="0"/>
                      <w:marTop w:val="0"/>
                      <w:marBottom w:val="0"/>
                      <w:divBdr>
                        <w:top w:val="none" w:sz="0" w:space="0" w:color="auto"/>
                        <w:left w:val="none" w:sz="0" w:space="0" w:color="auto"/>
                        <w:bottom w:val="none" w:sz="0" w:space="0" w:color="auto"/>
                        <w:right w:val="none" w:sz="0" w:space="0" w:color="auto"/>
                      </w:divBdr>
                    </w:div>
                    <w:div w:id="1804157083">
                      <w:marLeft w:val="0"/>
                      <w:marRight w:val="0"/>
                      <w:marTop w:val="0"/>
                      <w:marBottom w:val="0"/>
                      <w:divBdr>
                        <w:top w:val="none" w:sz="0" w:space="0" w:color="auto"/>
                        <w:left w:val="none" w:sz="0" w:space="0" w:color="auto"/>
                        <w:bottom w:val="none" w:sz="0" w:space="0" w:color="auto"/>
                        <w:right w:val="none" w:sz="0" w:space="0" w:color="auto"/>
                      </w:divBdr>
                    </w:div>
                    <w:div w:id="954216852">
                      <w:marLeft w:val="0"/>
                      <w:marRight w:val="0"/>
                      <w:marTop w:val="0"/>
                      <w:marBottom w:val="0"/>
                      <w:divBdr>
                        <w:top w:val="none" w:sz="0" w:space="0" w:color="auto"/>
                        <w:left w:val="none" w:sz="0" w:space="0" w:color="auto"/>
                        <w:bottom w:val="none" w:sz="0" w:space="0" w:color="auto"/>
                        <w:right w:val="none" w:sz="0" w:space="0" w:color="auto"/>
                      </w:divBdr>
                    </w:div>
                  </w:divsChild>
                </w:div>
                <w:div w:id="2117869282">
                  <w:marLeft w:val="0"/>
                  <w:marRight w:val="0"/>
                  <w:marTop w:val="0"/>
                  <w:marBottom w:val="0"/>
                  <w:divBdr>
                    <w:top w:val="none" w:sz="0" w:space="0" w:color="auto"/>
                    <w:left w:val="none" w:sz="0" w:space="0" w:color="auto"/>
                    <w:bottom w:val="none" w:sz="0" w:space="0" w:color="auto"/>
                    <w:right w:val="none" w:sz="0" w:space="0" w:color="auto"/>
                  </w:divBdr>
                  <w:divsChild>
                    <w:div w:id="1998338521">
                      <w:marLeft w:val="0"/>
                      <w:marRight w:val="0"/>
                      <w:marTop w:val="0"/>
                      <w:marBottom w:val="0"/>
                      <w:divBdr>
                        <w:top w:val="none" w:sz="0" w:space="0" w:color="auto"/>
                        <w:left w:val="none" w:sz="0" w:space="0" w:color="auto"/>
                        <w:bottom w:val="none" w:sz="0" w:space="0" w:color="auto"/>
                        <w:right w:val="none" w:sz="0" w:space="0" w:color="auto"/>
                      </w:divBdr>
                    </w:div>
                    <w:div w:id="1225067047">
                      <w:marLeft w:val="0"/>
                      <w:marRight w:val="0"/>
                      <w:marTop w:val="0"/>
                      <w:marBottom w:val="0"/>
                      <w:divBdr>
                        <w:top w:val="none" w:sz="0" w:space="0" w:color="auto"/>
                        <w:left w:val="none" w:sz="0" w:space="0" w:color="auto"/>
                        <w:bottom w:val="none" w:sz="0" w:space="0" w:color="auto"/>
                        <w:right w:val="none" w:sz="0" w:space="0" w:color="auto"/>
                      </w:divBdr>
                    </w:div>
                    <w:div w:id="393432613">
                      <w:marLeft w:val="0"/>
                      <w:marRight w:val="0"/>
                      <w:marTop w:val="0"/>
                      <w:marBottom w:val="0"/>
                      <w:divBdr>
                        <w:top w:val="none" w:sz="0" w:space="0" w:color="auto"/>
                        <w:left w:val="none" w:sz="0" w:space="0" w:color="auto"/>
                        <w:bottom w:val="none" w:sz="0" w:space="0" w:color="auto"/>
                        <w:right w:val="none" w:sz="0" w:space="0" w:color="auto"/>
                      </w:divBdr>
                    </w:div>
                  </w:divsChild>
                </w:div>
                <w:div w:id="1487937878">
                  <w:marLeft w:val="0"/>
                  <w:marRight w:val="0"/>
                  <w:marTop w:val="0"/>
                  <w:marBottom w:val="0"/>
                  <w:divBdr>
                    <w:top w:val="none" w:sz="0" w:space="0" w:color="auto"/>
                    <w:left w:val="none" w:sz="0" w:space="0" w:color="auto"/>
                    <w:bottom w:val="none" w:sz="0" w:space="0" w:color="auto"/>
                    <w:right w:val="none" w:sz="0" w:space="0" w:color="auto"/>
                  </w:divBdr>
                  <w:divsChild>
                    <w:div w:id="1556428539">
                      <w:marLeft w:val="0"/>
                      <w:marRight w:val="0"/>
                      <w:marTop w:val="0"/>
                      <w:marBottom w:val="0"/>
                      <w:divBdr>
                        <w:top w:val="none" w:sz="0" w:space="0" w:color="auto"/>
                        <w:left w:val="none" w:sz="0" w:space="0" w:color="auto"/>
                        <w:bottom w:val="none" w:sz="0" w:space="0" w:color="auto"/>
                        <w:right w:val="none" w:sz="0" w:space="0" w:color="auto"/>
                      </w:divBdr>
                    </w:div>
                  </w:divsChild>
                </w:div>
                <w:div w:id="2049334850">
                  <w:marLeft w:val="0"/>
                  <w:marRight w:val="0"/>
                  <w:marTop w:val="0"/>
                  <w:marBottom w:val="0"/>
                  <w:divBdr>
                    <w:top w:val="none" w:sz="0" w:space="0" w:color="auto"/>
                    <w:left w:val="none" w:sz="0" w:space="0" w:color="auto"/>
                    <w:bottom w:val="none" w:sz="0" w:space="0" w:color="auto"/>
                    <w:right w:val="none" w:sz="0" w:space="0" w:color="auto"/>
                  </w:divBdr>
                  <w:divsChild>
                    <w:div w:id="1973561410">
                      <w:marLeft w:val="0"/>
                      <w:marRight w:val="0"/>
                      <w:marTop w:val="0"/>
                      <w:marBottom w:val="0"/>
                      <w:divBdr>
                        <w:top w:val="none" w:sz="0" w:space="0" w:color="auto"/>
                        <w:left w:val="none" w:sz="0" w:space="0" w:color="auto"/>
                        <w:bottom w:val="none" w:sz="0" w:space="0" w:color="auto"/>
                        <w:right w:val="none" w:sz="0" w:space="0" w:color="auto"/>
                      </w:divBdr>
                    </w:div>
                    <w:div w:id="1917663780">
                      <w:marLeft w:val="0"/>
                      <w:marRight w:val="0"/>
                      <w:marTop w:val="0"/>
                      <w:marBottom w:val="0"/>
                      <w:divBdr>
                        <w:top w:val="none" w:sz="0" w:space="0" w:color="auto"/>
                        <w:left w:val="none" w:sz="0" w:space="0" w:color="auto"/>
                        <w:bottom w:val="none" w:sz="0" w:space="0" w:color="auto"/>
                        <w:right w:val="none" w:sz="0" w:space="0" w:color="auto"/>
                      </w:divBdr>
                    </w:div>
                    <w:div w:id="499853768">
                      <w:marLeft w:val="0"/>
                      <w:marRight w:val="0"/>
                      <w:marTop w:val="0"/>
                      <w:marBottom w:val="0"/>
                      <w:divBdr>
                        <w:top w:val="none" w:sz="0" w:space="0" w:color="auto"/>
                        <w:left w:val="none" w:sz="0" w:space="0" w:color="auto"/>
                        <w:bottom w:val="none" w:sz="0" w:space="0" w:color="auto"/>
                        <w:right w:val="none" w:sz="0" w:space="0" w:color="auto"/>
                      </w:divBdr>
                    </w:div>
                    <w:div w:id="316763393">
                      <w:marLeft w:val="0"/>
                      <w:marRight w:val="0"/>
                      <w:marTop w:val="0"/>
                      <w:marBottom w:val="0"/>
                      <w:divBdr>
                        <w:top w:val="none" w:sz="0" w:space="0" w:color="auto"/>
                        <w:left w:val="none" w:sz="0" w:space="0" w:color="auto"/>
                        <w:bottom w:val="none" w:sz="0" w:space="0" w:color="auto"/>
                        <w:right w:val="none" w:sz="0" w:space="0" w:color="auto"/>
                      </w:divBdr>
                    </w:div>
                    <w:div w:id="1538812629">
                      <w:marLeft w:val="0"/>
                      <w:marRight w:val="0"/>
                      <w:marTop w:val="0"/>
                      <w:marBottom w:val="0"/>
                      <w:divBdr>
                        <w:top w:val="none" w:sz="0" w:space="0" w:color="auto"/>
                        <w:left w:val="none" w:sz="0" w:space="0" w:color="auto"/>
                        <w:bottom w:val="none" w:sz="0" w:space="0" w:color="auto"/>
                        <w:right w:val="none" w:sz="0" w:space="0" w:color="auto"/>
                      </w:divBdr>
                    </w:div>
                    <w:div w:id="101927128">
                      <w:marLeft w:val="0"/>
                      <w:marRight w:val="0"/>
                      <w:marTop w:val="0"/>
                      <w:marBottom w:val="0"/>
                      <w:divBdr>
                        <w:top w:val="none" w:sz="0" w:space="0" w:color="auto"/>
                        <w:left w:val="none" w:sz="0" w:space="0" w:color="auto"/>
                        <w:bottom w:val="none" w:sz="0" w:space="0" w:color="auto"/>
                        <w:right w:val="none" w:sz="0" w:space="0" w:color="auto"/>
                      </w:divBdr>
                    </w:div>
                    <w:div w:id="732194429">
                      <w:marLeft w:val="0"/>
                      <w:marRight w:val="0"/>
                      <w:marTop w:val="0"/>
                      <w:marBottom w:val="0"/>
                      <w:divBdr>
                        <w:top w:val="none" w:sz="0" w:space="0" w:color="auto"/>
                        <w:left w:val="none" w:sz="0" w:space="0" w:color="auto"/>
                        <w:bottom w:val="none" w:sz="0" w:space="0" w:color="auto"/>
                        <w:right w:val="none" w:sz="0" w:space="0" w:color="auto"/>
                      </w:divBdr>
                    </w:div>
                  </w:divsChild>
                </w:div>
                <w:div w:id="657923608">
                  <w:marLeft w:val="0"/>
                  <w:marRight w:val="0"/>
                  <w:marTop w:val="0"/>
                  <w:marBottom w:val="0"/>
                  <w:divBdr>
                    <w:top w:val="none" w:sz="0" w:space="0" w:color="auto"/>
                    <w:left w:val="none" w:sz="0" w:space="0" w:color="auto"/>
                    <w:bottom w:val="none" w:sz="0" w:space="0" w:color="auto"/>
                    <w:right w:val="none" w:sz="0" w:space="0" w:color="auto"/>
                  </w:divBdr>
                  <w:divsChild>
                    <w:div w:id="562839201">
                      <w:marLeft w:val="0"/>
                      <w:marRight w:val="0"/>
                      <w:marTop w:val="0"/>
                      <w:marBottom w:val="0"/>
                      <w:divBdr>
                        <w:top w:val="none" w:sz="0" w:space="0" w:color="auto"/>
                        <w:left w:val="none" w:sz="0" w:space="0" w:color="auto"/>
                        <w:bottom w:val="none" w:sz="0" w:space="0" w:color="auto"/>
                        <w:right w:val="none" w:sz="0" w:space="0" w:color="auto"/>
                      </w:divBdr>
                    </w:div>
                    <w:div w:id="1104500879">
                      <w:marLeft w:val="0"/>
                      <w:marRight w:val="0"/>
                      <w:marTop w:val="0"/>
                      <w:marBottom w:val="0"/>
                      <w:divBdr>
                        <w:top w:val="none" w:sz="0" w:space="0" w:color="auto"/>
                        <w:left w:val="none" w:sz="0" w:space="0" w:color="auto"/>
                        <w:bottom w:val="none" w:sz="0" w:space="0" w:color="auto"/>
                        <w:right w:val="none" w:sz="0" w:space="0" w:color="auto"/>
                      </w:divBdr>
                    </w:div>
                    <w:div w:id="31536877">
                      <w:marLeft w:val="0"/>
                      <w:marRight w:val="0"/>
                      <w:marTop w:val="0"/>
                      <w:marBottom w:val="0"/>
                      <w:divBdr>
                        <w:top w:val="none" w:sz="0" w:space="0" w:color="auto"/>
                        <w:left w:val="none" w:sz="0" w:space="0" w:color="auto"/>
                        <w:bottom w:val="none" w:sz="0" w:space="0" w:color="auto"/>
                        <w:right w:val="none" w:sz="0" w:space="0" w:color="auto"/>
                      </w:divBdr>
                    </w:div>
                    <w:div w:id="989094367">
                      <w:marLeft w:val="0"/>
                      <w:marRight w:val="0"/>
                      <w:marTop w:val="0"/>
                      <w:marBottom w:val="0"/>
                      <w:divBdr>
                        <w:top w:val="none" w:sz="0" w:space="0" w:color="auto"/>
                        <w:left w:val="none" w:sz="0" w:space="0" w:color="auto"/>
                        <w:bottom w:val="none" w:sz="0" w:space="0" w:color="auto"/>
                        <w:right w:val="none" w:sz="0" w:space="0" w:color="auto"/>
                      </w:divBdr>
                    </w:div>
                    <w:div w:id="1018503888">
                      <w:marLeft w:val="0"/>
                      <w:marRight w:val="0"/>
                      <w:marTop w:val="0"/>
                      <w:marBottom w:val="0"/>
                      <w:divBdr>
                        <w:top w:val="none" w:sz="0" w:space="0" w:color="auto"/>
                        <w:left w:val="none" w:sz="0" w:space="0" w:color="auto"/>
                        <w:bottom w:val="none" w:sz="0" w:space="0" w:color="auto"/>
                        <w:right w:val="none" w:sz="0" w:space="0" w:color="auto"/>
                      </w:divBdr>
                    </w:div>
                  </w:divsChild>
                </w:div>
                <w:div w:id="1234506965">
                  <w:marLeft w:val="0"/>
                  <w:marRight w:val="0"/>
                  <w:marTop w:val="0"/>
                  <w:marBottom w:val="0"/>
                  <w:divBdr>
                    <w:top w:val="none" w:sz="0" w:space="0" w:color="auto"/>
                    <w:left w:val="none" w:sz="0" w:space="0" w:color="auto"/>
                    <w:bottom w:val="none" w:sz="0" w:space="0" w:color="auto"/>
                    <w:right w:val="none" w:sz="0" w:space="0" w:color="auto"/>
                  </w:divBdr>
                  <w:divsChild>
                    <w:div w:id="357197082">
                      <w:marLeft w:val="0"/>
                      <w:marRight w:val="0"/>
                      <w:marTop w:val="0"/>
                      <w:marBottom w:val="0"/>
                      <w:divBdr>
                        <w:top w:val="none" w:sz="0" w:space="0" w:color="auto"/>
                        <w:left w:val="none" w:sz="0" w:space="0" w:color="auto"/>
                        <w:bottom w:val="none" w:sz="0" w:space="0" w:color="auto"/>
                        <w:right w:val="none" w:sz="0" w:space="0" w:color="auto"/>
                      </w:divBdr>
                    </w:div>
                    <w:div w:id="1240364795">
                      <w:marLeft w:val="0"/>
                      <w:marRight w:val="0"/>
                      <w:marTop w:val="0"/>
                      <w:marBottom w:val="0"/>
                      <w:divBdr>
                        <w:top w:val="none" w:sz="0" w:space="0" w:color="auto"/>
                        <w:left w:val="none" w:sz="0" w:space="0" w:color="auto"/>
                        <w:bottom w:val="none" w:sz="0" w:space="0" w:color="auto"/>
                        <w:right w:val="none" w:sz="0" w:space="0" w:color="auto"/>
                      </w:divBdr>
                    </w:div>
                    <w:div w:id="6216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746">
              <w:marLeft w:val="0"/>
              <w:marRight w:val="0"/>
              <w:marTop w:val="0"/>
              <w:marBottom w:val="0"/>
              <w:divBdr>
                <w:top w:val="none" w:sz="0" w:space="0" w:color="auto"/>
                <w:left w:val="none" w:sz="0" w:space="0" w:color="auto"/>
                <w:bottom w:val="none" w:sz="0" w:space="0" w:color="auto"/>
                <w:right w:val="none" w:sz="0" w:space="0" w:color="auto"/>
              </w:divBdr>
              <w:divsChild>
                <w:div w:id="1636568438">
                  <w:marLeft w:val="0"/>
                  <w:marRight w:val="0"/>
                  <w:marTop w:val="0"/>
                  <w:marBottom w:val="0"/>
                  <w:divBdr>
                    <w:top w:val="none" w:sz="0" w:space="0" w:color="auto"/>
                    <w:left w:val="none" w:sz="0" w:space="0" w:color="auto"/>
                    <w:bottom w:val="none" w:sz="0" w:space="0" w:color="auto"/>
                    <w:right w:val="none" w:sz="0" w:space="0" w:color="auto"/>
                  </w:divBdr>
                </w:div>
                <w:div w:id="1550066915">
                  <w:marLeft w:val="0"/>
                  <w:marRight w:val="0"/>
                  <w:marTop w:val="0"/>
                  <w:marBottom w:val="0"/>
                  <w:divBdr>
                    <w:top w:val="none" w:sz="0" w:space="0" w:color="auto"/>
                    <w:left w:val="none" w:sz="0" w:space="0" w:color="auto"/>
                    <w:bottom w:val="none" w:sz="0" w:space="0" w:color="auto"/>
                    <w:right w:val="none" w:sz="0" w:space="0" w:color="auto"/>
                  </w:divBdr>
                  <w:divsChild>
                    <w:div w:id="1881045624">
                      <w:marLeft w:val="0"/>
                      <w:marRight w:val="0"/>
                      <w:marTop w:val="0"/>
                      <w:marBottom w:val="0"/>
                      <w:divBdr>
                        <w:top w:val="none" w:sz="0" w:space="0" w:color="auto"/>
                        <w:left w:val="none" w:sz="0" w:space="0" w:color="auto"/>
                        <w:bottom w:val="none" w:sz="0" w:space="0" w:color="auto"/>
                        <w:right w:val="none" w:sz="0" w:space="0" w:color="auto"/>
                      </w:divBdr>
                    </w:div>
                    <w:div w:id="1768695924">
                      <w:marLeft w:val="0"/>
                      <w:marRight w:val="0"/>
                      <w:marTop w:val="0"/>
                      <w:marBottom w:val="0"/>
                      <w:divBdr>
                        <w:top w:val="none" w:sz="0" w:space="0" w:color="auto"/>
                        <w:left w:val="none" w:sz="0" w:space="0" w:color="auto"/>
                        <w:bottom w:val="none" w:sz="0" w:space="0" w:color="auto"/>
                        <w:right w:val="none" w:sz="0" w:space="0" w:color="auto"/>
                      </w:divBdr>
                    </w:div>
                    <w:div w:id="1956591100">
                      <w:marLeft w:val="0"/>
                      <w:marRight w:val="0"/>
                      <w:marTop w:val="0"/>
                      <w:marBottom w:val="0"/>
                      <w:divBdr>
                        <w:top w:val="none" w:sz="0" w:space="0" w:color="auto"/>
                        <w:left w:val="none" w:sz="0" w:space="0" w:color="auto"/>
                        <w:bottom w:val="none" w:sz="0" w:space="0" w:color="auto"/>
                        <w:right w:val="none" w:sz="0" w:space="0" w:color="auto"/>
                      </w:divBdr>
                    </w:div>
                    <w:div w:id="419176976">
                      <w:marLeft w:val="0"/>
                      <w:marRight w:val="0"/>
                      <w:marTop w:val="0"/>
                      <w:marBottom w:val="0"/>
                      <w:divBdr>
                        <w:top w:val="none" w:sz="0" w:space="0" w:color="auto"/>
                        <w:left w:val="none" w:sz="0" w:space="0" w:color="auto"/>
                        <w:bottom w:val="none" w:sz="0" w:space="0" w:color="auto"/>
                        <w:right w:val="none" w:sz="0" w:space="0" w:color="auto"/>
                      </w:divBdr>
                    </w:div>
                    <w:div w:id="1496800917">
                      <w:marLeft w:val="0"/>
                      <w:marRight w:val="0"/>
                      <w:marTop w:val="0"/>
                      <w:marBottom w:val="0"/>
                      <w:divBdr>
                        <w:top w:val="none" w:sz="0" w:space="0" w:color="auto"/>
                        <w:left w:val="none" w:sz="0" w:space="0" w:color="auto"/>
                        <w:bottom w:val="none" w:sz="0" w:space="0" w:color="auto"/>
                        <w:right w:val="none" w:sz="0" w:space="0" w:color="auto"/>
                      </w:divBdr>
                    </w:div>
                    <w:div w:id="547453762">
                      <w:marLeft w:val="0"/>
                      <w:marRight w:val="0"/>
                      <w:marTop w:val="0"/>
                      <w:marBottom w:val="0"/>
                      <w:divBdr>
                        <w:top w:val="none" w:sz="0" w:space="0" w:color="auto"/>
                        <w:left w:val="none" w:sz="0" w:space="0" w:color="auto"/>
                        <w:bottom w:val="none" w:sz="0" w:space="0" w:color="auto"/>
                        <w:right w:val="none" w:sz="0" w:space="0" w:color="auto"/>
                      </w:divBdr>
                    </w:div>
                    <w:div w:id="1121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068">
              <w:marLeft w:val="0"/>
              <w:marRight w:val="0"/>
              <w:marTop w:val="0"/>
              <w:marBottom w:val="0"/>
              <w:divBdr>
                <w:top w:val="none" w:sz="0" w:space="0" w:color="auto"/>
                <w:left w:val="none" w:sz="0" w:space="0" w:color="auto"/>
                <w:bottom w:val="none" w:sz="0" w:space="0" w:color="auto"/>
                <w:right w:val="none" w:sz="0" w:space="0" w:color="auto"/>
              </w:divBdr>
              <w:divsChild>
                <w:div w:id="28529472">
                  <w:marLeft w:val="0"/>
                  <w:marRight w:val="0"/>
                  <w:marTop w:val="0"/>
                  <w:marBottom w:val="0"/>
                  <w:divBdr>
                    <w:top w:val="none" w:sz="0" w:space="0" w:color="auto"/>
                    <w:left w:val="none" w:sz="0" w:space="0" w:color="auto"/>
                    <w:bottom w:val="none" w:sz="0" w:space="0" w:color="auto"/>
                    <w:right w:val="none" w:sz="0" w:space="0" w:color="auto"/>
                  </w:divBdr>
                </w:div>
                <w:div w:id="1610164736">
                  <w:marLeft w:val="0"/>
                  <w:marRight w:val="0"/>
                  <w:marTop w:val="0"/>
                  <w:marBottom w:val="0"/>
                  <w:divBdr>
                    <w:top w:val="none" w:sz="0" w:space="0" w:color="auto"/>
                    <w:left w:val="none" w:sz="0" w:space="0" w:color="auto"/>
                    <w:bottom w:val="none" w:sz="0" w:space="0" w:color="auto"/>
                    <w:right w:val="none" w:sz="0" w:space="0" w:color="auto"/>
                  </w:divBdr>
                  <w:divsChild>
                    <w:div w:id="1493063088">
                      <w:marLeft w:val="0"/>
                      <w:marRight w:val="0"/>
                      <w:marTop w:val="0"/>
                      <w:marBottom w:val="0"/>
                      <w:divBdr>
                        <w:top w:val="none" w:sz="0" w:space="0" w:color="auto"/>
                        <w:left w:val="none" w:sz="0" w:space="0" w:color="auto"/>
                        <w:bottom w:val="none" w:sz="0" w:space="0" w:color="auto"/>
                        <w:right w:val="none" w:sz="0" w:space="0" w:color="auto"/>
                      </w:divBdr>
                      <w:divsChild>
                        <w:div w:id="1354379185">
                          <w:marLeft w:val="0"/>
                          <w:marRight w:val="0"/>
                          <w:marTop w:val="0"/>
                          <w:marBottom w:val="0"/>
                          <w:divBdr>
                            <w:top w:val="none" w:sz="0" w:space="0" w:color="auto"/>
                            <w:left w:val="none" w:sz="0" w:space="0" w:color="auto"/>
                            <w:bottom w:val="none" w:sz="0" w:space="0" w:color="auto"/>
                            <w:right w:val="none" w:sz="0" w:space="0" w:color="auto"/>
                          </w:divBdr>
                        </w:div>
                        <w:div w:id="17045463">
                          <w:marLeft w:val="0"/>
                          <w:marRight w:val="0"/>
                          <w:marTop w:val="0"/>
                          <w:marBottom w:val="0"/>
                          <w:divBdr>
                            <w:top w:val="none" w:sz="0" w:space="0" w:color="auto"/>
                            <w:left w:val="none" w:sz="0" w:space="0" w:color="auto"/>
                            <w:bottom w:val="none" w:sz="0" w:space="0" w:color="auto"/>
                            <w:right w:val="none" w:sz="0" w:space="0" w:color="auto"/>
                          </w:divBdr>
                        </w:div>
                        <w:div w:id="499660296">
                          <w:marLeft w:val="0"/>
                          <w:marRight w:val="0"/>
                          <w:marTop w:val="0"/>
                          <w:marBottom w:val="0"/>
                          <w:divBdr>
                            <w:top w:val="none" w:sz="0" w:space="0" w:color="auto"/>
                            <w:left w:val="none" w:sz="0" w:space="0" w:color="auto"/>
                            <w:bottom w:val="none" w:sz="0" w:space="0" w:color="auto"/>
                            <w:right w:val="none" w:sz="0" w:space="0" w:color="auto"/>
                          </w:divBdr>
                        </w:div>
                        <w:div w:id="17409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314">
                  <w:marLeft w:val="0"/>
                  <w:marRight w:val="0"/>
                  <w:marTop w:val="0"/>
                  <w:marBottom w:val="0"/>
                  <w:divBdr>
                    <w:top w:val="none" w:sz="0" w:space="0" w:color="auto"/>
                    <w:left w:val="none" w:sz="0" w:space="0" w:color="auto"/>
                    <w:bottom w:val="none" w:sz="0" w:space="0" w:color="auto"/>
                    <w:right w:val="none" w:sz="0" w:space="0" w:color="auto"/>
                  </w:divBdr>
                  <w:divsChild>
                    <w:div w:id="1510289896">
                      <w:marLeft w:val="0"/>
                      <w:marRight w:val="0"/>
                      <w:marTop w:val="0"/>
                      <w:marBottom w:val="0"/>
                      <w:divBdr>
                        <w:top w:val="none" w:sz="0" w:space="0" w:color="auto"/>
                        <w:left w:val="none" w:sz="0" w:space="0" w:color="auto"/>
                        <w:bottom w:val="none" w:sz="0" w:space="0" w:color="auto"/>
                        <w:right w:val="none" w:sz="0" w:space="0" w:color="auto"/>
                      </w:divBdr>
                    </w:div>
                    <w:div w:id="1755975812">
                      <w:marLeft w:val="0"/>
                      <w:marRight w:val="0"/>
                      <w:marTop w:val="0"/>
                      <w:marBottom w:val="0"/>
                      <w:divBdr>
                        <w:top w:val="none" w:sz="0" w:space="0" w:color="auto"/>
                        <w:left w:val="none" w:sz="0" w:space="0" w:color="auto"/>
                        <w:bottom w:val="none" w:sz="0" w:space="0" w:color="auto"/>
                        <w:right w:val="none" w:sz="0" w:space="0" w:color="auto"/>
                      </w:divBdr>
                      <w:divsChild>
                        <w:div w:id="466313986">
                          <w:marLeft w:val="0"/>
                          <w:marRight w:val="0"/>
                          <w:marTop w:val="0"/>
                          <w:marBottom w:val="0"/>
                          <w:divBdr>
                            <w:top w:val="none" w:sz="0" w:space="0" w:color="auto"/>
                            <w:left w:val="none" w:sz="0" w:space="0" w:color="auto"/>
                            <w:bottom w:val="none" w:sz="0" w:space="0" w:color="auto"/>
                            <w:right w:val="none" w:sz="0" w:space="0" w:color="auto"/>
                          </w:divBdr>
                        </w:div>
                      </w:divsChild>
                    </w:div>
                    <w:div w:id="424039981">
                      <w:marLeft w:val="0"/>
                      <w:marRight w:val="0"/>
                      <w:marTop w:val="0"/>
                      <w:marBottom w:val="0"/>
                      <w:divBdr>
                        <w:top w:val="none" w:sz="0" w:space="0" w:color="auto"/>
                        <w:left w:val="none" w:sz="0" w:space="0" w:color="auto"/>
                        <w:bottom w:val="none" w:sz="0" w:space="0" w:color="auto"/>
                        <w:right w:val="none" w:sz="0" w:space="0" w:color="auto"/>
                      </w:divBdr>
                      <w:divsChild>
                        <w:div w:id="804936083">
                          <w:marLeft w:val="0"/>
                          <w:marRight w:val="0"/>
                          <w:marTop w:val="0"/>
                          <w:marBottom w:val="0"/>
                          <w:divBdr>
                            <w:top w:val="none" w:sz="0" w:space="0" w:color="auto"/>
                            <w:left w:val="none" w:sz="0" w:space="0" w:color="auto"/>
                            <w:bottom w:val="none" w:sz="0" w:space="0" w:color="auto"/>
                            <w:right w:val="none" w:sz="0" w:space="0" w:color="auto"/>
                          </w:divBdr>
                        </w:div>
                        <w:div w:id="267202362">
                          <w:marLeft w:val="0"/>
                          <w:marRight w:val="0"/>
                          <w:marTop w:val="0"/>
                          <w:marBottom w:val="0"/>
                          <w:divBdr>
                            <w:top w:val="none" w:sz="0" w:space="0" w:color="auto"/>
                            <w:left w:val="none" w:sz="0" w:space="0" w:color="auto"/>
                            <w:bottom w:val="none" w:sz="0" w:space="0" w:color="auto"/>
                            <w:right w:val="none" w:sz="0" w:space="0" w:color="auto"/>
                          </w:divBdr>
                        </w:div>
                        <w:div w:id="743797028">
                          <w:marLeft w:val="0"/>
                          <w:marRight w:val="0"/>
                          <w:marTop w:val="0"/>
                          <w:marBottom w:val="0"/>
                          <w:divBdr>
                            <w:top w:val="none" w:sz="0" w:space="0" w:color="auto"/>
                            <w:left w:val="none" w:sz="0" w:space="0" w:color="auto"/>
                            <w:bottom w:val="none" w:sz="0" w:space="0" w:color="auto"/>
                            <w:right w:val="none" w:sz="0" w:space="0" w:color="auto"/>
                          </w:divBdr>
                        </w:div>
                        <w:div w:id="210265688">
                          <w:marLeft w:val="0"/>
                          <w:marRight w:val="0"/>
                          <w:marTop w:val="0"/>
                          <w:marBottom w:val="0"/>
                          <w:divBdr>
                            <w:top w:val="none" w:sz="0" w:space="0" w:color="auto"/>
                            <w:left w:val="none" w:sz="0" w:space="0" w:color="auto"/>
                            <w:bottom w:val="none" w:sz="0" w:space="0" w:color="auto"/>
                            <w:right w:val="none" w:sz="0" w:space="0" w:color="auto"/>
                          </w:divBdr>
                        </w:div>
                        <w:div w:id="1526210221">
                          <w:marLeft w:val="0"/>
                          <w:marRight w:val="0"/>
                          <w:marTop w:val="0"/>
                          <w:marBottom w:val="0"/>
                          <w:divBdr>
                            <w:top w:val="none" w:sz="0" w:space="0" w:color="auto"/>
                            <w:left w:val="none" w:sz="0" w:space="0" w:color="auto"/>
                            <w:bottom w:val="none" w:sz="0" w:space="0" w:color="auto"/>
                            <w:right w:val="none" w:sz="0" w:space="0" w:color="auto"/>
                          </w:divBdr>
                        </w:div>
                        <w:div w:id="1569002435">
                          <w:marLeft w:val="0"/>
                          <w:marRight w:val="0"/>
                          <w:marTop w:val="0"/>
                          <w:marBottom w:val="0"/>
                          <w:divBdr>
                            <w:top w:val="none" w:sz="0" w:space="0" w:color="auto"/>
                            <w:left w:val="none" w:sz="0" w:space="0" w:color="auto"/>
                            <w:bottom w:val="none" w:sz="0" w:space="0" w:color="auto"/>
                            <w:right w:val="none" w:sz="0" w:space="0" w:color="auto"/>
                          </w:divBdr>
                        </w:div>
                        <w:div w:id="697898014">
                          <w:marLeft w:val="0"/>
                          <w:marRight w:val="0"/>
                          <w:marTop w:val="0"/>
                          <w:marBottom w:val="0"/>
                          <w:divBdr>
                            <w:top w:val="none" w:sz="0" w:space="0" w:color="auto"/>
                            <w:left w:val="none" w:sz="0" w:space="0" w:color="auto"/>
                            <w:bottom w:val="none" w:sz="0" w:space="0" w:color="auto"/>
                            <w:right w:val="none" w:sz="0" w:space="0" w:color="auto"/>
                          </w:divBdr>
                        </w:div>
                      </w:divsChild>
                    </w:div>
                    <w:div w:id="1072431449">
                      <w:marLeft w:val="0"/>
                      <w:marRight w:val="0"/>
                      <w:marTop w:val="0"/>
                      <w:marBottom w:val="0"/>
                      <w:divBdr>
                        <w:top w:val="none" w:sz="0" w:space="0" w:color="auto"/>
                        <w:left w:val="none" w:sz="0" w:space="0" w:color="auto"/>
                        <w:bottom w:val="none" w:sz="0" w:space="0" w:color="auto"/>
                        <w:right w:val="none" w:sz="0" w:space="0" w:color="auto"/>
                      </w:divBdr>
                      <w:divsChild>
                        <w:div w:id="460802376">
                          <w:marLeft w:val="0"/>
                          <w:marRight w:val="0"/>
                          <w:marTop w:val="0"/>
                          <w:marBottom w:val="0"/>
                          <w:divBdr>
                            <w:top w:val="none" w:sz="0" w:space="0" w:color="auto"/>
                            <w:left w:val="none" w:sz="0" w:space="0" w:color="auto"/>
                            <w:bottom w:val="none" w:sz="0" w:space="0" w:color="auto"/>
                            <w:right w:val="none" w:sz="0" w:space="0" w:color="auto"/>
                          </w:divBdr>
                        </w:div>
                        <w:div w:id="1959949370">
                          <w:marLeft w:val="0"/>
                          <w:marRight w:val="0"/>
                          <w:marTop w:val="0"/>
                          <w:marBottom w:val="0"/>
                          <w:divBdr>
                            <w:top w:val="none" w:sz="0" w:space="0" w:color="auto"/>
                            <w:left w:val="none" w:sz="0" w:space="0" w:color="auto"/>
                            <w:bottom w:val="none" w:sz="0" w:space="0" w:color="auto"/>
                            <w:right w:val="none" w:sz="0" w:space="0" w:color="auto"/>
                          </w:divBdr>
                        </w:div>
                        <w:div w:id="2001082433">
                          <w:marLeft w:val="0"/>
                          <w:marRight w:val="0"/>
                          <w:marTop w:val="0"/>
                          <w:marBottom w:val="0"/>
                          <w:divBdr>
                            <w:top w:val="none" w:sz="0" w:space="0" w:color="auto"/>
                            <w:left w:val="none" w:sz="0" w:space="0" w:color="auto"/>
                            <w:bottom w:val="none" w:sz="0" w:space="0" w:color="auto"/>
                            <w:right w:val="none" w:sz="0" w:space="0" w:color="auto"/>
                          </w:divBdr>
                        </w:div>
                        <w:div w:id="56899198">
                          <w:marLeft w:val="0"/>
                          <w:marRight w:val="0"/>
                          <w:marTop w:val="0"/>
                          <w:marBottom w:val="0"/>
                          <w:divBdr>
                            <w:top w:val="none" w:sz="0" w:space="0" w:color="auto"/>
                            <w:left w:val="none" w:sz="0" w:space="0" w:color="auto"/>
                            <w:bottom w:val="none" w:sz="0" w:space="0" w:color="auto"/>
                            <w:right w:val="none" w:sz="0" w:space="0" w:color="auto"/>
                          </w:divBdr>
                        </w:div>
                        <w:div w:id="2029406402">
                          <w:marLeft w:val="0"/>
                          <w:marRight w:val="0"/>
                          <w:marTop w:val="0"/>
                          <w:marBottom w:val="0"/>
                          <w:divBdr>
                            <w:top w:val="none" w:sz="0" w:space="0" w:color="auto"/>
                            <w:left w:val="none" w:sz="0" w:space="0" w:color="auto"/>
                            <w:bottom w:val="none" w:sz="0" w:space="0" w:color="auto"/>
                            <w:right w:val="none" w:sz="0" w:space="0" w:color="auto"/>
                          </w:divBdr>
                        </w:div>
                        <w:div w:id="1500998339">
                          <w:marLeft w:val="0"/>
                          <w:marRight w:val="0"/>
                          <w:marTop w:val="0"/>
                          <w:marBottom w:val="0"/>
                          <w:divBdr>
                            <w:top w:val="none" w:sz="0" w:space="0" w:color="auto"/>
                            <w:left w:val="none" w:sz="0" w:space="0" w:color="auto"/>
                            <w:bottom w:val="none" w:sz="0" w:space="0" w:color="auto"/>
                            <w:right w:val="none" w:sz="0" w:space="0" w:color="auto"/>
                          </w:divBdr>
                        </w:div>
                      </w:divsChild>
                    </w:div>
                    <w:div w:id="1583562442">
                      <w:marLeft w:val="0"/>
                      <w:marRight w:val="0"/>
                      <w:marTop w:val="0"/>
                      <w:marBottom w:val="0"/>
                      <w:divBdr>
                        <w:top w:val="none" w:sz="0" w:space="0" w:color="auto"/>
                        <w:left w:val="none" w:sz="0" w:space="0" w:color="auto"/>
                        <w:bottom w:val="none" w:sz="0" w:space="0" w:color="auto"/>
                        <w:right w:val="none" w:sz="0" w:space="0" w:color="auto"/>
                      </w:divBdr>
                      <w:divsChild>
                        <w:div w:id="684408590">
                          <w:marLeft w:val="0"/>
                          <w:marRight w:val="0"/>
                          <w:marTop w:val="0"/>
                          <w:marBottom w:val="0"/>
                          <w:divBdr>
                            <w:top w:val="none" w:sz="0" w:space="0" w:color="auto"/>
                            <w:left w:val="none" w:sz="0" w:space="0" w:color="auto"/>
                            <w:bottom w:val="none" w:sz="0" w:space="0" w:color="auto"/>
                            <w:right w:val="none" w:sz="0" w:space="0" w:color="auto"/>
                          </w:divBdr>
                        </w:div>
                        <w:div w:id="938177466">
                          <w:marLeft w:val="0"/>
                          <w:marRight w:val="0"/>
                          <w:marTop w:val="0"/>
                          <w:marBottom w:val="0"/>
                          <w:divBdr>
                            <w:top w:val="none" w:sz="0" w:space="0" w:color="auto"/>
                            <w:left w:val="none" w:sz="0" w:space="0" w:color="auto"/>
                            <w:bottom w:val="none" w:sz="0" w:space="0" w:color="auto"/>
                            <w:right w:val="none" w:sz="0" w:space="0" w:color="auto"/>
                          </w:divBdr>
                        </w:div>
                        <w:div w:id="1853301948">
                          <w:marLeft w:val="0"/>
                          <w:marRight w:val="0"/>
                          <w:marTop w:val="0"/>
                          <w:marBottom w:val="0"/>
                          <w:divBdr>
                            <w:top w:val="none" w:sz="0" w:space="0" w:color="auto"/>
                            <w:left w:val="none" w:sz="0" w:space="0" w:color="auto"/>
                            <w:bottom w:val="none" w:sz="0" w:space="0" w:color="auto"/>
                            <w:right w:val="none" w:sz="0" w:space="0" w:color="auto"/>
                          </w:divBdr>
                        </w:div>
                      </w:divsChild>
                    </w:div>
                    <w:div w:id="1964605424">
                      <w:marLeft w:val="0"/>
                      <w:marRight w:val="0"/>
                      <w:marTop w:val="0"/>
                      <w:marBottom w:val="0"/>
                      <w:divBdr>
                        <w:top w:val="none" w:sz="0" w:space="0" w:color="auto"/>
                        <w:left w:val="none" w:sz="0" w:space="0" w:color="auto"/>
                        <w:bottom w:val="none" w:sz="0" w:space="0" w:color="auto"/>
                        <w:right w:val="none" w:sz="0" w:space="0" w:color="auto"/>
                      </w:divBdr>
                      <w:divsChild>
                        <w:div w:id="1860922066">
                          <w:marLeft w:val="0"/>
                          <w:marRight w:val="0"/>
                          <w:marTop w:val="0"/>
                          <w:marBottom w:val="0"/>
                          <w:divBdr>
                            <w:top w:val="none" w:sz="0" w:space="0" w:color="auto"/>
                            <w:left w:val="none" w:sz="0" w:space="0" w:color="auto"/>
                            <w:bottom w:val="none" w:sz="0" w:space="0" w:color="auto"/>
                            <w:right w:val="none" w:sz="0" w:space="0" w:color="auto"/>
                          </w:divBdr>
                        </w:div>
                      </w:divsChild>
                    </w:div>
                    <w:div w:id="42877470">
                      <w:marLeft w:val="0"/>
                      <w:marRight w:val="0"/>
                      <w:marTop w:val="0"/>
                      <w:marBottom w:val="0"/>
                      <w:divBdr>
                        <w:top w:val="none" w:sz="0" w:space="0" w:color="auto"/>
                        <w:left w:val="none" w:sz="0" w:space="0" w:color="auto"/>
                        <w:bottom w:val="none" w:sz="0" w:space="0" w:color="auto"/>
                        <w:right w:val="none" w:sz="0" w:space="0" w:color="auto"/>
                      </w:divBdr>
                      <w:divsChild>
                        <w:div w:id="1363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1571">
          <w:marLeft w:val="0"/>
          <w:marRight w:val="0"/>
          <w:marTop w:val="0"/>
          <w:marBottom w:val="0"/>
          <w:divBdr>
            <w:top w:val="none" w:sz="0" w:space="0" w:color="auto"/>
            <w:left w:val="none" w:sz="0" w:space="0" w:color="auto"/>
            <w:bottom w:val="none" w:sz="0" w:space="0" w:color="auto"/>
            <w:right w:val="none" w:sz="0" w:space="0" w:color="auto"/>
          </w:divBdr>
          <w:divsChild>
            <w:div w:id="37821758">
              <w:marLeft w:val="810"/>
              <w:marRight w:val="810"/>
              <w:marTop w:val="360"/>
              <w:marBottom w:val="0"/>
              <w:divBdr>
                <w:top w:val="none" w:sz="0" w:space="0" w:color="auto"/>
                <w:left w:val="none" w:sz="0" w:space="0" w:color="auto"/>
                <w:bottom w:val="none" w:sz="0" w:space="0" w:color="auto"/>
                <w:right w:val="none" w:sz="0" w:space="0" w:color="auto"/>
              </w:divBdr>
              <w:divsChild>
                <w:div w:id="1808859489">
                  <w:marLeft w:val="4005"/>
                  <w:marRight w:val="810"/>
                  <w:marTop w:val="0"/>
                  <w:marBottom w:val="0"/>
                  <w:divBdr>
                    <w:top w:val="none" w:sz="0" w:space="0" w:color="auto"/>
                    <w:left w:val="none" w:sz="0" w:space="0" w:color="auto"/>
                    <w:bottom w:val="none" w:sz="0" w:space="0" w:color="auto"/>
                    <w:right w:val="none" w:sz="0" w:space="0" w:color="auto"/>
                  </w:divBdr>
                </w:div>
                <w:div w:id="2096201023">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lex.europa.eu/eli/reg/2022/2554/oj/eng" TargetMode="External"/><Relationship Id="rId18" Type="http://schemas.openxmlformats.org/officeDocument/2006/relationships/hyperlink" Target="https://eur-lex.europa.eu/eli/reg/2022/2554/oj/eng" TargetMode="External"/><Relationship Id="rId26" Type="http://schemas.openxmlformats.org/officeDocument/2006/relationships/hyperlink" Target="https://eur-lex.europa.eu/eli/reg/2022/2554/oj/eng" TargetMode="External"/><Relationship Id="rId39" Type="http://schemas.openxmlformats.org/officeDocument/2006/relationships/hyperlink" Target="https://eur-lex.europa.eu/eli/reg/2022/2554/oj/eng" TargetMode="External"/><Relationship Id="rId21" Type="http://schemas.openxmlformats.org/officeDocument/2006/relationships/hyperlink" Target="https://eur-lex.europa.eu/eli/reg/2022/2554/oj/eng" TargetMode="External"/><Relationship Id="rId34" Type="http://schemas.openxmlformats.org/officeDocument/2006/relationships/hyperlink" Target="https://eur-lex.europa.eu/eli/reg/2022/2554/oj/eng" TargetMode="External"/><Relationship Id="rId42" Type="http://schemas.openxmlformats.org/officeDocument/2006/relationships/hyperlink" Target="https://eur-lex.europa.eu/eli/reg/2022/2554/oj/eng" TargetMode="External"/><Relationship Id="rId47" Type="http://schemas.openxmlformats.org/officeDocument/2006/relationships/hyperlink" Target="https://eur-lex.europa.eu/eli/reg/2022/2554/oj/eng" TargetMode="External"/><Relationship Id="rId50" Type="http://schemas.openxmlformats.org/officeDocument/2006/relationships/hyperlink" Target="https://eur-lex.europa.eu/eli/reg/2022/2554/oj/eng" TargetMode="External"/><Relationship Id="rId55" Type="http://schemas.openxmlformats.org/officeDocument/2006/relationships/hyperlink" Target="https://eur-lex.europa.eu/eli/reg/2022/2554/oj/eng" TargetMode="External"/><Relationship Id="rId7" Type="http://schemas.openxmlformats.org/officeDocument/2006/relationships/hyperlink" Target="https://eur-lex.europa.eu/eli/reg/2022/2554/oj/eng" TargetMode="External"/><Relationship Id="rId2" Type="http://schemas.openxmlformats.org/officeDocument/2006/relationships/settings" Target="settings.xml"/><Relationship Id="rId16" Type="http://schemas.openxmlformats.org/officeDocument/2006/relationships/hyperlink" Target="https://eur-lex.europa.eu/eli/reg/2022/2554/oj/eng" TargetMode="External"/><Relationship Id="rId29" Type="http://schemas.openxmlformats.org/officeDocument/2006/relationships/hyperlink" Target="https://eur-lex.europa.eu/eli/reg/2022/2554/oj/eng" TargetMode="External"/><Relationship Id="rId11" Type="http://schemas.openxmlformats.org/officeDocument/2006/relationships/hyperlink" Target="https://eur-lex.europa.eu/eli/reg/2022/2554/oj/eng" TargetMode="External"/><Relationship Id="rId24" Type="http://schemas.openxmlformats.org/officeDocument/2006/relationships/hyperlink" Target="https://eur-lex.europa.eu/eli/reg/2022/2554/oj/eng" TargetMode="External"/><Relationship Id="rId32" Type="http://schemas.openxmlformats.org/officeDocument/2006/relationships/hyperlink" Target="https://eur-lex.europa.eu/eli/reg/2022/2554/oj/eng" TargetMode="External"/><Relationship Id="rId37" Type="http://schemas.openxmlformats.org/officeDocument/2006/relationships/hyperlink" Target="https://eur-lex.europa.eu/eli/reg/2022/2554/oj/eng" TargetMode="External"/><Relationship Id="rId40" Type="http://schemas.openxmlformats.org/officeDocument/2006/relationships/hyperlink" Target="https://eur-lex.europa.eu/eli/reg/2022/2554/oj/eng" TargetMode="External"/><Relationship Id="rId45" Type="http://schemas.openxmlformats.org/officeDocument/2006/relationships/hyperlink" Target="https://eur-lex.europa.eu/legal-content/EN/AUTO/?uri=OJ:L:2022:333:TOC" TargetMode="External"/><Relationship Id="rId53" Type="http://schemas.openxmlformats.org/officeDocument/2006/relationships/hyperlink" Target="https://eur-lex.europa.eu/eli/reg/2022/2554/oj/eng" TargetMode="External"/><Relationship Id="rId5" Type="http://schemas.openxmlformats.org/officeDocument/2006/relationships/hyperlink" Target="https://eur-lex.europa.eu/eli/reg/2022/2554/oj/eng" TargetMode="External"/><Relationship Id="rId19" Type="http://schemas.openxmlformats.org/officeDocument/2006/relationships/hyperlink" Target="https://eur-lex.europa.eu/eli/reg/2022/2554/oj/eng" TargetMode="External"/><Relationship Id="rId4" Type="http://schemas.openxmlformats.org/officeDocument/2006/relationships/hyperlink" Target="https://eur-lex.europa.eu/eli/reg/2022/2554/oj/eng" TargetMode="External"/><Relationship Id="rId9" Type="http://schemas.openxmlformats.org/officeDocument/2006/relationships/hyperlink" Target="https://eur-lex.europa.eu/eli/reg/2022/2554/oj/eng" TargetMode="External"/><Relationship Id="rId14" Type="http://schemas.openxmlformats.org/officeDocument/2006/relationships/hyperlink" Target="https://eur-lex.europa.eu/eli/reg/2022/2554/oj/eng" TargetMode="External"/><Relationship Id="rId22" Type="http://schemas.openxmlformats.org/officeDocument/2006/relationships/hyperlink" Target="https://eur-lex.europa.eu/eli/reg/2022/2554/oj/eng" TargetMode="External"/><Relationship Id="rId27" Type="http://schemas.openxmlformats.org/officeDocument/2006/relationships/hyperlink" Target="https://eur-lex.europa.eu/eli/reg/2022/2554/oj/eng" TargetMode="External"/><Relationship Id="rId30" Type="http://schemas.openxmlformats.org/officeDocument/2006/relationships/hyperlink" Target="https://eur-lex.europa.eu/eli/reg/2022/2554/oj/eng" TargetMode="External"/><Relationship Id="rId35" Type="http://schemas.openxmlformats.org/officeDocument/2006/relationships/hyperlink" Target="https://eur-lex.europa.eu/eli/reg/2022/2554/oj/eng" TargetMode="External"/><Relationship Id="rId43" Type="http://schemas.openxmlformats.org/officeDocument/2006/relationships/hyperlink" Target="https://eur-lex.europa.eu/eli/reg/2022/2554/oj/eng" TargetMode="External"/><Relationship Id="rId48" Type="http://schemas.openxmlformats.org/officeDocument/2006/relationships/hyperlink" Target="https://eur-lex.europa.eu/legal-content/EN/AUTO/?uri=OJ:L:2022:333:TOC" TargetMode="External"/><Relationship Id="rId56" Type="http://schemas.openxmlformats.org/officeDocument/2006/relationships/fontTable" Target="fontTable.xml"/><Relationship Id="rId8" Type="http://schemas.openxmlformats.org/officeDocument/2006/relationships/hyperlink" Target="https://eur-lex.europa.eu/eli/reg/2022/2554/oj/eng" TargetMode="External"/><Relationship Id="rId51" Type="http://schemas.openxmlformats.org/officeDocument/2006/relationships/hyperlink" Target="https://eur-lex.europa.eu/legal-content/EN/AUTO/?uri=OJ:L:2022:333:TOC" TargetMode="External"/><Relationship Id="rId3" Type="http://schemas.openxmlformats.org/officeDocument/2006/relationships/webSettings" Target="webSettings.xml"/><Relationship Id="rId12" Type="http://schemas.openxmlformats.org/officeDocument/2006/relationships/hyperlink" Target="https://eur-lex.europa.eu/eli/reg/2022/2554/oj/eng" TargetMode="External"/><Relationship Id="rId17" Type="http://schemas.openxmlformats.org/officeDocument/2006/relationships/hyperlink" Target="https://eur-lex.europa.eu/eli/reg/2022/2554/oj/eng" TargetMode="External"/><Relationship Id="rId25" Type="http://schemas.openxmlformats.org/officeDocument/2006/relationships/hyperlink" Target="https://eur-lex.europa.eu/eli/reg/2022/2554/oj/eng" TargetMode="External"/><Relationship Id="rId33" Type="http://schemas.openxmlformats.org/officeDocument/2006/relationships/hyperlink" Target="https://eur-lex.europa.eu/eli/reg/2022/2554/oj/eng" TargetMode="External"/><Relationship Id="rId38" Type="http://schemas.openxmlformats.org/officeDocument/2006/relationships/hyperlink" Target="https://eur-lex.europa.eu/eli/reg/2022/2554/oj/eng" TargetMode="External"/><Relationship Id="rId46" Type="http://schemas.openxmlformats.org/officeDocument/2006/relationships/hyperlink" Target="https://eur-lex.europa.eu/eli/reg/2022/2554/oj/eng" TargetMode="External"/><Relationship Id="rId20" Type="http://schemas.openxmlformats.org/officeDocument/2006/relationships/hyperlink" Target="https://eur-lex.europa.eu/eli/reg/2022/2554/oj/eng" TargetMode="External"/><Relationship Id="rId41" Type="http://schemas.openxmlformats.org/officeDocument/2006/relationships/hyperlink" Target="https://eur-lex.europa.eu/eli/reg/2022/2554/oj/eng" TargetMode="External"/><Relationship Id="rId54" Type="http://schemas.openxmlformats.org/officeDocument/2006/relationships/hyperlink" Target="https://eur-lex.europa.eu/legal-content/EN/AUTO/?uri=OJ:L:2022:333:TOC" TargetMode="External"/><Relationship Id="rId1" Type="http://schemas.openxmlformats.org/officeDocument/2006/relationships/styles" Target="styles.xml"/><Relationship Id="rId6" Type="http://schemas.openxmlformats.org/officeDocument/2006/relationships/hyperlink" Target="https://eur-lex.europa.eu/eli/reg/2022/2554/oj/eng" TargetMode="External"/><Relationship Id="rId15" Type="http://schemas.openxmlformats.org/officeDocument/2006/relationships/hyperlink" Target="https://eur-lex.europa.eu/eli/reg/2022/2554/oj/eng" TargetMode="External"/><Relationship Id="rId23" Type="http://schemas.openxmlformats.org/officeDocument/2006/relationships/hyperlink" Target="https://eur-lex.europa.eu/eli/reg/2022/2554/oj/eng" TargetMode="External"/><Relationship Id="rId28" Type="http://schemas.openxmlformats.org/officeDocument/2006/relationships/hyperlink" Target="https://eur-lex.europa.eu/eli/reg/2022/2554/oj/eng" TargetMode="External"/><Relationship Id="rId36" Type="http://schemas.openxmlformats.org/officeDocument/2006/relationships/hyperlink" Target="https://eur-lex.europa.eu/eli/reg/2022/2554/oj/eng" TargetMode="External"/><Relationship Id="rId49" Type="http://schemas.openxmlformats.org/officeDocument/2006/relationships/hyperlink" Target="https://eur-lex.europa.eu/eli/reg/2022/2554/oj/eng" TargetMode="External"/><Relationship Id="rId57" Type="http://schemas.openxmlformats.org/officeDocument/2006/relationships/theme" Target="theme/theme1.xml"/><Relationship Id="rId10" Type="http://schemas.openxmlformats.org/officeDocument/2006/relationships/hyperlink" Target="https://eur-lex.europa.eu/eli/reg/2022/2554/oj/eng" TargetMode="External"/><Relationship Id="rId31" Type="http://schemas.openxmlformats.org/officeDocument/2006/relationships/hyperlink" Target="https://eur-lex.europa.eu/eli/reg/2022/2554/oj/eng" TargetMode="External"/><Relationship Id="rId44" Type="http://schemas.openxmlformats.org/officeDocument/2006/relationships/hyperlink" Target="https://eur-lex.europa.eu/eli/reg/2022/2554/oj/eng" TargetMode="External"/><Relationship Id="rId52" Type="http://schemas.openxmlformats.org/officeDocument/2006/relationships/hyperlink" Target="https://eur-lex.europa.eu/eli/reg/2022/2554/oj/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107</Pages>
  <Words>44802</Words>
  <Characters>255378</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Aleca</dc:creator>
  <cp:keywords/>
  <dc:description/>
  <cp:lastModifiedBy>Andrei Aleca</cp:lastModifiedBy>
  <cp:revision>1</cp:revision>
  <dcterms:created xsi:type="dcterms:W3CDTF">2025-03-31T19:54:00Z</dcterms:created>
  <dcterms:modified xsi:type="dcterms:W3CDTF">2025-03-31T20:20:00Z</dcterms:modified>
</cp:coreProperties>
</file>