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6126480" cy="1853844"/>
            <wp:docPr id="1" name="Picture 1"/>
            <wp:cNvGraphicFramePr>
              <a:graphicFrameLocks noChangeAspect="1"/>
            </wp:cNvGraphicFramePr>
            <a:graphic>
              <a:graphicData uri="http://schemas.openxmlformats.org/drawingml/2006/picture">
                <pic:pic>
                  <pic:nvPicPr>
                    <pic:cNvPr id="0" name="utt_banner.png"/>
                    <pic:cNvPicPr/>
                  </pic:nvPicPr>
                  <pic:blipFill>
                    <a:blip r:embed="rId11"/>
                    <a:stretch>
                      <a:fillRect/>
                    </a:stretch>
                  </pic:blipFill>
                  <pic:spPr>
                    <a:xfrm>
                      <a:off x="0" y="0"/>
                      <a:ext cx="6126480" cy="1853844"/>
                    </a:xfrm>
                    <a:prstGeom prst="rect"/>
                  </pic:spPr>
                </pic:pic>
              </a:graphicData>
            </a:graphic>
          </wp:inline>
        </w:drawing>
      </w:r>
    </w:p>
    <w:p>
      <w:pPr>
        <w:jc w:val="center"/>
      </w:pPr>
      <w:r>
        <w:drawing>
          <wp:inline xmlns:a="http://schemas.openxmlformats.org/drawingml/2006/main" xmlns:pic="http://schemas.openxmlformats.org/drawingml/2006/picture">
            <wp:extent cx="2011680" cy="729408"/>
            <wp:docPr id="2" name="Picture 2"/>
            <wp:cNvGraphicFramePr>
              <a:graphicFrameLocks noChangeAspect="1"/>
            </wp:cNvGraphicFramePr>
            <a:graphic>
              <a:graphicData uri="http://schemas.openxmlformats.org/drawingml/2006/picture">
                <pic:pic>
                  <pic:nvPicPr>
                    <pic:cNvPr id="0" name="utt_logo.png"/>
                    <pic:cNvPicPr/>
                  </pic:nvPicPr>
                  <pic:blipFill>
                    <a:blip r:embed="rId12"/>
                    <a:stretch>
                      <a:fillRect/>
                    </a:stretch>
                  </pic:blipFill>
                  <pic:spPr>
                    <a:xfrm>
                      <a:off x="0" y="0"/>
                      <a:ext cx="2011680" cy="729408"/>
                    </a:xfrm>
                    <a:prstGeom prst="rect"/>
                  </pic:spPr>
                </pic:pic>
              </a:graphicData>
            </a:graphic>
          </wp:inline>
        </w:drawing>
      </w:r>
    </w:p>
    <w:p>
      <w:pPr>
        <w:keepLines/>
        <w:widowControl/>
        <w:spacing w:after="360"/>
        <w:jc w:val="center"/>
      </w:pPr>
      <w:r>
        <w:rPr>
          <w:rFonts w:ascii="Segoe UI" w:hAnsi="Segoe UI"/>
          <w:b w:val="0"/>
          <w:i w:val="0"/>
          <w:color w:val="555555"/>
          <w:sz w:val="22"/>
        </w:rPr>
        <w:t>UV IF23 P — Géolocalisation indoor et outdoor</w:t>
      </w:r>
    </w:p>
    <w:p>
      <w:pPr>
        <w:keepLines/>
        <w:widowControl/>
        <w:spacing w:after="80"/>
        <w:jc w:val="center"/>
      </w:pPr>
      <w:r>
        <w:rPr>
          <w:rFonts w:ascii="Segoe UI" w:hAnsi="Segoe UI"/>
          <w:b/>
          <w:i w:val="0"/>
          <w:color w:val="001E62"/>
          <w:sz w:val="48"/>
        </w:rPr>
        <w:t>Localisation indoor par fingerprinting WiFi</w:t>
      </w:r>
    </w:p>
    <w:p>
      <w:pPr>
        <w:keepLines/>
        <w:widowControl/>
        <w:spacing w:after="200"/>
        <w:jc w:val="center"/>
      </w:pPr>
      <w:r>
        <w:rPr>
          <w:rFonts w:ascii="Segoe UI" w:hAnsi="Segoe UI"/>
          <w:b w:val="0"/>
          <w:i w:val="0"/>
          <w:color w:val="0072CE"/>
          <w:sz w:val="26"/>
        </w:rPr>
        <w:t>Détection de salle et estimation de position dans le bâtiment de l'UTT</w:t>
      </w:r>
    </w:p>
    <w:p>
      <w:pPr>
        <w:pBdr>
          <w:bottom w:val="single" w:sz="12" w:space="1" w:color="009CDE"/>
        </w:pBdr>
        <w:spacing w:after="40"/>
      </w:pPr>
    </w:p>
    <w:p>
      <w:pPr>
        <w:keepLines/>
        <w:widowControl/>
        <w:spacing w:after="40"/>
        <w:jc w:val="center"/>
      </w:pPr>
      <w:r>
        <w:rPr>
          <w:rFonts w:ascii="Segoe UI" w:hAnsi="Segoe UI"/>
          <w:b/>
          <w:i w:val="0"/>
          <w:color w:val="001E62"/>
          <w:sz w:val="24"/>
        </w:rPr>
        <w:t>Binôme 6 — Molka GHADDAB · Maxime LE GAL · Virgile TUPET</w:t>
      </w:r>
    </w:p>
    <w:p>
      <w:pPr>
        <w:keepLines/>
        <w:widowControl/>
        <w:spacing w:after="40"/>
        <w:jc w:val="center"/>
      </w:pPr>
      <w:r>
        <w:rPr>
          <w:rFonts w:ascii="Segoe UI" w:hAnsi="Segoe UI"/>
          <w:b w:val="0"/>
          <w:i w:val="0"/>
          <w:color w:val="555555"/>
          <w:sz w:val="22"/>
        </w:rPr>
        <w:t>Encadrante : Farah Chehade</w:t>
      </w:r>
    </w:p>
    <w:p>
      <w:pPr>
        <w:keepLines/>
        <w:widowControl/>
        <w:spacing w:after="80"/>
        <w:jc w:val="center"/>
      </w:pPr>
      <w:r>
        <w:rPr>
          <w:rFonts w:ascii="Segoe UI" w:hAnsi="Segoe UI"/>
          <w:b w:val="0"/>
          <w:i w:val="0"/>
          <w:color w:val="555555"/>
          <w:sz w:val="22"/>
        </w:rPr>
        <w:t>Jalons ALT1 · ALT2 · ALT3 — Semestre P26 (juin 2026)</w:t>
      </w:r>
    </w:p>
    <w:p>
      <w:r>
        <w:br w:type="page"/>
      </w:r>
    </w:p>
    <w:p>
      <w:pPr>
        <w:keepLines/>
        <w:widowControl/>
        <w:spacing w:after="120"/>
      </w:pPr>
      <w:r>
        <w:rPr>
          <w:rFonts w:ascii="Segoe UI" w:hAnsi="Segoe UI"/>
          <w:b/>
          <w:i w:val="0"/>
          <w:color w:val="001E62"/>
          <w:sz w:val="32"/>
        </w:rPr>
        <w:t>Sommaire</w:t>
      </w:r>
    </w:p>
    <w:p>
      <w:r>
        <w:fldChar w:fldCharType="begin"/>
        <w:instrText xml:space="preserve">TOC \o "1-2" \h \z \u</w:instrText>
        <w:fldChar w:fldCharType="separate"/>
        <w:t>Sommaire : clic droit puis « Mettre à jour les champs » si non affiché.</w:t>
        <w:fldChar w:fldCharType="end"/>
      </w:r>
    </w:p>
    <w:p>
      <w:r>
        <w:br w:type="page"/>
      </w:r>
    </w:p>
    <w:p>
      <w:pPr>
        <w:pStyle w:val="Heading1"/>
        <w:keepNext/>
        <w:keepLines/>
        <w:widowControl/>
        <w:spacing w:before="160" w:after="60"/>
      </w:pPr>
      <w:r>
        <w:t>1. Introduction et objectifs</w:t>
      </w:r>
    </w:p>
    <w:p>
      <w:pPr>
        <w:pStyle w:val="Heading2"/>
        <w:keepNext/>
        <w:keepLines/>
        <w:widowControl/>
        <w:spacing w:before="160" w:after="60"/>
      </w:pPr>
      <w:r>
        <w:t>1.1 Contexte</w:t>
      </w:r>
    </w:p>
    <w:p>
      <w:pPr>
        <w:keepLines/>
        <w:widowControl/>
        <w:spacing w:after="80"/>
      </w:pPr>
      <w:r>
        <w:rPr>
          <w:rFonts w:ascii="Segoe UI" w:hAnsi="Segoe UI"/>
          <w:b w:val="0"/>
          <w:i w:val="0"/>
          <w:sz w:val="21"/>
        </w:rPr>
        <w:t>À l'intérieur d'un bâtiment, le GPS est inutilisable : les murs atténuent fortement le signal et la notion d'étage disparaît. Les réseaux WiFi, eux, sont présents partout et émettent en permanence. On peut donc s'en servir pour se localiser, sans installer de matériel supplémentaire. L'idée est le fingerprinting : à chaque endroit, un appareil capte un ensemble de bornes WiFi avec une puissance (RSSI, en dBm) qui lui est propre. Cet ensemble de puissances forme une « empreinte » radio caractéristique du lieu. On constitue d'abord une base associant des empreintes à des positions (phase hors ligne), puis on compare une nouvelle mesure à cette base pour estimer la position (phase en ligne).</w:t>
      </w:r>
    </w:p>
    <w:p>
      <w:pPr>
        <w:pStyle w:val="Heading2"/>
        <w:keepNext/>
        <w:keepLines/>
        <w:widowControl/>
        <w:spacing w:before="160" w:after="60"/>
      </w:pPr>
      <w:r>
        <w:t>1.2 Objectifs et cahier des charges</w:t>
      </w:r>
    </w:p>
    <w:p>
      <w:pPr>
        <w:keepLines/>
        <w:widowControl/>
        <w:spacing w:after="80"/>
      </w:pPr>
      <w:r>
        <w:rPr>
          <w:rFonts w:ascii="Segoe UI" w:hAnsi="Segoe UI"/>
          <w:b w:val="0"/>
          <w:i w:val="0"/>
          <w:sz w:val="21"/>
        </w:rPr>
        <w:t>Conformément à la consigne, le projet traite deux problèmes complémentaires : prédire la zone (salle) où se trouve l'appareil — un problème de classification — et estimer ses coordonnées exactes (x, y) à l'intérieur d'une zone — un problème de régression. À cela s'ajoute une exigence centrale : mesurer comment les performances évoluent dans le temps, à travers trois campagnes de mesures successives (ALT1, ALT2, ALT3).</w:t>
      </w:r>
    </w:p>
    <w:tbl>
      <w:tblPr>
        <w:tblStyle w:val="TableGrid"/>
        <w:tblW w:type="auto" w:w="0"/>
        <w:jc w:val="center"/>
        <w:tblLook w:firstColumn="1" w:firstRow="1" w:lastColumn="0" w:lastRow="0" w:noHBand="0" w:noVBand="1" w:val="04A0"/>
      </w:tblPr>
      <w:tblGrid>
        <w:gridCol w:w="5043"/>
        <w:gridCol w:w="5043"/>
      </w:tblGrid>
      <w:tr>
        <w:trPr>
          <w:cantSplit w:val="true"/>
          <w:tblHeader w:val="true"/>
        </w:trPr>
        <w:tc>
          <w:tcPr>
            <w:tcW w:type="dxa" w:w="5043"/>
            <w:shd w:val="clear" w:fill="001E62"/>
          </w:tcPr>
          <w:p>
            <w:r/>
            <w:r>
              <w:rPr>
                <w:rFonts w:ascii="Segoe UI" w:hAnsi="Segoe UI"/>
                <w:b/>
                <w:color w:val="FFFFFF"/>
                <w:sz w:val="17"/>
              </w:rPr>
              <w:t>Exigence</w:t>
            </w:r>
          </w:p>
        </w:tc>
        <w:tc>
          <w:tcPr>
            <w:tcW w:type="dxa" w:w="5043"/>
            <w:shd w:val="clear" w:fill="001E62"/>
          </w:tcPr>
          <w:p>
            <w:r/>
            <w:r>
              <w:rPr>
                <w:rFonts w:ascii="Segoe UI" w:hAnsi="Segoe UI"/>
                <w:b/>
                <w:color w:val="FFFFFF"/>
                <w:sz w:val="17"/>
              </w:rPr>
              <w:t>Description</w:t>
            </w:r>
          </w:p>
        </w:tc>
      </w:tr>
      <w:tr>
        <w:trPr>
          <w:cantSplit w:val="true"/>
        </w:trPr>
        <w:tc>
          <w:tcPr>
            <w:tcW w:type="dxa" w:w="5043"/>
          </w:tcPr>
          <w:p>
            <w:r/>
            <w:r>
              <w:rPr>
                <w:rFonts w:ascii="Segoe UI" w:hAnsi="Segoe UI"/>
                <w:sz w:val="17"/>
              </w:rPr>
              <w:t>Classification</w:t>
            </w:r>
          </w:p>
        </w:tc>
        <w:tc>
          <w:tcPr>
            <w:tcW w:type="dxa" w:w="5043"/>
          </w:tcPr>
          <w:p>
            <w:r/>
            <w:r>
              <w:rPr>
                <w:rFonts w:ascii="Segoe UI" w:hAnsi="Segoe UI"/>
                <w:sz w:val="17"/>
              </w:rPr>
              <w:t>prédire la zone parmi N (salle / couloir)</w:t>
            </w:r>
          </w:p>
        </w:tc>
      </w:tr>
      <w:tr>
        <w:trPr>
          <w:cantSplit w:val="true"/>
        </w:trPr>
        <w:tc>
          <w:tcPr>
            <w:tcW w:type="dxa" w:w="5043"/>
            <w:shd w:val="clear" w:fill="EAF2FB"/>
          </w:tcPr>
          <w:p>
            <w:r/>
            <w:r>
              <w:rPr>
                <w:rFonts w:ascii="Segoe UI" w:hAnsi="Segoe UI"/>
                <w:sz w:val="17"/>
              </w:rPr>
              <w:t>Régression</w:t>
            </w:r>
          </w:p>
        </w:tc>
        <w:tc>
          <w:tcPr>
            <w:tcW w:type="dxa" w:w="5043"/>
            <w:shd w:val="clear" w:fill="EAF2FB"/>
          </w:tcPr>
          <w:p>
            <w:r/>
            <w:r>
              <w:rPr>
                <w:rFonts w:ascii="Segoe UI" w:hAnsi="Segoe UI"/>
                <w:sz w:val="17"/>
              </w:rPr>
              <w:t>estimer (x, y) dans une zone donnée</w:t>
            </w:r>
          </w:p>
        </w:tc>
      </w:tr>
      <w:tr>
        <w:trPr>
          <w:cantSplit w:val="true"/>
        </w:trPr>
        <w:tc>
          <w:tcPr>
            <w:tcW w:type="dxa" w:w="5043"/>
          </w:tcPr>
          <w:p>
            <w:r/>
            <w:r>
              <w:rPr>
                <w:rFonts w:ascii="Segoe UI" w:hAnsi="Segoe UI"/>
                <w:sz w:val="17"/>
              </w:rPr>
              <w:t>Vectorisation</w:t>
            </w:r>
          </w:p>
        </w:tc>
        <w:tc>
          <w:tcPr>
            <w:tcW w:type="dxa" w:w="5043"/>
          </w:tcPr>
          <w:p>
            <w:r/>
            <w:r>
              <w:rPr>
                <w:rFonts w:ascii="Segoe UI" w:hAnsi="Segoe UI"/>
                <w:sz w:val="17"/>
              </w:rPr>
              <w:t>vecteur (RSSI BSSID₁ … BSSIDₙ), -100 si non capté</w:t>
            </w:r>
          </w:p>
        </w:tc>
      </w:tr>
      <w:tr>
        <w:trPr>
          <w:cantSplit w:val="true"/>
        </w:trPr>
        <w:tc>
          <w:tcPr>
            <w:tcW w:type="dxa" w:w="5043"/>
            <w:shd w:val="clear" w:fill="EAF2FB"/>
          </w:tcPr>
          <w:p>
            <w:r/>
            <w:r>
              <w:rPr>
                <w:rFonts w:ascii="Segoe UI" w:hAnsi="Segoe UI"/>
                <w:sz w:val="17"/>
              </w:rPr>
              <w:t>Modèles</w:t>
            </w:r>
          </w:p>
        </w:tc>
        <w:tc>
          <w:tcPr>
            <w:tcW w:type="dxa" w:w="5043"/>
            <w:shd w:val="clear" w:fill="EAF2FB"/>
          </w:tcPr>
          <w:p>
            <w:r/>
            <w:r>
              <w:rPr>
                <w:rFonts w:ascii="Segoe UI" w:hAnsi="Segoe UI"/>
                <w:sz w:val="17"/>
              </w:rPr>
              <w:t>plusieurs algorithmes, avec tous les réseaux puis une sélection</w:t>
            </w:r>
          </w:p>
        </w:tc>
      </w:tr>
      <w:tr>
        <w:trPr>
          <w:cantSplit w:val="true"/>
        </w:trPr>
        <w:tc>
          <w:tcPr>
            <w:tcW w:type="dxa" w:w="5043"/>
          </w:tcPr>
          <w:p>
            <w:r/>
            <w:r>
              <w:rPr>
                <w:rFonts w:ascii="Segoe UI" w:hAnsi="Segoe UI"/>
                <w:sz w:val="17"/>
              </w:rPr>
              <w:t>Évolution temporelle</w:t>
            </w:r>
          </w:p>
        </w:tc>
        <w:tc>
          <w:tcPr>
            <w:tcW w:type="dxa" w:w="5043"/>
          </w:tcPr>
          <w:p>
            <w:r/>
            <w:r>
              <w:rPr>
                <w:rFonts w:ascii="Segoe UI" w:hAnsi="Segoe UI"/>
                <w:sz w:val="17"/>
              </w:rPr>
              <w:t>stratégies ALT1 / ALT2 / ALT3 (obligatoire)</w:t>
            </w:r>
          </w:p>
        </w:tc>
      </w:tr>
      <w:tr>
        <w:trPr>
          <w:cantSplit w:val="true"/>
        </w:trPr>
        <w:tc>
          <w:tcPr>
            <w:tcW w:type="dxa" w:w="5043"/>
            <w:shd w:val="clear" w:fill="EAF2FB"/>
          </w:tcPr>
          <w:p>
            <w:r/>
            <w:r>
              <w:rPr>
                <w:rFonts w:ascii="Segoe UI" w:hAnsi="Segoe UI"/>
                <w:sz w:val="17"/>
              </w:rPr>
              <w:t>Outils</w:t>
            </w:r>
          </w:p>
        </w:tc>
        <w:tc>
          <w:tcPr>
            <w:tcW w:type="dxa" w:w="5043"/>
            <w:shd w:val="clear" w:fill="EAF2FB"/>
          </w:tcPr>
          <w:p>
            <w:r/>
            <w:r>
              <w:rPr>
                <w:rFonts w:ascii="Segoe UI" w:hAnsi="Segoe UI"/>
                <w:sz w:val="17"/>
              </w:rPr>
              <w:t>Python, pywifi, pandas / scikit-learn</w:t>
            </w:r>
          </w:p>
        </w:tc>
      </w:tr>
    </w:tbl>
    <w:p>
      <w:pPr>
        <w:keepLines/>
        <w:widowControl/>
        <w:spacing w:after="80"/>
      </w:pPr>
      <w:r>
        <w:rPr>
          <w:rFonts w:ascii="Segoe UI" w:hAnsi="Segoe UI"/>
          <w:b w:val="0"/>
          <w:i/>
          <w:color w:val="555555"/>
          <w:sz w:val="17"/>
        </w:rPr>
        <w:t>Tableau 1 — Synthèse du cahier des charges.</w:t>
      </w:r>
    </w:p>
    <w:p>
      <w:pPr>
        <w:keepLines/>
        <w:widowControl/>
        <w:spacing w:after="80"/>
      </w:pPr>
      <w:r>
        <w:rPr>
          <w:rFonts w:ascii="Segoe UI" w:hAnsi="Segoe UI"/>
          <w:b w:val="0"/>
          <w:i w:val="0"/>
          <w:sz w:val="21"/>
        </w:rPr>
        <w:t>Le périmètre couvre les bâtiments P et S de l'UTT sur plusieurs étages. Selon le découpage retenu, le système traite de 10 à 24 zones (salles, couloirs, paliers).</w:t>
      </w:r>
    </w:p>
    <w:p>
      <w:pPr>
        <w:pStyle w:val="Heading1"/>
        <w:keepNext/>
        <w:keepLines/>
        <w:widowControl/>
        <w:spacing w:before="160" w:after="60"/>
      </w:pPr>
      <w:r>
        <w:t>2. Données et collecte</w:t>
      </w:r>
    </w:p>
    <w:p>
      <w:pPr>
        <w:pStyle w:val="Heading2"/>
        <w:keepNext/>
        <w:keepLines/>
        <w:widowControl/>
        <w:spacing w:before="160" w:after="60"/>
      </w:pPr>
      <w:r>
        <w:t>2.1 Nature des mesures</w:t>
      </w:r>
    </w:p>
    <w:p>
      <w:pPr>
        <w:keepLines/>
        <w:widowControl/>
        <w:spacing w:after="80"/>
      </w:pPr>
      <w:r>
        <w:rPr>
          <w:rFonts w:ascii="Segoe UI" w:hAnsi="Segoe UI"/>
          <w:b w:val="0"/>
          <w:i w:val="0"/>
          <w:sz w:val="21"/>
        </w:rPr>
        <w:t>Chaque relevé associe le nom du réseau (SSID), son adresse matérielle (BSSID), sa puissance (RSSI) et l'instant de mesure. À chaque point, on enchaîne plusieurs scans que l'on moyenne par réseau, ce qui lisse le bruit radio. On obtient un vecteur de puissances, une valeur par réseau connu ; les réseaux non détectés à ce point reçoivent -100 dBm (signal absent). La base de données est organisée par bâtiment, étage, zone, coordonnées (x, y), réseau et instant de mesure.</w:t>
      </w:r>
    </w:p>
    <w:p>
      <w:pPr>
        <w:pStyle w:val="Heading2"/>
        <w:keepNext/>
        <w:keepLines/>
        <w:widowControl/>
        <w:spacing w:before="160" w:after="60"/>
      </w:pPr>
      <w:r>
        <w:t>2.2 Les trois campagnes ALT1, ALT2, ALT3</w:t>
      </w:r>
    </w:p>
    <w:p>
      <w:pPr>
        <w:keepLines/>
        <w:widowControl/>
        <w:spacing w:after="80"/>
      </w:pPr>
      <w:r>
        <w:rPr>
          <w:rFonts w:ascii="Segoe UI" w:hAnsi="Segoe UI"/>
          <w:b w:val="0"/>
          <w:i w:val="0"/>
          <w:sz w:val="21"/>
        </w:rPr>
        <w:t>La consigne définit trois campagnes successives, de densité décroissante, dont l'objet est de mesurer la tenue du modèle dans le temps. ALT1 (février) est la campagne de référence, la plus dense ; ALT2 (avril) re-mesure une partie des zones trois mois plus tard ; ALT3 (juin) servira de test final. Le protocole a évolué entre ALT1 (sous-découpage de chaque salle en deux sous-zones A/B) et ALT2 (capture continue de la salle entière, environ trois minutes par salle). Pour comparer les deux campagnes, les sous-zones A/B d'ALT1 sont fusionnées au niveau de la salle.</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cantSplit w:val="true"/>
          <w:tblHeader w:val="true"/>
        </w:trPr>
        <w:tc>
          <w:tcPr>
            <w:tcW w:type="dxa" w:w="2017"/>
            <w:shd w:val="clear" w:fill="001E62"/>
          </w:tcPr>
          <w:p>
            <w:r/>
            <w:r>
              <w:rPr>
                <w:rFonts w:ascii="Segoe UI" w:hAnsi="Segoe UI"/>
                <w:b/>
                <w:color w:val="FFFFFF"/>
                <w:sz w:val="17"/>
              </w:rPr>
              <w:t>Jeu</w:t>
            </w:r>
          </w:p>
        </w:tc>
        <w:tc>
          <w:tcPr>
            <w:tcW w:type="dxa" w:w="2017"/>
            <w:shd w:val="clear" w:fill="001E62"/>
          </w:tcPr>
          <w:p>
            <w:r/>
            <w:r>
              <w:rPr>
                <w:rFonts w:ascii="Segoe UI" w:hAnsi="Segoe UI"/>
                <w:b/>
                <w:color w:val="FFFFFF"/>
                <w:sz w:val="17"/>
              </w:rPr>
              <w:t>Période</w:t>
            </w:r>
          </w:p>
        </w:tc>
        <w:tc>
          <w:tcPr>
            <w:tcW w:type="dxa" w:w="2017"/>
            <w:shd w:val="clear" w:fill="001E62"/>
          </w:tcPr>
          <w:p>
            <w:r/>
            <w:r>
              <w:rPr>
                <w:rFonts w:ascii="Segoe UI" w:hAnsi="Segoe UI"/>
                <w:b/>
                <w:color w:val="FFFFFF"/>
                <w:sz w:val="17"/>
              </w:rPr>
              <w:t>Zones</w:t>
            </w:r>
          </w:p>
        </w:tc>
        <w:tc>
          <w:tcPr>
            <w:tcW w:type="dxa" w:w="2017"/>
            <w:shd w:val="clear" w:fill="001E62"/>
          </w:tcPr>
          <w:p>
            <w:r/>
            <w:r>
              <w:rPr>
                <w:rFonts w:ascii="Segoe UI" w:hAnsi="Segoe UI"/>
                <w:b/>
                <w:color w:val="FFFFFF"/>
                <w:sz w:val="17"/>
              </w:rPr>
              <w:t>Snapshots</w:t>
            </w:r>
          </w:p>
        </w:tc>
        <w:tc>
          <w:tcPr>
            <w:tcW w:type="dxa" w:w="2017"/>
            <w:shd w:val="clear" w:fill="001E62"/>
          </w:tcPr>
          <w:p>
            <w:r/>
            <w:r>
              <w:rPr>
                <w:rFonts w:ascii="Segoe UI" w:hAnsi="Segoe UI"/>
                <w:b/>
                <w:color w:val="FFFFFF"/>
                <w:sz w:val="17"/>
              </w:rPr>
              <w:t>Rôle</w:t>
            </w:r>
          </w:p>
        </w:tc>
      </w:tr>
      <w:tr>
        <w:trPr>
          <w:cantSplit w:val="true"/>
        </w:trPr>
        <w:tc>
          <w:tcPr>
            <w:tcW w:type="dxa" w:w="2017"/>
          </w:tcPr>
          <w:p>
            <w:r/>
            <w:r>
              <w:rPr>
                <w:rFonts w:ascii="Segoe UI" w:hAnsi="Segoe UI"/>
                <w:sz w:val="17"/>
              </w:rPr>
              <w:t>ALT1</w:t>
            </w:r>
          </w:p>
        </w:tc>
        <w:tc>
          <w:tcPr>
            <w:tcW w:type="dxa" w:w="2017"/>
          </w:tcPr>
          <w:p>
            <w:r/>
            <w:r>
              <w:rPr>
                <w:rFonts w:ascii="Segoe UI" w:hAnsi="Segoe UI"/>
                <w:sz w:val="17"/>
              </w:rPr>
              <w:t>février 2026</w:t>
            </w:r>
          </w:p>
        </w:tc>
        <w:tc>
          <w:tcPr>
            <w:tcW w:type="dxa" w:w="2017"/>
          </w:tcPr>
          <w:p>
            <w:r/>
            <w:r>
              <w:rPr>
                <w:rFonts w:ascii="Segoe UI" w:hAnsi="Segoe UI"/>
                <w:sz w:val="17"/>
              </w:rPr>
              <w:t>24 (sous-zones A/B)</w:t>
            </w:r>
          </w:p>
        </w:tc>
        <w:tc>
          <w:tcPr>
            <w:tcW w:type="dxa" w:w="2017"/>
          </w:tcPr>
          <w:p>
            <w:r/>
            <w:r>
              <w:rPr>
                <w:rFonts w:ascii="Segoe UI" w:hAnsi="Segoe UI"/>
                <w:sz w:val="17"/>
              </w:rPr>
              <w:t>1 498</w:t>
            </w:r>
          </w:p>
        </w:tc>
        <w:tc>
          <w:tcPr>
            <w:tcW w:type="dxa" w:w="2017"/>
          </w:tcPr>
          <w:p>
            <w:r/>
            <w:r>
              <w:rPr>
                <w:rFonts w:ascii="Segoe UI" w:hAnsi="Segoe UI"/>
                <w:sz w:val="17"/>
              </w:rPr>
              <w:t>apprentissage</w:t>
            </w:r>
          </w:p>
        </w:tc>
      </w:tr>
      <w:tr>
        <w:trPr>
          <w:cantSplit w:val="true"/>
        </w:trPr>
        <w:tc>
          <w:tcPr>
            <w:tcW w:type="dxa" w:w="2017"/>
            <w:shd w:val="clear" w:fill="EAF2FB"/>
          </w:tcPr>
          <w:p>
            <w:r/>
            <w:r>
              <w:rPr>
                <w:rFonts w:ascii="Segoe UI" w:hAnsi="Segoe UI"/>
                <w:sz w:val="17"/>
              </w:rPr>
              <w:t>ALT2</w:t>
            </w:r>
          </w:p>
        </w:tc>
        <w:tc>
          <w:tcPr>
            <w:tcW w:type="dxa" w:w="2017"/>
            <w:shd w:val="clear" w:fill="EAF2FB"/>
          </w:tcPr>
          <w:p>
            <w:r/>
            <w:r>
              <w:rPr>
                <w:rFonts w:ascii="Segoe UI" w:hAnsi="Segoe UI"/>
                <w:sz w:val="17"/>
              </w:rPr>
              <w:t>28 avril 2026</w:t>
            </w:r>
          </w:p>
        </w:tc>
        <w:tc>
          <w:tcPr>
            <w:tcW w:type="dxa" w:w="2017"/>
            <w:shd w:val="clear" w:fill="EAF2FB"/>
          </w:tcPr>
          <w:p>
            <w:r/>
            <w:r>
              <w:rPr>
                <w:rFonts w:ascii="Segoe UI" w:hAnsi="Segoe UI"/>
                <w:sz w:val="17"/>
              </w:rPr>
              <w:t>10 (salles entières)</w:t>
            </w:r>
          </w:p>
        </w:tc>
        <w:tc>
          <w:tcPr>
            <w:tcW w:type="dxa" w:w="2017"/>
            <w:shd w:val="clear" w:fill="EAF2FB"/>
          </w:tcPr>
          <w:p>
            <w:r/>
            <w:r>
              <w:rPr>
                <w:rFonts w:ascii="Segoe UI" w:hAnsi="Segoe UI"/>
                <w:sz w:val="17"/>
              </w:rPr>
              <w:t>452</w:t>
            </w:r>
          </w:p>
        </w:tc>
        <w:tc>
          <w:tcPr>
            <w:tcW w:type="dxa" w:w="2017"/>
            <w:shd w:val="clear" w:fill="EAF2FB"/>
          </w:tcPr>
          <w:p>
            <w:r/>
            <w:r>
              <w:rPr>
                <w:rFonts w:ascii="Segoe UI" w:hAnsi="Segoe UI"/>
                <w:sz w:val="17"/>
              </w:rPr>
              <w:t>test temporel + ré-app.</w:t>
            </w:r>
          </w:p>
        </w:tc>
      </w:tr>
      <w:tr>
        <w:trPr>
          <w:cantSplit w:val="true"/>
        </w:trPr>
        <w:tc>
          <w:tcPr>
            <w:tcW w:type="dxa" w:w="2017"/>
          </w:tcPr>
          <w:p>
            <w:r/>
            <w:r>
              <w:rPr>
                <w:rFonts w:ascii="Segoe UI" w:hAnsi="Segoe UI"/>
                <w:sz w:val="17"/>
              </w:rPr>
              <w:t>ALT3</w:t>
            </w:r>
          </w:p>
        </w:tc>
        <w:tc>
          <w:tcPr>
            <w:tcW w:type="dxa" w:w="2017"/>
          </w:tcPr>
          <w:p>
            <w:r/>
            <w:r>
              <w:rPr>
                <w:rFonts w:ascii="Segoe UI" w:hAnsi="Segoe UI"/>
                <w:sz w:val="17"/>
              </w:rPr>
              <w:t>juin 2026 (à venir)</w:t>
            </w:r>
          </w:p>
        </w:tc>
        <w:tc>
          <w:tcPr>
            <w:tcW w:type="dxa" w:w="2017"/>
          </w:tcPr>
          <w:p>
            <w:r/>
            <w:r>
              <w:rPr>
                <w:rFonts w:ascii="Segoe UI" w:hAnsi="Segoe UI"/>
                <w:sz w:val="17"/>
              </w:rPr>
              <w:t>—</w:t>
            </w:r>
          </w:p>
        </w:tc>
        <w:tc>
          <w:tcPr>
            <w:tcW w:type="dxa" w:w="2017"/>
          </w:tcPr>
          <w:p>
            <w:r/>
            <w:r>
              <w:rPr>
                <w:rFonts w:ascii="Segoe UI" w:hAnsi="Segoe UI"/>
                <w:sz w:val="17"/>
              </w:rPr>
              <w:t>—</w:t>
            </w:r>
          </w:p>
        </w:tc>
        <w:tc>
          <w:tcPr>
            <w:tcW w:type="dxa" w:w="2017"/>
          </w:tcPr>
          <w:p>
            <w:r/>
            <w:r>
              <w:rPr>
                <w:rFonts w:ascii="Segoe UI" w:hAnsi="Segoe UI"/>
                <w:sz w:val="17"/>
              </w:rPr>
              <w:t>test final (stratégie 3)</w:t>
            </w:r>
          </w:p>
        </w:tc>
      </w:tr>
    </w:tbl>
    <w:p>
      <w:pPr>
        <w:keepLines/>
        <w:widowControl/>
        <w:spacing w:after="80"/>
      </w:pPr>
      <w:r>
        <w:rPr>
          <w:rFonts w:ascii="Segoe UI" w:hAnsi="Segoe UI"/>
          <w:b w:val="0"/>
          <w:i/>
          <w:color w:val="555555"/>
          <w:sz w:val="17"/>
        </w:rPr>
        <w:t>Tableau 2 — Les trois campagnes. ALT1 et ALT2 sont intégrées ; ALT3 reste à collecter.</w:t>
      </w:r>
    </w:p>
    <w:p>
      <w:pPr>
        <w:keepLines/>
        <w:widowControl/>
        <w:spacing w:after="80"/>
      </w:pPr>
      <w:r>
        <w:rPr>
          <w:rFonts w:ascii="Segoe UI" w:hAnsi="Segoe UI"/>
          <w:b w:val="0"/>
          <w:i w:val="0"/>
          <w:sz w:val="21"/>
        </w:rPr>
        <w:t>Sept zones sont communes à ALT1 et ALT2 (elles permettent la comparaison temporelle) et trois sont nouvelles en ALT2 (P104, P204, S201). À noter, un point de rigueur sur les données : un fichier ALT2 contenait en réalité deux salles capturées à la suite ; un écart temporel d'environ 80 s a permis de les séparer automatiquement en deux fichiers distincts.</w:t>
      </w:r>
    </w:p>
    <w:p>
      <w:pPr>
        <w:pStyle w:val="Heading2"/>
        <w:keepNext/>
        <w:keepLines/>
        <w:widowControl/>
        <w:spacing w:before="160" w:after="60"/>
      </w:pPr>
      <w:r>
        <w:t>2.3 Jeu de données pour la régression</w:t>
      </w:r>
    </w:p>
    <w:p>
      <w:pPr>
        <w:keepLines/>
        <w:widowControl/>
        <w:spacing w:after="80"/>
      </w:pPr>
      <w:r>
        <w:rPr>
          <w:rFonts w:ascii="Segoe UI" w:hAnsi="Segoe UI"/>
          <w:b w:val="0"/>
          <w:i w:val="0"/>
          <w:sz w:val="21"/>
        </w:rPr>
        <w:t>Pour la position exacte, une salle (environ 5 × 7 m) a été cartographiée finement : 46 points de coordonnées (x, y) connues, chacun décrit par le RSSI de 52 bornes. Ce jeu, conforme au format attendu (X, Y puis une colonne par BSSID), sert à l'apprentissage de la régression intra-zone (section 6).</w:t>
      </w:r>
    </w:p>
    <w:p>
      <w:pPr>
        <w:pStyle w:val="Heading1"/>
        <w:keepNext/>
        <w:keepLines/>
        <w:widowControl/>
        <w:spacing w:before="160" w:after="60"/>
      </w:pPr>
      <w:r>
        <w:t>3. Ingénierie des caractéristiques</w:t>
      </w:r>
    </w:p>
    <w:p>
      <w:pPr>
        <w:pStyle w:val="Heading2"/>
        <w:keepNext/>
        <w:keepLines/>
        <w:widowControl/>
        <w:spacing w:before="160" w:after="60"/>
      </w:pPr>
      <w:r>
        <w:t>3.1 Vectorisation des scans</w:t>
      </w:r>
    </w:p>
    <w:p>
      <w:pPr>
        <w:keepLines/>
        <w:widowControl/>
        <w:spacing w:after="80"/>
      </w:pPr>
      <w:r>
        <w:rPr>
          <w:rFonts w:ascii="Segoe UI" w:hAnsi="Segoe UI"/>
          <w:b w:val="0"/>
          <w:i w:val="0"/>
          <w:sz w:val="21"/>
        </w:rPr>
        <w:t>Le défi central est de transformer un scan WiFi — une liste de longueur variable de triplets (SSID, BSSID, RSSI) — en un vecteur de taille fixe, identique pour tous les relevés. Pour chaque réseau retenu (présent dans au moins quelques snapshots), on calcule des statistiques de puissance : moyenne, maximum, écart-type, et présence. On y ajoute des indicateurs globaux du scan (nombre de réseaux visibles, RSSI moyen, médian, etc.). Cette transformation est encapsulée dans un module réutilisable, garantissant la même opération à l'apprentissage et à la prédiction.</w:t>
      </w:r>
    </w:p>
    <w:p>
      <w:pPr>
        <w:pStyle w:val="Heading2"/>
        <w:keepNext/>
        <w:keepLines/>
        <w:widowControl/>
        <w:spacing w:before="160" w:after="60"/>
      </w:pPr>
      <w:r>
        <w:t>3.2 Choix de l'identifiant réseau</w:t>
      </w:r>
    </w:p>
    <w:p>
      <w:pPr>
        <w:keepLines/>
        <w:widowControl/>
        <w:spacing w:after="80"/>
      </w:pPr>
      <w:r>
        <w:rPr>
          <w:rFonts w:ascii="Segoe UI" w:hAnsi="Segoe UI"/>
          <w:b w:val="0"/>
          <w:i w:val="0"/>
          <w:sz w:val="21"/>
        </w:rPr>
        <w:t>Le choix de l'identifiant a un effet direct sur les performances. Trois options ont été comparées : le SSID seul (nom de réseau), le BSSID seul (borne physique), et un identifiant composé SSID|BSSID qui combine les deux. Le SSID est trop peu discriminant (tous les points d'accès UTT partagent les mêmes noms) ; le BSSID distingue chaque borne ; l'identifiant composé apporte le maximum d'information.</w:t>
      </w:r>
    </w:p>
    <w:tbl>
      <w:tblPr>
        <w:tblStyle w:val="TableGrid"/>
        <w:tblW w:type="auto" w:w="0"/>
        <w:jc w:val="center"/>
        <w:tblLook w:firstColumn="1" w:firstRow="1" w:lastColumn="0" w:lastRow="0" w:noHBand="0" w:noVBand="1" w:val="04A0"/>
      </w:tblPr>
      <w:tblGrid>
        <w:gridCol w:w="2521"/>
        <w:gridCol w:w="2521"/>
        <w:gridCol w:w="2521"/>
        <w:gridCol w:w="2521"/>
      </w:tblGrid>
      <w:tr>
        <w:trPr>
          <w:cantSplit w:val="true"/>
          <w:tblHeader w:val="true"/>
        </w:trPr>
        <w:tc>
          <w:tcPr>
            <w:tcW w:type="dxa" w:w="2521"/>
            <w:shd w:val="clear" w:fill="001E62"/>
          </w:tcPr>
          <w:p>
            <w:r/>
            <w:r>
              <w:rPr>
                <w:rFonts w:ascii="Segoe UI" w:hAnsi="Segoe UI"/>
                <w:b/>
                <w:color w:val="FFFFFF"/>
                <w:sz w:val="17"/>
              </w:rPr>
              <w:t>Identifiant</w:t>
            </w:r>
          </w:p>
        </w:tc>
        <w:tc>
          <w:tcPr>
            <w:tcW w:type="dxa" w:w="2521"/>
            <w:shd w:val="clear" w:fill="001E62"/>
          </w:tcPr>
          <w:p>
            <w:r/>
            <w:r>
              <w:rPr>
                <w:rFonts w:ascii="Segoe UI" w:hAnsi="Segoe UI"/>
                <w:b/>
                <w:color w:val="FFFFFF"/>
                <w:sz w:val="17"/>
              </w:rPr>
              <w:t>Nb identifiants</w:t>
            </w:r>
          </w:p>
        </w:tc>
        <w:tc>
          <w:tcPr>
            <w:tcW w:type="dxa" w:w="2521"/>
            <w:shd w:val="clear" w:fill="001E62"/>
          </w:tcPr>
          <w:p>
            <w:r/>
            <w:r>
              <w:rPr>
                <w:rFonts w:ascii="Segoe UI" w:hAnsi="Segoe UI"/>
                <w:b/>
                <w:color w:val="FFFFFF"/>
                <w:sz w:val="17"/>
              </w:rPr>
              <w:t>Accuracy hold-out</w:t>
            </w:r>
          </w:p>
        </w:tc>
        <w:tc>
          <w:tcPr>
            <w:tcW w:type="dxa" w:w="2521"/>
            <w:shd w:val="clear" w:fill="001E62"/>
          </w:tcPr>
          <w:p>
            <w:r/>
            <w:r>
              <w:rPr>
                <w:rFonts w:ascii="Segoe UI" w:hAnsi="Segoe UI"/>
                <w:b/>
                <w:color w:val="FFFFFF"/>
                <w:sz w:val="17"/>
              </w:rPr>
              <w:t>Remarque</w:t>
            </w:r>
          </w:p>
        </w:tc>
      </w:tr>
      <w:tr>
        <w:trPr>
          <w:cantSplit w:val="true"/>
        </w:trPr>
        <w:tc>
          <w:tcPr>
            <w:tcW w:type="dxa" w:w="2521"/>
          </w:tcPr>
          <w:p>
            <w:r/>
            <w:r>
              <w:rPr>
                <w:rFonts w:ascii="Segoe UI" w:hAnsi="Segoe UI"/>
                <w:sz w:val="17"/>
              </w:rPr>
              <w:t>SSID seul</w:t>
            </w:r>
          </w:p>
        </w:tc>
        <w:tc>
          <w:tcPr>
            <w:tcW w:type="dxa" w:w="2521"/>
          </w:tcPr>
          <w:p>
            <w:r/>
            <w:r>
              <w:rPr>
                <w:rFonts w:ascii="Segoe UI" w:hAnsi="Segoe UI"/>
                <w:sz w:val="17"/>
              </w:rPr>
              <w:t>13</w:t>
            </w:r>
          </w:p>
        </w:tc>
        <w:tc>
          <w:tcPr>
            <w:tcW w:type="dxa" w:w="2521"/>
          </w:tcPr>
          <w:p>
            <w:r/>
            <w:r>
              <w:rPr>
                <w:rFonts w:ascii="Segoe UI" w:hAnsi="Segoe UI"/>
                <w:sz w:val="17"/>
              </w:rPr>
              <w:t>98,3 %</w:t>
            </w:r>
          </w:p>
        </w:tc>
        <w:tc>
          <w:tcPr>
            <w:tcW w:type="dxa" w:w="2521"/>
          </w:tcPr>
          <w:p>
            <w:r/>
            <w:r>
              <w:rPr>
                <w:rFonts w:ascii="Segoe UI" w:hAnsi="Segoe UI"/>
                <w:sz w:val="17"/>
              </w:rPr>
              <w:t>peu discriminant</w:t>
            </w:r>
          </w:p>
        </w:tc>
      </w:tr>
      <w:tr>
        <w:trPr>
          <w:cantSplit w:val="true"/>
        </w:trPr>
        <w:tc>
          <w:tcPr>
            <w:tcW w:type="dxa" w:w="2521"/>
            <w:shd w:val="clear" w:fill="EAF2FB"/>
          </w:tcPr>
          <w:p>
            <w:r/>
            <w:r>
              <w:rPr>
                <w:rFonts w:ascii="Segoe UI" w:hAnsi="Segoe UI"/>
                <w:sz w:val="17"/>
              </w:rPr>
              <w:t>BSSID seul</w:t>
            </w:r>
          </w:p>
        </w:tc>
        <w:tc>
          <w:tcPr>
            <w:tcW w:type="dxa" w:w="2521"/>
            <w:shd w:val="clear" w:fill="EAF2FB"/>
          </w:tcPr>
          <w:p>
            <w:r/>
            <w:r>
              <w:rPr>
                <w:rFonts w:ascii="Segoe UI" w:hAnsi="Segoe UI"/>
                <w:sz w:val="17"/>
              </w:rPr>
              <w:t>104</w:t>
            </w:r>
          </w:p>
        </w:tc>
        <w:tc>
          <w:tcPr>
            <w:tcW w:type="dxa" w:w="2521"/>
            <w:shd w:val="clear" w:fill="EAF2FB"/>
          </w:tcPr>
          <w:p>
            <w:r/>
            <w:r>
              <w:rPr>
                <w:rFonts w:ascii="Segoe UI" w:hAnsi="Segoe UI"/>
                <w:sz w:val="17"/>
              </w:rPr>
              <w:t>99,0 %</w:t>
            </w:r>
          </w:p>
        </w:tc>
        <w:tc>
          <w:tcPr>
            <w:tcW w:type="dxa" w:w="2521"/>
            <w:shd w:val="clear" w:fill="EAF2FB"/>
          </w:tcPr>
          <w:p>
            <w:r/>
            <w:r>
              <w:rPr>
                <w:rFonts w:ascii="Segoe UI" w:hAnsi="Segoe UI"/>
                <w:sz w:val="17"/>
              </w:rPr>
              <w:t>discriminant</w:t>
            </w:r>
          </w:p>
        </w:tc>
      </w:tr>
      <w:tr>
        <w:trPr>
          <w:cantSplit w:val="true"/>
        </w:trPr>
        <w:tc>
          <w:tcPr>
            <w:tcW w:type="dxa" w:w="2521"/>
          </w:tcPr>
          <w:p>
            <w:r/>
            <w:r>
              <w:rPr>
                <w:rFonts w:ascii="Segoe UI" w:hAnsi="Segoe UI"/>
                <w:sz w:val="17"/>
              </w:rPr>
              <w:t>SSID|BSSID (composé)</w:t>
            </w:r>
          </w:p>
        </w:tc>
        <w:tc>
          <w:tcPr>
            <w:tcW w:type="dxa" w:w="2521"/>
          </w:tcPr>
          <w:p>
            <w:r/>
            <w:r>
              <w:rPr>
                <w:rFonts w:ascii="Segoe UI" w:hAnsi="Segoe UI"/>
                <w:sz w:val="17"/>
              </w:rPr>
              <w:t>139</w:t>
            </w:r>
          </w:p>
        </w:tc>
        <w:tc>
          <w:tcPr>
            <w:tcW w:type="dxa" w:w="2521"/>
          </w:tcPr>
          <w:p>
            <w:r/>
            <w:r>
              <w:rPr>
                <w:rFonts w:ascii="Segoe UI" w:hAnsi="Segoe UI"/>
                <w:sz w:val="17"/>
              </w:rPr>
              <w:t>100,0 %</w:t>
            </w:r>
          </w:p>
        </w:tc>
        <w:tc>
          <w:tcPr>
            <w:tcW w:type="dxa" w:w="2521"/>
          </w:tcPr>
          <w:p>
            <w:r/>
            <w:r>
              <w:rPr>
                <w:rFonts w:ascii="Segoe UI" w:hAnsi="Segoe UI"/>
                <w:sz w:val="17"/>
              </w:rPr>
              <w:t>le plus riche</w:t>
            </w:r>
          </w:p>
        </w:tc>
      </w:tr>
    </w:tbl>
    <w:p>
      <w:pPr>
        <w:keepLines/>
        <w:widowControl/>
        <w:spacing w:after="80"/>
      </w:pPr>
      <w:r>
        <w:rPr>
          <w:rFonts w:ascii="Segoe UI" w:hAnsi="Segoe UI"/>
          <w:b w:val="0"/>
          <w:i/>
          <w:color w:val="555555"/>
          <w:sz w:val="17"/>
        </w:rPr>
        <w:t>Tableau 3 — Effet de l'identifiant réseau (accuracy sur hold-out aléatoire).</w:t>
      </w:r>
    </w:p>
    <w:p>
      <w:pPr>
        <w:pStyle w:val="Heading2"/>
        <w:keepNext/>
        <w:keepLines/>
        <w:widowControl/>
        <w:spacing w:before="160" w:after="60"/>
      </w:pPr>
      <w:r>
        <w:t>3.3 Couverture et corrélation des réseaux</w:t>
      </w:r>
    </w:p>
    <w:p>
      <w:pPr>
        <w:keepLines/>
        <w:widowControl/>
        <w:spacing w:after="80"/>
      </w:pPr>
      <w:r>
        <w:rPr>
          <w:rFonts w:ascii="Segoe UI" w:hAnsi="Segoe UI"/>
          <w:b w:val="0"/>
          <w:i w:val="0"/>
          <w:sz w:val="21"/>
        </w:rPr>
        <w:t>Tous les réseaux ne se valent pas. La couverture est très inégale (figure 1) : quelques réseaux institutionnels sont présents presque partout, tandis qu'une longue traîne de réseaux n'apparaît que ponctuellement. De plus, beaucoup sont redondants : on relève 285 paires de réseaux très corrélées (|r| &gt; 0,9), principalement les réseaux UTT et eduroam portés par les mêmes bornes physiques. Cette redondance justifie une sélection de réseaux plutôt que d'utiliser l'ensemble brut.</w:t>
      </w:r>
    </w:p>
    <w:p>
      <w:pPr>
        <w:keepNext/>
        <w:keepLines/>
        <w:widowControl/>
        <w:spacing w:after="20"/>
        <w:jc w:val="center"/>
      </w:pPr>
      <w:r>
        <w:drawing>
          <wp:inline xmlns:a="http://schemas.openxmlformats.org/drawingml/2006/main" xmlns:pic="http://schemas.openxmlformats.org/drawingml/2006/picture">
            <wp:extent cx="3657600" cy="1721224"/>
            <wp:docPr id="3" name="Picture 3"/>
            <wp:cNvGraphicFramePr>
              <a:graphicFrameLocks noChangeAspect="1"/>
            </wp:cNvGraphicFramePr>
            <a:graphic>
              <a:graphicData uri="http://schemas.openxmlformats.org/drawingml/2006/picture">
                <pic:pic>
                  <pic:nvPicPr>
                    <pic:cNvPr id="0" name="fig17_couverture.png"/>
                    <pic:cNvPicPr/>
                  </pic:nvPicPr>
                  <pic:blipFill>
                    <a:blip r:embed="rId13"/>
                    <a:stretch>
                      <a:fillRect/>
                    </a:stretch>
                  </pic:blipFill>
                  <pic:spPr>
                    <a:xfrm>
                      <a:off x="0" y="0"/>
                      <a:ext cx="3657600" cy="1721224"/>
                    </a:xfrm>
                    <a:prstGeom prst="rect"/>
                  </pic:spPr>
                </pic:pic>
              </a:graphicData>
            </a:graphic>
          </wp:inline>
        </w:drawing>
      </w:r>
    </w:p>
    <w:p>
      <w:pPr>
        <w:keepLines/>
        <w:widowControl/>
        <w:spacing w:after="160"/>
        <w:jc w:val="center"/>
      </w:pPr>
      <w:r>
        <w:rPr>
          <w:rFonts w:ascii="Segoe UI" w:hAnsi="Segoe UI"/>
          <w:i/>
          <w:color w:val="555555"/>
          <w:sz w:val="17"/>
        </w:rPr>
        <w:t>Figure 1 — Couverture des réseaux : quelques stables, beaucoup d'éphémères.</w:t>
      </w:r>
    </w:p>
    <w:p>
      <w:pPr>
        <w:pStyle w:val="Heading1"/>
        <w:keepNext/>
        <w:keepLines/>
        <w:widowControl/>
        <w:spacing w:before="160" w:after="60"/>
      </w:pPr>
      <w:r>
        <w:t>4. Classification en zones</w:t>
      </w:r>
    </w:p>
    <w:p>
      <w:pPr>
        <w:pStyle w:val="Heading2"/>
        <w:keepNext/>
        <w:keepLines/>
        <w:widowControl/>
        <w:spacing w:before="160" w:after="60"/>
      </w:pPr>
      <w:r>
        <w:t>4.1 Modèles comparés</w:t>
      </w:r>
    </w:p>
    <w:p>
      <w:pPr>
        <w:keepLines/>
        <w:widowControl/>
        <w:spacing w:after="80"/>
      </w:pPr>
      <w:r>
        <w:rPr>
          <w:rFonts w:ascii="Segoe UI" w:hAnsi="Segoe UI"/>
          <w:b w:val="0"/>
          <w:i w:val="0"/>
          <w:sz w:val="21"/>
        </w:rPr>
        <w:t>Plusieurs familles de modèles vues en cours ont été évaluées, d'abord avec tous les réseaux puis avec une sélection : k plus proches voisins, classifieur bayésien, SVM à noyau RBF, forêts aléatoires et ExtraTrees, et réseaux de neurones. Les méthodes à base d'arbres arrivent en tête ; un vote combinant forêt aléatoire, ExtraTrees et régression logistique atteint les meilleurs scores sur le hold-out.</w:t>
      </w:r>
    </w:p>
    <w:p>
      <w:pPr>
        <w:pStyle w:val="Heading2"/>
        <w:keepNext/>
        <w:keepLines/>
        <w:widowControl/>
        <w:spacing w:before="160" w:after="60"/>
      </w:pPr>
      <w:r>
        <w:t>4.2 Méthodologie d'évaluation</w:t>
      </w:r>
    </w:p>
    <w:p>
      <w:pPr>
        <w:keepLines/>
        <w:widowControl/>
        <w:spacing w:after="80"/>
      </w:pPr>
      <w:r>
        <w:rPr>
          <w:rFonts w:ascii="Segoe UI" w:hAnsi="Segoe UI"/>
          <w:b w:val="0"/>
          <w:i w:val="0"/>
          <w:sz w:val="21"/>
        </w:rPr>
        <w:t>La manière d'évaluer change radicalement les conclusions. Les snapshots d'une même zone proviennent d'une seule session de mesure et se ressemblent beaucoup d'un instant au suivant. Un découpage aléatoire entre apprentissage et test place donc des mesures presque identiques des deux côtés : le score obtenu est optimiste. Pour s'en approcher des conditions réelles, nous durcissons progressivement le protocole — séparation des données dans le temps, puis test sur une campagne entièrement nouvelle (ALT2). La figure 2 montre cette descente, du test de base jusqu'au test réel sur ALT2.</w:t>
      </w:r>
    </w:p>
    <w:p>
      <w:pPr>
        <w:keepNext/>
        <w:keepLines/>
        <w:widowControl/>
        <w:spacing w:after="20"/>
        <w:jc w:val="center"/>
      </w:pPr>
      <w:r>
        <w:drawing>
          <wp:inline xmlns:a="http://schemas.openxmlformats.org/drawingml/2006/main" xmlns:pic="http://schemas.openxmlformats.org/drawingml/2006/picture">
            <wp:extent cx="4572000" cy="2132395"/>
            <wp:docPr id="4" name="Picture 4"/>
            <wp:cNvGraphicFramePr>
              <a:graphicFrameLocks noChangeAspect="1"/>
            </wp:cNvGraphicFramePr>
            <a:graphic>
              <a:graphicData uri="http://schemas.openxmlformats.org/drawingml/2006/picture">
                <pic:pic>
                  <pic:nvPicPr>
                    <pic:cNvPr id="0" name="fig13_escalier.png"/>
                    <pic:cNvPicPr/>
                  </pic:nvPicPr>
                  <pic:blipFill>
                    <a:blip r:embed="rId14"/>
                    <a:stretch>
                      <a:fillRect/>
                    </a:stretch>
                  </pic:blipFill>
                  <pic:spPr>
                    <a:xfrm>
                      <a:off x="0" y="0"/>
                      <a:ext cx="4572000" cy="2132395"/>
                    </a:xfrm>
                    <a:prstGeom prst="rect"/>
                  </pic:spPr>
                </pic:pic>
              </a:graphicData>
            </a:graphic>
          </wp:inline>
        </w:drawing>
      </w:r>
    </w:p>
    <w:p>
      <w:pPr>
        <w:keepLines/>
        <w:widowControl/>
        <w:spacing w:after="160"/>
        <w:jc w:val="center"/>
      </w:pPr>
      <w:r>
        <w:rPr>
          <w:rFonts w:ascii="Segoe UI" w:hAnsi="Segoe UI"/>
          <w:i/>
          <w:color w:val="555555"/>
          <w:sz w:val="17"/>
        </w:rPr>
        <w:t>Figure 2 — Du test aléatoire (99 %) au test réel sur ALT2 (47 %), puis récupération.</w:t>
      </w:r>
    </w:p>
    <w:tbl>
      <w:tblPr>
        <w:tblStyle w:val="TableGrid"/>
        <w:tblW w:type="auto" w:w="0"/>
        <w:jc w:val="center"/>
        <w:tblLook w:firstColumn="1" w:firstRow="1" w:lastColumn="0" w:lastRow="0" w:noHBand="0" w:noVBand="1" w:val="04A0"/>
      </w:tblPr>
      <w:tblGrid>
        <w:gridCol w:w="3362"/>
        <w:gridCol w:w="3362"/>
        <w:gridCol w:w="3362"/>
      </w:tblGrid>
      <w:tr>
        <w:trPr>
          <w:cantSplit w:val="true"/>
          <w:tblHeader w:val="true"/>
        </w:trPr>
        <w:tc>
          <w:tcPr>
            <w:tcW w:type="dxa" w:w="3362"/>
            <w:shd w:val="clear" w:fill="001E62"/>
          </w:tcPr>
          <w:p>
            <w:r/>
            <w:r>
              <w:rPr>
                <w:rFonts w:ascii="Segoe UI" w:hAnsi="Segoe UI"/>
                <w:b/>
                <w:color w:val="FFFFFF"/>
                <w:sz w:val="17"/>
              </w:rPr>
              <w:t>Modèle</w:t>
            </w:r>
          </w:p>
        </w:tc>
        <w:tc>
          <w:tcPr>
            <w:tcW w:type="dxa" w:w="3362"/>
            <w:shd w:val="clear" w:fill="001E62"/>
          </w:tcPr>
          <w:p>
            <w:r/>
            <w:r>
              <w:rPr>
                <w:rFonts w:ascii="Segoe UI" w:hAnsi="Segoe UI"/>
                <w:b/>
                <w:color w:val="FFFFFF"/>
                <w:sz w:val="17"/>
              </w:rPr>
              <w:t>Test aléatoire</w:t>
            </w:r>
          </w:p>
        </w:tc>
        <w:tc>
          <w:tcPr>
            <w:tcW w:type="dxa" w:w="3362"/>
            <w:shd w:val="clear" w:fill="001E62"/>
          </w:tcPr>
          <w:p>
            <w:r/>
            <w:r>
              <w:rPr>
                <w:rFonts w:ascii="Segoe UI" w:hAnsi="Segoe UI"/>
                <w:b/>
                <w:color w:val="FFFFFF"/>
                <w:sz w:val="17"/>
              </w:rPr>
              <w:t>Évaluation réaliste</w:t>
            </w:r>
          </w:p>
        </w:tc>
      </w:tr>
      <w:tr>
        <w:trPr>
          <w:cantSplit w:val="true"/>
        </w:trPr>
        <w:tc>
          <w:tcPr>
            <w:tcW w:type="dxa" w:w="3362"/>
          </w:tcPr>
          <w:p>
            <w:r/>
            <w:r>
              <w:rPr>
                <w:rFonts w:ascii="Segoe UI" w:hAnsi="Segoe UI"/>
                <w:sz w:val="17"/>
              </w:rPr>
              <w:t>k-NN (k=5)</w:t>
            </w:r>
          </w:p>
        </w:tc>
        <w:tc>
          <w:tcPr>
            <w:tcW w:type="dxa" w:w="3362"/>
          </w:tcPr>
          <w:p>
            <w:r/>
            <w:r>
              <w:rPr>
                <w:rFonts w:ascii="Segoe UI" w:hAnsi="Segoe UI"/>
                <w:sz w:val="17"/>
              </w:rPr>
              <w:t>92.0 %</w:t>
            </w:r>
          </w:p>
        </w:tc>
        <w:tc>
          <w:tcPr>
            <w:tcW w:type="dxa" w:w="3362"/>
          </w:tcPr>
          <w:p>
            <w:r/>
            <w:r>
              <w:rPr>
                <w:rFonts w:ascii="Segoe UI" w:hAnsi="Segoe UI"/>
                <w:sz w:val="17"/>
              </w:rPr>
              <w:t>74.3 %</w:t>
            </w:r>
          </w:p>
        </w:tc>
      </w:tr>
      <w:tr>
        <w:trPr>
          <w:cantSplit w:val="true"/>
        </w:trPr>
        <w:tc>
          <w:tcPr>
            <w:tcW w:type="dxa" w:w="3362"/>
            <w:shd w:val="clear" w:fill="EAF2FB"/>
          </w:tcPr>
          <w:p>
            <w:r/>
            <w:r>
              <w:rPr>
                <w:rFonts w:ascii="Segoe UI" w:hAnsi="Segoe UI"/>
                <w:sz w:val="17"/>
              </w:rPr>
              <w:t>NaiveBayes</w:t>
            </w:r>
          </w:p>
        </w:tc>
        <w:tc>
          <w:tcPr>
            <w:tcW w:type="dxa" w:w="3362"/>
            <w:shd w:val="clear" w:fill="EAF2FB"/>
          </w:tcPr>
          <w:p>
            <w:r/>
            <w:r>
              <w:rPr>
                <w:rFonts w:ascii="Segoe UI" w:hAnsi="Segoe UI"/>
                <w:sz w:val="17"/>
              </w:rPr>
              <w:t>77.7 %</w:t>
            </w:r>
          </w:p>
        </w:tc>
        <w:tc>
          <w:tcPr>
            <w:tcW w:type="dxa" w:w="3362"/>
            <w:shd w:val="clear" w:fill="EAF2FB"/>
          </w:tcPr>
          <w:p>
            <w:r/>
            <w:r>
              <w:rPr>
                <w:rFonts w:ascii="Segoe UI" w:hAnsi="Segoe UI"/>
                <w:sz w:val="17"/>
              </w:rPr>
              <w:t>61.6 %</w:t>
            </w:r>
          </w:p>
        </w:tc>
      </w:tr>
      <w:tr>
        <w:trPr>
          <w:cantSplit w:val="true"/>
        </w:trPr>
        <w:tc>
          <w:tcPr>
            <w:tcW w:type="dxa" w:w="3362"/>
          </w:tcPr>
          <w:p>
            <w:r/>
            <w:r>
              <w:rPr>
                <w:rFonts w:ascii="Segoe UI" w:hAnsi="Segoe UI"/>
                <w:sz w:val="17"/>
              </w:rPr>
              <w:t>SVM (RBF)</w:t>
            </w:r>
          </w:p>
        </w:tc>
        <w:tc>
          <w:tcPr>
            <w:tcW w:type="dxa" w:w="3362"/>
          </w:tcPr>
          <w:p>
            <w:r/>
            <w:r>
              <w:rPr>
                <w:rFonts w:ascii="Segoe UI" w:hAnsi="Segoe UI"/>
                <w:sz w:val="17"/>
              </w:rPr>
              <w:t>93.7 %</w:t>
            </w:r>
          </w:p>
        </w:tc>
        <w:tc>
          <w:tcPr>
            <w:tcW w:type="dxa" w:w="3362"/>
          </w:tcPr>
          <w:p>
            <w:r/>
            <w:r>
              <w:rPr>
                <w:rFonts w:ascii="Segoe UI" w:hAnsi="Segoe UI"/>
                <w:sz w:val="17"/>
              </w:rPr>
              <w:t>79.0 %</w:t>
            </w:r>
          </w:p>
        </w:tc>
      </w:tr>
      <w:tr>
        <w:trPr>
          <w:cantSplit w:val="true"/>
        </w:trPr>
        <w:tc>
          <w:tcPr>
            <w:tcW w:type="dxa" w:w="3362"/>
            <w:shd w:val="clear" w:fill="EAF2FB"/>
          </w:tcPr>
          <w:p>
            <w:r/>
            <w:r>
              <w:rPr>
                <w:rFonts w:ascii="Segoe UI" w:hAnsi="Segoe UI"/>
                <w:sz w:val="17"/>
              </w:rPr>
              <w:t>LogReg</w:t>
            </w:r>
          </w:p>
        </w:tc>
        <w:tc>
          <w:tcPr>
            <w:tcW w:type="dxa" w:w="3362"/>
            <w:shd w:val="clear" w:fill="EAF2FB"/>
          </w:tcPr>
          <w:p>
            <w:r/>
            <w:r>
              <w:rPr>
                <w:rFonts w:ascii="Segoe UI" w:hAnsi="Segoe UI"/>
                <w:sz w:val="17"/>
              </w:rPr>
              <w:t>96.0 %</w:t>
            </w:r>
          </w:p>
        </w:tc>
        <w:tc>
          <w:tcPr>
            <w:tcW w:type="dxa" w:w="3362"/>
            <w:shd w:val="clear" w:fill="EAF2FB"/>
          </w:tcPr>
          <w:p>
            <w:r/>
            <w:r>
              <w:rPr>
                <w:rFonts w:ascii="Segoe UI" w:hAnsi="Segoe UI"/>
                <w:sz w:val="17"/>
              </w:rPr>
              <w:t>78.4 %</w:t>
            </w:r>
          </w:p>
        </w:tc>
      </w:tr>
      <w:tr>
        <w:trPr>
          <w:cantSplit w:val="true"/>
        </w:trPr>
        <w:tc>
          <w:tcPr>
            <w:tcW w:type="dxa" w:w="3362"/>
          </w:tcPr>
          <w:p>
            <w:r/>
            <w:r>
              <w:rPr>
                <w:rFonts w:ascii="Segoe UI" w:hAnsi="Segoe UI"/>
                <w:sz w:val="17"/>
              </w:rPr>
              <w:t>RandomForest</w:t>
            </w:r>
          </w:p>
        </w:tc>
        <w:tc>
          <w:tcPr>
            <w:tcW w:type="dxa" w:w="3362"/>
          </w:tcPr>
          <w:p>
            <w:r/>
            <w:r>
              <w:rPr>
                <w:rFonts w:ascii="Segoe UI" w:hAnsi="Segoe UI"/>
                <w:sz w:val="17"/>
              </w:rPr>
              <w:t>98.7 %</w:t>
            </w:r>
          </w:p>
        </w:tc>
        <w:tc>
          <w:tcPr>
            <w:tcW w:type="dxa" w:w="3362"/>
          </w:tcPr>
          <w:p>
            <w:r/>
            <w:r>
              <w:rPr>
                <w:rFonts w:ascii="Segoe UI" w:hAnsi="Segoe UI"/>
                <w:sz w:val="17"/>
              </w:rPr>
              <w:t>79.9 %</w:t>
            </w:r>
          </w:p>
        </w:tc>
      </w:tr>
      <w:tr>
        <w:trPr>
          <w:cantSplit w:val="true"/>
        </w:trPr>
        <w:tc>
          <w:tcPr>
            <w:tcW w:type="dxa" w:w="3362"/>
            <w:shd w:val="clear" w:fill="EAF2FB"/>
          </w:tcPr>
          <w:p>
            <w:r/>
            <w:r>
              <w:rPr>
                <w:rFonts w:ascii="Segoe UI" w:hAnsi="Segoe UI"/>
                <w:sz w:val="17"/>
              </w:rPr>
              <w:t>ExtraTrees</w:t>
            </w:r>
          </w:p>
        </w:tc>
        <w:tc>
          <w:tcPr>
            <w:tcW w:type="dxa" w:w="3362"/>
            <w:shd w:val="clear" w:fill="EAF2FB"/>
          </w:tcPr>
          <w:p>
            <w:r/>
            <w:r>
              <w:rPr>
                <w:rFonts w:ascii="Segoe UI" w:hAnsi="Segoe UI"/>
                <w:sz w:val="17"/>
              </w:rPr>
              <w:t>98.7 %</w:t>
            </w:r>
          </w:p>
        </w:tc>
        <w:tc>
          <w:tcPr>
            <w:tcW w:type="dxa" w:w="3362"/>
            <w:shd w:val="clear" w:fill="EAF2FB"/>
          </w:tcPr>
          <w:p>
            <w:r/>
            <w:r>
              <w:rPr>
                <w:rFonts w:ascii="Segoe UI" w:hAnsi="Segoe UI"/>
                <w:sz w:val="17"/>
              </w:rPr>
              <w:t>81.5 %</w:t>
            </w:r>
          </w:p>
        </w:tc>
      </w:tr>
    </w:tbl>
    <w:p>
      <w:pPr>
        <w:keepLines/>
        <w:widowControl/>
        <w:spacing w:after="80"/>
      </w:pPr>
      <w:r>
        <w:rPr>
          <w:rFonts w:ascii="Segoe UI" w:hAnsi="Segoe UI"/>
          <w:b w:val="0"/>
          <w:i/>
          <w:color w:val="555555"/>
          <w:sz w:val="17"/>
        </w:rPr>
        <w:t>Tableau 4 — Accuracy par modèle : test aléatoire vs évaluation réaliste (séparation temporelle, BSSID).</w:t>
      </w:r>
    </w:p>
    <w:p>
      <w:pPr>
        <w:pStyle w:val="Heading2"/>
        <w:keepNext/>
        <w:keepLines/>
        <w:widowControl/>
        <w:spacing w:before="160" w:after="60"/>
      </w:pPr>
      <w:r>
        <w:t>4.3 Analyse des résultats</w:t>
      </w:r>
    </w:p>
    <w:p>
      <w:pPr>
        <w:keepLines/>
        <w:widowControl/>
        <w:spacing w:after="80"/>
      </w:pPr>
      <w:r>
        <w:rPr>
          <w:rFonts w:ascii="Segoe UI" w:hAnsi="Segoe UI"/>
          <w:b w:val="0"/>
          <w:i w:val="0"/>
          <w:sz w:val="21"/>
        </w:rPr>
        <w:t>Avec un protocole plus exigeant, l'accuracy se situe autour de 80 % en validation temporelle, ce qui reste cohérent avec la littérature pour de la classification par pièce. Par ailleurs, même dans ce cadre, la bonne zone figure dans les trois premières propositions dans 99.6 % des cas : le système est donc très fiable pour proposer une courte liste de zones candidates. L'analyse de l'importance des réseaux (figure 3) apporte un éclairage utile : les deux réseaux les plus discriminants sont des téléphones personnels présents lors de la collecte. Ils aident sur le moment, mais ne seront pas là d'une campagne à l'autre, ce qui annonce la dégradation observée en section 5.</w:t>
      </w:r>
    </w:p>
    <w:p>
      <w:pPr>
        <w:keepNext/>
        <w:keepLines/>
        <w:widowControl/>
        <w:spacing w:after="20"/>
        <w:jc w:val="center"/>
      </w:pPr>
      <w:r>
        <w:drawing>
          <wp:inline xmlns:a="http://schemas.openxmlformats.org/drawingml/2006/main" xmlns:pic="http://schemas.openxmlformats.org/drawingml/2006/picture">
            <wp:extent cx="4206240" cy="2485132"/>
            <wp:docPr id="5" name="Picture 5"/>
            <wp:cNvGraphicFramePr>
              <a:graphicFrameLocks noChangeAspect="1"/>
            </wp:cNvGraphicFramePr>
            <a:graphic>
              <a:graphicData uri="http://schemas.openxmlformats.org/drawingml/2006/picture">
                <pic:pic>
                  <pic:nvPicPr>
                    <pic:cNvPr id="0" name="fig4_importance_reseaux.png"/>
                    <pic:cNvPicPr/>
                  </pic:nvPicPr>
                  <pic:blipFill>
                    <a:blip r:embed="rId15"/>
                    <a:stretch>
                      <a:fillRect/>
                    </a:stretch>
                  </pic:blipFill>
                  <pic:spPr>
                    <a:xfrm>
                      <a:off x="0" y="0"/>
                      <a:ext cx="4206240" cy="2485132"/>
                    </a:xfrm>
                    <a:prstGeom prst="rect"/>
                  </pic:spPr>
                </pic:pic>
              </a:graphicData>
            </a:graphic>
          </wp:inline>
        </w:drawing>
      </w:r>
    </w:p>
    <w:p>
      <w:pPr>
        <w:keepLines/>
        <w:widowControl/>
        <w:spacing w:after="160"/>
        <w:jc w:val="center"/>
      </w:pPr>
      <w:r>
        <w:rPr>
          <w:rFonts w:ascii="Segoe UI" w:hAnsi="Segoe UI"/>
          <w:i/>
          <w:color w:val="555555"/>
          <w:sz w:val="17"/>
        </w:rPr>
        <w:t>Figure 3 — Réseaux les plus discriminants. Les deux premiers sont des téléphones personnels.</w:t>
      </w:r>
    </w:p>
    <w:p>
      <w:pPr>
        <w:pStyle w:val="Heading1"/>
        <w:keepNext/>
        <w:keepLines/>
        <w:widowControl/>
        <w:spacing w:before="160" w:after="60"/>
      </w:pPr>
      <w:r>
        <w:t>5. Évolution temporelle (ALT1 → ALT2 → ALT3)</w:t>
      </w:r>
    </w:p>
    <w:p>
      <w:pPr>
        <w:keepLines/>
        <w:widowControl/>
        <w:spacing w:after="80"/>
      </w:pPr>
      <w:r>
        <w:rPr>
          <w:rFonts w:ascii="Segoe UI" w:hAnsi="Segoe UI"/>
          <w:b w:val="0"/>
          <w:i w:val="0"/>
          <w:sz w:val="21"/>
        </w:rPr>
        <w:t>C'est le résultat central du projet. On vérifie si un modèle appris en février reconnaît encore des mesures prises en avril (ALT2), trois mois plus tard. Trois stratégies sont définies : la stratégie 1 entraîne sur ALT1 et teste sur ALT2 (mesure du drift pur) ; la stratégie 2 ajoute la moitié d'ALT2 à l'apprentissage et teste sur le reste (effet d'un ré-entraînement partiel) ; la stratégie 3 entraînera sur ALT1 + ALT2 et testera sur ALT3.</w:t>
      </w:r>
    </w:p>
    <w:p>
      <w:pPr>
        <w:keepLines/>
        <w:widowControl/>
        <w:spacing w:after="80"/>
      </w:pPr>
      <w:r>
        <w:rPr>
          <w:rFonts w:ascii="Segoe UI" w:hAnsi="Segoe UI"/>
          <w:b w:val="0"/>
          <w:i w:val="0"/>
          <w:sz w:val="21"/>
        </w:rPr>
        <w:t>En stratégie 1, l'accuracy descend à 48 % : le modèle de février ne reconnaît plus la moitié des mesures d'avril, et plusieurs zones tombent à zéro (figure 4), leur environnement radio ayant changé (bornes déplacées ou remplacées, réseaux invités différents). En réintégrant seulement la moitié d'ALT2 à l'apprentissage (stratégie 2), on remonte à 100 %. Le contraste entre ces deux chiffres quantifie le « drift » du WiFi : l'empreinte radio d'un lieu n'est pas figée, et un système de fingerprinting doit être ré-entraîné régulièrement pour rester fiable — un enseignement directement exploitable pour un déploiement réel.</w:t>
      </w:r>
    </w:p>
    <w:p>
      <w:pPr>
        <w:keepNext/>
        <w:keepLines/>
        <w:widowControl/>
        <w:spacing w:after="20"/>
        <w:jc w:val="center"/>
      </w:pPr>
      <w:r>
        <w:drawing>
          <wp:inline xmlns:a="http://schemas.openxmlformats.org/drawingml/2006/main" xmlns:pic="http://schemas.openxmlformats.org/drawingml/2006/picture">
            <wp:extent cx="5029200" cy="1844620"/>
            <wp:docPr id="6" name="Picture 6"/>
            <wp:cNvGraphicFramePr>
              <a:graphicFrameLocks noChangeAspect="1"/>
            </wp:cNvGraphicFramePr>
            <a:graphic>
              <a:graphicData uri="http://schemas.openxmlformats.org/drawingml/2006/picture">
                <pic:pic>
                  <pic:nvPicPr>
                    <pic:cNvPr id="0" name="fig18_evolution.png"/>
                    <pic:cNvPicPr/>
                  </pic:nvPicPr>
                  <pic:blipFill>
                    <a:blip r:embed="rId16"/>
                    <a:stretch>
                      <a:fillRect/>
                    </a:stretch>
                  </pic:blipFill>
                  <pic:spPr>
                    <a:xfrm>
                      <a:off x="0" y="0"/>
                      <a:ext cx="5029200" cy="1844620"/>
                    </a:xfrm>
                    <a:prstGeom prst="rect"/>
                  </pic:spPr>
                </pic:pic>
              </a:graphicData>
            </a:graphic>
          </wp:inline>
        </w:drawing>
      </w:r>
    </w:p>
    <w:p>
      <w:pPr>
        <w:keepLines/>
        <w:widowControl/>
        <w:spacing w:after="160"/>
        <w:jc w:val="center"/>
      </w:pPr>
      <w:r>
        <w:rPr>
          <w:rFonts w:ascii="Segoe UI" w:hAnsi="Segoe UI"/>
          <w:i/>
          <w:color w:val="555555"/>
          <w:sz w:val="17"/>
        </w:rPr>
        <w:t>Figure 4 — Évolution ALT1 → ALT2 : accuracy par zone (gauche), drift puis récupération (droite).</w:t>
      </w:r>
    </w:p>
    <w:p>
      <w:pPr>
        <w:keepLines/>
        <w:widowControl/>
        <w:spacing w:after="80"/>
        <w:ind w:left="170"/>
      </w:pPr>
      <w:r>
        <w:rPr>
          <w:rFonts w:ascii="Segoe UI" w:hAnsi="Segoe UI"/>
          <w:i/>
          <w:color w:val="0072CE"/>
          <w:sz w:val="18"/>
        </w:rPr>
        <w:t>➤  Stratégie 3 (test sur ALT3) : en attente de la collecte ALT3 (juin). Le code est prêt et le tableau se complétera automatiquement.</w:t>
      </w:r>
    </w:p>
    <w:p>
      <w:pPr>
        <w:pStyle w:val="Heading1"/>
        <w:keepNext/>
        <w:keepLines/>
        <w:widowControl/>
        <w:spacing w:before="160" w:after="60"/>
      </w:pPr>
      <w:r>
        <w:t>6. Régression intra-zone (position exacte)</w:t>
      </w:r>
    </w:p>
    <w:p>
      <w:pPr>
        <w:keepLines/>
        <w:widowControl/>
        <w:spacing w:after="80"/>
      </w:pPr>
      <w:r>
        <w:rPr>
          <w:rFonts w:ascii="Segoe UI" w:hAnsi="Segoe UI"/>
          <w:b w:val="0"/>
          <w:i w:val="0"/>
          <w:sz w:val="21"/>
        </w:rPr>
        <w:t>Pour estimer la position (x, y) à l'intérieur d'une zone, on apprend une régression à partir des 46 points cartographiés. La qualité se mesure par l'erreur euclidienne (moyenne, médiane, 90ᵉ percentile) et par la courbe cumulative des erreurs (CDF). Nous avons constaté que les deux axes n'ont pas la même difficulté : l'axe Y est bien prédit par un modèle d'arbres (ExtraTrees), tandis que l'axe X, plus délicat, est mieux capté par un processus gaussien. Le meilleur résultat vient donc d'un modèle hybride combinant les deux, un par axe.</w:t>
      </w:r>
    </w:p>
    <w:tbl>
      <w:tblPr>
        <w:tblStyle w:val="TableGrid"/>
        <w:tblW w:type="auto" w:w="0"/>
        <w:jc w:val="center"/>
        <w:tblLook w:firstColumn="1" w:firstRow="1" w:lastColumn="0" w:lastRow="0" w:noHBand="0" w:noVBand="1" w:val="04A0"/>
      </w:tblPr>
      <w:tblGrid>
        <w:gridCol w:w="1681"/>
        <w:gridCol w:w="1681"/>
        <w:gridCol w:w="1681"/>
        <w:gridCol w:w="1681"/>
        <w:gridCol w:w="1681"/>
        <w:gridCol w:w="1681"/>
      </w:tblGrid>
      <w:tr>
        <w:trPr>
          <w:cantSplit w:val="true"/>
          <w:tblHeader w:val="true"/>
        </w:trPr>
        <w:tc>
          <w:tcPr>
            <w:tcW w:type="dxa" w:w="1681"/>
            <w:shd w:val="clear" w:fill="001E62"/>
          </w:tcPr>
          <w:p>
            <w:r/>
            <w:r>
              <w:rPr>
                <w:rFonts w:ascii="Segoe UI" w:hAnsi="Segoe UI"/>
                <w:b/>
                <w:color w:val="FFFFFF"/>
                <w:sz w:val="17"/>
              </w:rPr>
              <w:t>Modèle</w:t>
            </w:r>
          </w:p>
        </w:tc>
        <w:tc>
          <w:tcPr>
            <w:tcW w:type="dxa" w:w="1681"/>
            <w:shd w:val="clear" w:fill="001E62"/>
          </w:tcPr>
          <w:p>
            <w:r/>
            <w:r>
              <w:rPr>
                <w:rFonts w:ascii="Segoe UI" w:hAnsi="Segoe UI"/>
                <w:b/>
                <w:color w:val="FFFFFF"/>
                <w:sz w:val="17"/>
              </w:rPr>
              <w:t>MAE (m)</w:t>
            </w:r>
          </w:p>
        </w:tc>
        <w:tc>
          <w:tcPr>
            <w:tcW w:type="dxa" w:w="1681"/>
            <w:shd w:val="clear" w:fill="001E62"/>
          </w:tcPr>
          <w:p>
            <w:r/>
            <w:r>
              <w:rPr>
                <w:rFonts w:ascii="Segoe UI" w:hAnsi="Segoe UI"/>
                <w:b/>
                <w:color w:val="FFFFFF"/>
                <w:sz w:val="17"/>
              </w:rPr>
              <w:t>Médiane (m)</w:t>
            </w:r>
          </w:p>
        </w:tc>
        <w:tc>
          <w:tcPr>
            <w:tcW w:type="dxa" w:w="1681"/>
            <w:shd w:val="clear" w:fill="001E62"/>
          </w:tcPr>
          <w:p>
            <w:r/>
            <w:r>
              <w:rPr>
                <w:rFonts w:ascii="Segoe UI" w:hAnsi="Segoe UI"/>
                <w:b/>
                <w:color w:val="FFFFFF"/>
                <w:sz w:val="17"/>
              </w:rPr>
              <w:t>P90 (m)</w:t>
            </w:r>
          </w:p>
        </w:tc>
        <w:tc>
          <w:tcPr>
            <w:tcW w:type="dxa" w:w="1681"/>
            <w:shd w:val="clear" w:fill="001E62"/>
          </w:tcPr>
          <w:p>
            <w:r/>
            <w:r>
              <w:rPr>
                <w:rFonts w:ascii="Segoe UI" w:hAnsi="Segoe UI"/>
                <w:b/>
                <w:color w:val="FFFFFF"/>
                <w:sz w:val="17"/>
              </w:rPr>
              <w:t>R² (X)</w:t>
            </w:r>
          </w:p>
        </w:tc>
        <w:tc>
          <w:tcPr>
            <w:tcW w:type="dxa" w:w="1681"/>
            <w:shd w:val="clear" w:fill="001E62"/>
          </w:tcPr>
          <w:p>
            <w:r/>
            <w:r>
              <w:rPr>
                <w:rFonts w:ascii="Segoe UI" w:hAnsi="Segoe UI"/>
                <w:b/>
                <w:color w:val="FFFFFF"/>
                <w:sz w:val="17"/>
              </w:rPr>
              <w:t>R² (Y)</w:t>
            </w:r>
          </w:p>
        </w:tc>
      </w:tr>
      <w:tr>
        <w:trPr>
          <w:cantSplit w:val="true"/>
        </w:trPr>
        <w:tc>
          <w:tcPr>
            <w:tcW w:type="dxa" w:w="1681"/>
          </w:tcPr>
          <w:p>
            <w:r/>
            <w:r>
              <w:rPr>
                <w:rFonts w:ascii="Segoe UI" w:hAnsi="Segoe UI"/>
                <w:sz w:val="17"/>
              </w:rPr>
              <w:t>Hybride (X=GP, Y=ET)</w:t>
            </w:r>
          </w:p>
        </w:tc>
        <w:tc>
          <w:tcPr>
            <w:tcW w:type="dxa" w:w="1681"/>
          </w:tcPr>
          <w:p>
            <w:r/>
            <w:r>
              <w:rPr>
                <w:rFonts w:ascii="Segoe UI" w:hAnsi="Segoe UI"/>
                <w:sz w:val="17"/>
              </w:rPr>
              <w:t>1.175</w:t>
            </w:r>
          </w:p>
        </w:tc>
        <w:tc>
          <w:tcPr>
            <w:tcW w:type="dxa" w:w="1681"/>
          </w:tcPr>
          <w:p>
            <w:r/>
            <w:r>
              <w:rPr>
                <w:rFonts w:ascii="Segoe UI" w:hAnsi="Segoe UI"/>
                <w:sz w:val="17"/>
              </w:rPr>
              <w:t>1.089</w:t>
            </w:r>
          </w:p>
        </w:tc>
        <w:tc>
          <w:tcPr>
            <w:tcW w:type="dxa" w:w="1681"/>
          </w:tcPr>
          <w:p>
            <w:r/>
            <w:r>
              <w:rPr>
                <w:rFonts w:ascii="Segoe UI" w:hAnsi="Segoe UI"/>
                <w:sz w:val="17"/>
              </w:rPr>
              <w:t>2.124</w:t>
            </w:r>
          </w:p>
        </w:tc>
        <w:tc>
          <w:tcPr>
            <w:tcW w:type="dxa" w:w="1681"/>
          </w:tcPr>
          <w:p>
            <w:r/>
            <w:r>
              <w:rPr>
                <w:rFonts w:ascii="Segoe UI" w:hAnsi="Segoe UI"/>
                <w:sz w:val="17"/>
              </w:rPr>
              <w:t>0.530</w:t>
            </w:r>
          </w:p>
        </w:tc>
        <w:tc>
          <w:tcPr>
            <w:tcW w:type="dxa" w:w="1681"/>
          </w:tcPr>
          <w:p>
            <w:r/>
            <w:r>
              <w:rPr>
                <w:rFonts w:ascii="Segoe UI" w:hAnsi="Segoe UI"/>
                <w:sz w:val="17"/>
              </w:rPr>
              <w:t>0.890</w:t>
            </w:r>
          </w:p>
        </w:tc>
      </w:tr>
      <w:tr>
        <w:trPr>
          <w:cantSplit w:val="true"/>
        </w:trPr>
        <w:tc>
          <w:tcPr>
            <w:tcW w:type="dxa" w:w="1681"/>
            <w:shd w:val="clear" w:fill="EAF2FB"/>
          </w:tcPr>
          <w:p>
            <w:r/>
            <w:r>
              <w:rPr>
                <w:rFonts w:ascii="Segoe UI" w:hAnsi="Segoe UI"/>
                <w:sz w:val="17"/>
              </w:rPr>
              <w:t>ExtraTrees</w:t>
            </w:r>
          </w:p>
        </w:tc>
        <w:tc>
          <w:tcPr>
            <w:tcW w:type="dxa" w:w="1681"/>
            <w:shd w:val="clear" w:fill="EAF2FB"/>
          </w:tcPr>
          <w:p>
            <w:r/>
            <w:r>
              <w:rPr>
                <w:rFonts w:ascii="Segoe UI" w:hAnsi="Segoe UI"/>
                <w:sz w:val="17"/>
              </w:rPr>
              <w:t>1.258</w:t>
            </w:r>
          </w:p>
        </w:tc>
        <w:tc>
          <w:tcPr>
            <w:tcW w:type="dxa" w:w="1681"/>
            <w:shd w:val="clear" w:fill="EAF2FB"/>
          </w:tcPr>
          <w:p>
            <w:r/>
            <w:r>
              <w:rPr>
                <w:rFonts w:ascii="Segoe UI" w:hAnsi="Segoe UI"/>
                <w:sz w:val="17"/>
              </w:rPr>
              <w:t>1.092</w:t>
            </w:r>
          </w:p>
        </w:tc>
        <w:tc>
          <w:tcPr>
            <w:tcW w:type="dxa" w:w="1681"/>
            <w:shd w:val="clear" w:fill="EAF2FB"/>
          </w:tcPr>
          <w:p>
            <w:r/>
            <w:r>
              <w:rPr>
                <w:rFonts w:ascii="Segoe UI" w:hAnsi="Segoe UI"/>
                <w:sz w:val="17"/>
              </w:rPr>
              <w:t>2.418</w:t>
            </w:r>
          </w:p>
        </w:tc>
        <w:tc>
          <w:tcPr>
            <w:tcW w:type="dxa" w:w="1681"/>
            <w:shd w:val="clear" w:fill="EAF2FB"/>
          </w:tcPr>
          <w:p>
            <w:r/>
            <w:r>
              <w:rPr>
                <w:rFonts w:ascii="Segoe UI" w:hAnsi="Segoe UI"/>
                <w:sz w:val="17"/>
              </w:rPr>
              <w:t>0.350</w:t>
            </w:r>
          </w:p>
        </w:tc>
        <w:tc>
          <w:tcPr>
            <w:tcW w:type="dxa" w:w="1681"/>
            <w:shd w:val="clear" w:fill="EAF2FB"/>
          </w:tcPr>
          <w:p>
            <w:r/>
            <w:r>
              <w:rPr>
                <w:rFonts w:ascii="Segoe UI" w:hAnsi="Segoe UI"/>
                <w:sz w:val="17"/>
              </w:rPr>
              <w:t>0.890</w:t>
            </w:r>
          </w:p>
        </w:tc>
      </w:tr>
      <w:tr>
        <w:trPr>
          <w:cantSplit w:val="true"/>
        </w:trPr>
        <w:tc>
          <w:tcPr>
            <w:tcW w:type="dxa" w:w="1681"/>
          </w:tcPr>
          <w:p>
            <w:r/>
            <w:r>
              <w:rPr>
                <w:rFonts w:ascii="Segoe UI" w:hAnsi="Segoe UI"/>
                <w:sz w:val="17"/>
              </w:rPr>
              <w:t>RandomForest</w:t>
            </w:r>
          </w:p>
        </w:tc>
        <w:tc>
          <w:tcPr>
            <w:tcW w:type="dxa" w:w="1681"/>
          </w:tcPr>
          <w:p>
            <w:r/>
            <w:r>
              <w:rPr>
                <w:rFonts w:ascii="Segoe UI" w:hAnsi="Segoe UI"/>
                <w:sz w:val="17"/>
              </w:rPr>
              <w:t>1.408</w:t>
            </w:r>
          </w:p>
        </w:tc>
        <w:tc>
          <w:tcPr>
            <w:tcW w:type="dxa" w:w="1681"/>
          </w:tcPr>
          <w:p>
            <w:r/>
            <w:r>
              <w:rPr>
                <w:rFonts w:ascii="Segoe UI" w:hAnsi="Segoe UI"/>
                <w:sz w:val="17"/>
              </w:rPr>
              <w:t>1.092</w:t>
            </w:r>
          </w:p>
        </w:tc>
        <w:tc>
          <w:tcPr>
            <w:tcW w:type="dxa" w:w="1681"/>
          </w:tcPr>
          <w:p>
            <w:r/>
            <w:r>
              <w:rPr>
                <w:rFonts w:ascii="Segoe UI" w:hAnsi="Segoe UI"/>
                <w:sz w:val="17"/>
              </w:rPr>
              <w:t>2.564</w:t>
            </w:r>
          </w:p>
        </w:tc>
        <w:tc>
          <w:tcPr>
            <w:tcW w:type="dxa" w:w="1681"/>
          </w:tcPr>
          <w:p>
            <w:r/>
            <w:r>
              <w:rPr>
                <w:rFonts w:ascii="Segoe UI" w:hAnsi="Segoe UI"/>
                <w:sz w:val="17"/>
              </w:rPr>
              <w:t>0.340</w:t>
            </w:r>
          </w:p>
        </w:tc>
        <w:tc>
          <w:tcPr>
            <w:tcW w:type="dxa" w:w="1681"/>
          </w:tcPr>
          <w:p>
            <w:r/>
            <w:r>
              <w:rPr>
                <w:rFonts w:ascii="Segoe UI" w:hAnsi="Segoe UI"/>
                <w:sz w:val="17"/>
              </w:rPr>
              <w:t>0.820</w:t>
            </w:r>
          </w:p>
        </w:tc>
      </w:tr>
      <w:tr>
        <w:trPr>
          <w:cantSplit w:val="true"/>
        </w:trPr>
        <w:tc>
          <w:tcPr>
            <w:tcW w:type="dxa" w:w="1681"/>
            <w:shd w:val="clear" w:fill="EAF2FB"/>
          </w:tcPr>
          <w:p>
            <w:r/>
            <w:r>
              <w:rPr>
                <w:rFonts w:ascii="Segoe UI" w:hAnsi="Segoe UI"/>
                <w:sz w:val="17"/>
              </w:rPr>
              <w:t>Processus gaussien</w:t>
            </w:r>
          </w:p>
        </w:tc>
        <w:tc>
          <w:tcPr>
            <w:tcW w:type="dxa" w:w="1681"/>
            <w:shd w:val="clear" w:fill="EAF2FB"/>
          </w:tcPr>
          <w:p>
            <w:r/>
            <w:r>
              <w:rPr>
                <w:rFonts w:ascii="Segoe UI" w:hAnsi="Segoe UI"/>
                <w:sz w:val="17"/>
              </w:rPr>
              <w:t>1.432</w:t>
            </w:r>
          </w:p>
        </w:tc>
        <w:tc>
          <w:tcPr>
            <w:tcW w:type="dxa" w:w="1681"/>
            <w:shd w:val="clear" w:fill="EAF2FB"/>
          </w:tcPr>
          <w:p>
            <w:r/>
            <w:r>
              <w:rPr>
                <w:rFonts w:ascii="Segoe UI" w:hAnsi="Segoe UI"/>
                <w:sz w:val="17"/>
              </w:rPr>
              <w:t>1.225</w:t>
            </w:r>
          </w:p>
        </w:tc>
        <w:tc>
          <w:tcPr>
            <w:tcW w:type="dxa" w:w="1681"/>
            <w:shd w:val="clear" w:fill="EAF2FB"/>
          </w:tcPr>
          <w:p>
            <w:r/>
            <w:r>
              <w:rPr>
                <w:rFonts w:ascii="Segoe UI" w:hAnsi="Segoe UI"/>
                <w:sz w:val="17"/>
              </w:rPr>
              <w:t>2.370</w:t>
            </w:r>
          </w:p>
        </w:tc>
        <w:tc>
          <w:tcPr>
            <w:tcW w:type="dxa" w:w="1681"/>
            <w:shd w:val="clear" w:fill="EAF2FB"/>
          </w:tcPr>
          <w:p>
            <w:r/>
            <w:r>
              <w:rPr>
                <w:rFonts w:ascii="Segoe UI" w:hAnsi="Segoe UI"/>
                <w:sz w:val="17"/>
              </w:rPr>
              <w:t>0.530</w:t>
            </w:r>
          </w:p>
        </w:tc>
        <w:tc>
          <w:tcPr>
            <w:tcW w:type="dxa" w:w="1681"/>
            <w:shd w:val="clear" w:fill="EAF2FB"/>
          </w:tcPr>
          <w:p>
            <w:r/>
            <w:r>
              <w:rPr>
                <w:rFonts w:ascii="Segoe UI" w:hAnsi="Segoe UI"/>
                <w:sz w:val="17"/>
              </w:rPr>
              <w:t>0.700</w:t>
            </w:r>
          </w:p>
        </w:tc>
      </w:tr>
      <w:tr>
        <w:trPr>
          <w:cantSplit w:val="true"/>
        </w:trPr>
        <w:tc>
          <w:tcPr>
            <w:tcW w:type="dxa" w:w="1681"/>
          </w:tcPr>
          <w:p>
            <w:r/>
            <w:r>
              <w:rPr>
                <w:rFonts w:ascii="Segoe UI" w:hAnsi="Segoe UI"/>
                <w:sz w:val="17"/>
              </w:rPr>
              <w:t>k-NN pondéré</w:t>
            </w:r>
          </w:p>
        </w:tc>
        <w:tc>
          <w:tcPr>
            <w:tcW w:type="dxa" w:w="1681"/>
          </w:tcPr>
          <w:p>
            <w:r/>
            <w:r>
              <w:rPr>
                <w:rFonts w:ascii="Segoe UI" w:hAnsi="Segoe UI"/>
                <w:sz w:val="17"/>
              </w:rPr>
              <w:t>1.566</w:t>
            </w:r>
          </w:p>
        </w:tc>
        <w:tc>
          <w:tcPr>
            <w:tcW w:type="dxa" w:w="1681"/>
          </w:tcPr>
          <w:p>
            <w:r/>
            <w:r>
              <w:rPr>
                <w:rFonts w:ascii="Segoe UI" w:hAnsi="Segoe UI"/>
                <w:sz w:val="17"/>
              </w:rPr>
              <w:t>1.333</w:t>
            </w:r>
          </w:p>
        </w:tc>
        <w:tc>
          <w:tcPr>
            <w:tcW w:type="dxa" w:w="1681"/>
          </w:tcPr>
          <w:p>
            <w:r/>
            <w:r>
              <w:rPr>
                <w:rFonts w:ascii="Segoe UI" w:hAnsi="Segoe UI"/>
                <w:sz w:val="17"/>
              </w:rPr>
              <w:t>2.495</w:t>
            </w:r>
          </w:p>
        </w:tc>
        <w:tc>
          <w:tcPr>
            <w:tcW w:type="dxa" w:w="1681"/>
          </w:tcPr>
          <w:p>
            <w:r/>
            <w:r>
              <w:rPr>
                <w:rFonts w:ascii="Segoe UI" w:hAnsi="Segoe UI"/>
                <w:sz w:val="17"/>
              </w:rPr>
              <w:t>0.340</w:t>
            </w:r>
          </w:p>
        </w:tc>
        <w:tc>
          <w:tcPr>
            <w:tcW w:type="dxa" w:w="1681"/>
          </w:tcPr>
          <w:p>
            <w:r/>
            <w:r>
              <w:rPr>
                <w:rFonts w:ascii="Segoe UI" w:hAnsi="Segoe UI"/>
                <w:sz w:val="17"/>
              </w:rPr>
              <w:t>0.630</w:t>
            </w:r>
          </w:p>
        </w:tc>
      </w:tr>
    </w:tbl>
    <w:p>
      <w:pPr>
        <w:keepLines/>
        <w:widowControl/>
        <w:spacing w:after="80"/>
      </w:pPr>
      <w:r>
        <w:rPr>
          <w:rFonts w:ascii="Segoe UI" w:hAnsi="Segoe UI"/>
          <w:b w:val="0"/>
          <w:i/>
          <w:color w:val="555555"/>
          <w:sz w:val="17"/>
        </w:rPr>
        <w:t>Tableau 5 — Erreur de position par modèle (validation Leave-One-Out).</w:t>
      </w:r>
    </w:p>
    <w:p>
      <w:pPr>
        <w:keepLines/>
        <w:widowControl/>
        <w:spacing w:after="80"/>
      </w:pPr>
      <w:r>
        <w:rPr>
          <w:rFonts w:ascii="Segoe UI" w:hAnsi="Segoe UI"/>
          <w:b w:val="0"/>
          <w:i w:val="0"/>
          <w:sz w:val="21"/>
        </w:rPr>
        <w:t>Le modèle hybride atteint une erreur médiane de 1.09 m et une moyenne de 1.18 m (90 % des points sous 2.1 m), soit une position estimée à environ un mètre près dans la salle. Les figures 5 et 6 montrent la CDF des erreurs et la comparaison entre positions vraies et prédites.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5043"/>
        <w:gridCol w:w="5043"/>
      </w:tblGrid>
      <w:tr>
        <w:trPr>
          <w:cantSplit w:val="true"/>
        </w:trPr>
        <w:tc>
          <w:tcPr>
            <w:tcW w:type="dxa" w:w="5043"/>
          </w:tcPr>
          <w:p>
            <w:pPr>
              <w:jc w:val="center"/>
            </w:pPr>
            <w:r>
              <w:drawing>
                <wp:inline xmlns:a="http://schemas.openxmlformats.org/drawingml/2006/main" xmlns:pic="http://schemas.openxmlformats.org/drawingml/2006/picture">
                  <wp:extent cx="2834640" cy="2048911"/>
                  <wp:docPr id="7" name="Picture 7"/>
                  <wp:cNvGraphicFramePr>
                    <a:graphicFrameLocks noChangeAspect="1"/>
                  </wp:cNvGraphicFramePr>
                  <a:graphic>
                    <a:graphicData uri="http://schemas.openxmlformats.org/drawingml/2006/picture">
                      <pic:pic>
                        <pic:nvPicPr>
                          <pic:cNvPr id="0" name="fig19_regression_cdf.png"/>
                          <pic:cNvPicPr/>
                        </pic:nvPicPr>
                        <pic:blipFill>
                          <a:blip r:embed="rId17"/>
                          <a:stretch>
                            <a:fillRect/>
                          </a:stretch>
                        </pic:blipFill>
                        <pic:spPr>
                          <a:xfrm>
                            <a:off x="0" y="0"/>
                            <a:ext cx="2834640" cy="2048911"/>
                          </a:xfrm>
                          <a:prstGeom prst="rect"/>
                        </pic:spPr>
                      </pic:pic>
                    </a:graphicData>
                  </a:graphic>
                </wp:inline>
              </w:drawing>
            </w:r>
          </w:p>
          <w:p>
            <w:pPr>
              <w:jc w:val="center"/>
            </w:pPr>
            <w:r>
              <w:rPr>
                <w:rFonts w:ascii="Segoe UI" w:hAnsi="Segoe UI"/>
                <w:i/>
                <w:color w:val="555555"/>
                <w:sz w:val="16"/>
              </w:rPr>
              <w:t>Figure 5 — CDF de l'erreur de position.</w:t>
            </w:r>
          </w:p>
        </w:tc>
        <w:tc>
          <w:tcPr>
            <w:tcW w:type="dxa" w:w="5043"/>
          </w:tcPr>
          <w:p>
            <w:pPr>
              <w:jc w:val="center"/>
            </w:pPr>
            <w:r>
              <w:drawing>
                <wp:inline xmlns:a="http://schemas.openxmlformats.org/drawingml/2006/main" xmlns:pic="http://schemas.openxmlformats.org/drawingml/2006/picture">
                  <wp:extent cx="2468880" cy="3330234"/>
                  <wp:docPr id="8" name="Picture 8"/>
                  <wp:cNvGraphicFramePr>
                    <a:graphicFrameLocks noChangeAspect="1"/>
                  </wp:cNvGraphicFramePr>
                  <a:graphic>
                    <a:graphicData uri="http://schemas.openxmlformats.org/drawingml/2006/picture">
                      <pic:pic>
                        <pic:nvPicPr>
                          <pic:cNvPr id="0" name="fig20_regression_scatter.png"/>
                          <pic:cNvPicPr/>
                        </pic:nvPicPr>
                        <pic:blipFill>
                          <a:blip r:embed="rId18"/>
                          <a:stretch>
                            <a:fillRect/>
                          </a:stretch>
                        </pic:blipFill>
                        <pic:spPr>
                          <a:xfrm>
                            <a:off x="0" y="0"/>
                            <a:ext cx="2468880" cy="3330234"/>
                          </a:xfrm>
                          <a:prstGeom prst="rect"/>
                        </pic:spPr>
                      </pic:pic>
                    </a:graphicData>
                  </a:graphic>
                </wp:inline>
              </w:drawing>
            </w:r>
          </w:p>
          <w:p>
            <w:pPr>
              <w:jc w:val="center"/>
            </w:pPr>
            <w:r>
              <w:rPr>
                <w:rFonts w:ascii="Segoe UI" w:hAnsi="Segoe UI"/>
                <w:i/>
                <w:color w:val="555555"/>
                <w:sz w:val="16"/>
              </w:rPr>
              <w:t>Figure 6 — Positions vraies vs prédites.</w:t>
            </w:r>
          </w:p>
        </w:tc>
      </w:tr>
    </w:tbl>
    <w:p>
      <w:pPr>
        <w:keepLines/>
        <w:widowControl/>
        <w:spacing w:after="80"/>
        <w:ind w:left="170"/>
      </w:pPr>
      <w:r>
        <w:rPr>
          <w:rFonts w:ascii="Segoe UI" w:hAnsi="Segoe UI"/>
          <w:i/>
          <w:color w:val="0072CE"/>
          <w:sz w:val="18"/>
        </w:rPr>
        <w:t>➤  La précision est aujourd'hui limitée surtout par le nombre de points (46) et la taille de la zone : le levier principal pour gagner en précision est une grille de mesure plus dense, plus que le choix du modèle.</w:t>
      </w:r>
    </w:p>
    <w:p>
      <w:pPr>
        <w:pStyle w:val="Heading1"/>
        <w:keepNext/>
        <w:keepLines/>
        <w:widowControl/>
        <w:spacing w:before="160" w:after="60"/>
      </w:pPr>
      <w:r>
        <w:t>7. Évolutions avancées</w:t>
      </w:r>
    </w:p>
    <w:p>
      <w:pPr>
        <w:keepLines/>
        <w:widowControl/>
        <w:spacing w:after="80"/>
      </w:pPr>
      <w:r>
        <w:rPr>
          <w:rFonts w:ascii="Segoe UI" w:hAnsi="Segoe UI"/>
          <w:b w:val="0"/>
          <w:i w:val="0"/>
          <w:sz w:val="21"/>
        </w:rPr>
        <w:t>Plusieurs pistes ont été explorées au-delà du modèle de base :</w:t>
      </w:r>
    </w:p>
    <w:p>
      <w:pPr>
        <w:pStyle w:val="ListBullet"/>
        <w:keepLines/>
        <w:widowControl/>
        <w:spacing w:after="20"/>
      </w:pPr>
      <w:r>
        <w:rPr>
          <w:rFonts w:ascii="Segoe UI" w:hAnsi="Segoe UI"/>
          <w:b/>
          <w:sz w:val="20"/>
        </w:rPr>
        <w:t xml:space="preserve">Modèle bayésien — </w:t>
      </w:r>
      <w:r>
        <w:rPr>
          <w:rFonts w:ascii="Segoe UI" w:hAnsi="Segoe UI"/>
          <w:sz w:val="20"/>
        </w:rPr>
        <w:t>programmé d'après le cours (loi gaussienne du RSSI par réseau, présence modélisée, décision au maximum a posteriori). Il atteint 75 % en évaluation réaliste, comparable aux forêts.</w:t>
      </w:r>
    </w:p>
    <w:p>
      <w:pPr>
        <w:pStyle w:val="ListBullet"/>
        <w:keepLines/>
        <w:widowControl/>
        <w:spacing w:after="20"/>
      </w:pPr>
      <w:r>
        <w:rPr>
          <w:rFonts w:ascii="Segoe UI" w:hAnsi="Segoe UI"/>
          <w:b/>
          <w:sz w:val="20"/>
        </w:rPr>
        <w:t xml:space="preserve">Optimisation des hyperparamètres — </w:t>
      </w:r>
      <w:r>
        <w:rPr>
          <w:rFonts w:ascii="Segoe UI" w:hAnsi="Segoe UI"/>
          <w:sz w:val="20"/>
        </w:rPr>
        <w:t>recherche sur grille avec validation croisée temporelle ; les gains sont modestes (ExtraTrees +1 point). Le protocole d'évaluation et le choix des réseaux pèsent davantage que le réglage fin.</w:t>
      </w:r>
    </w:p>
    <w:p>
      <w:pPr>
        <w:pStyle w:val="ListBullet"/>
        <w:keepLines/>
        <w:widowControl/>
        <w:spacing w:after="20"/>
      </w:pPr>
      <w:r>
        <w:rPr>
          <w:rFonts w:ascii="Segoe UI" w:hAnsi="Segoe UI"/>
          <w:b/>
          <w:sz w:val="20"/>
        </w:rPr>
        <w:t xml:space="preserve">Approche hiérarchique — </w:t>
      </w:r>
      <w:r>
        <w:rPr>
          <w:rFonts w:ascii="Segoe UI" w:hAnsi="Segoe UI"/>
          <w:sz w:val="20"/>
        </w:rPr>
        <w:t>prédire d'abord l'étage (fiable à 94 %) puis la salle ; la grande fiabilité de l'étage est une base solide pour la cartographie.</w:t>
      </w:r>
    </w:p>
    <w:p>
      <w:pPr>
        <w:pStyle w:val="ListBullet"/>
        <w:keepLines/>
        <w:widowControl/>
        <w:spacing w:after="20"/>
      </w:pPr>
      <w:r>
        <w:rPr>
          <w:rFonts w:ascii="Segoe UI" w:hAnsi="Segoe UI"/>
          <w:b/>
          <w:sz w:val="20"/>
        </w:rPr>
        <w:t xml:space="preserve">Estimation de distance — </w:t>
      </w:r>
      <w:r>
        <w:rPr>
          <w:rFonts w:ascii="Segoe UI" w:hAnsi="Segoe UI"/>
          <w:sz w:val="20"/>
        </w:rPr>
        <w:t>estimateur log-distance (exposant de propagation n ≈ 2,8) reliant puissance et distance à une borne, utile au diagnostic (bonus hors consigne).</w:t>
      </w:r>
    </w:p>
    <w:p>
      <w:pPr>
        <w:pStyle w:val="ListBullet"/>
        <w:keepLines/>
        <w:widowControl/>
        <w:spacing w:after="20"/>
      </w:pPr>
      <w:r>
        <w:rPr>
          <w:rFonts w:ascii="Segoe UI" w:hAnsi="Segoe UI"/>
          <w:b/>
          <w:sz w:val="20"/>
        </w:rPr>
        <w:t xml:space="preserve">Exploitation de la mobilité — </w:t>
      </w:r>
      <w:r>
        <w:rPr>
          <w:rFonts w:ascii="Segoe UI" w:hAnsi="Segoe UI"/>
          <w:sz w:val="20"/>
        </w:rPr>
        <w:t>limiter les zones possibles d'un instant à l'autre via un graphe de transition entre zones et une vitesse maximale. Piste prévue.</w:t>
      </w:r>
    </w:p>
    <w:p>
      <w:pPr>
        <w:keepNext/>
        <w:keepLines/>
        <w:widowControl/>
        <w:spacing w:after="20"/>
        <w:jc w:val="center"/>
      </w:pPr>
      <w:r>
        <w:drawing>
          <wp:inline xmlns:a="http://schemas.openxmlformats.org/drawingml/2006/main" xmlns:pic="http://schemas.openxmlformats.org/drawingml/2006/picture">
            <wp:extent cx="4206240" cy="1867160"/>
            <wp:docPr id="9" name="Picture 9"/>
            <wp:cNvGraphicFramePr>
              <a:graphicFrameLocks noChangeAspect="1"/>
            </wp:cNvGraphicFramePr>
            <a:graphic>
              <a:graphicData uri="http://schemas.openxmlformats.org/drawingml/2006/picture">
                <pic:pic>
                  <pic:nvPicPr>
                    <pic:cNvPr id="0" name="fig12_hierarchique.png"/>
                    <pic:cNvPicPr/>
                  </pic:nvPicPr>
                  <pic:blipFill>
                    <a:blip r:embed="rId19"/>
                    <a:stretch>
                      <a:fillRect/>
                    </a:stretch>
                  </pic:blipFill>
                  <pic:spPr>
                    <a:xfrm>
                      <a:off x="0" y="0"/>
                      <a:ext cx="4206240" cy="1867160"/>
                    </a:xfrm>
                    <a:prstGeom prst="rect"/>
                  </pic:spPr>
                </pic:pic>
              </a:graphicData>
            </a:graphic>
          </wp:inline>
        </w:drawing>
      </w:r>
    </w:p>
    <w:p>
      <w:pPr>
        <w:keepLines/>
        <w:widowControl/>
        <w:spacing w:after="160"/>
        <w:jc w:val="center"/>
      </w:pPr>
      <w:r>
        <w:rPr>
          <w:rFonts w:ascii="Segoe UI" w:hAnsi="Segoe UI"/>
          <w:i/>
          <w:color w:val="555555"/>
          <w:sz w:val="17"/>
        </w:rPr>
        <w:t>Figure 7 — Approche hiérarchique : la détection d'étage (94 %) servira à la cartographie.</w:t>
      </w:r>
    </w:p>
    <w:p>
      <w:pPr>
        <w:pStyle w:val="Heading1"/>
        <w:keepNext/>
        <w:keepLines/>
        <w:widowControl/>
        <w:spacing w:before="160" w:after="60"/>
      </w:pPr>
      <w:r>
        <w:t>8. Cartographie</w:t>
      </w:r>
    </w:p>
    <w:p>
      <w:pPr>
        <w:keepLines/>
        <w:widowControl/>
        <w:spacing w:after="80"/>
      </w:pPr>
      <w:r>
        <w:rPr>
          <w:rFonts w:ascii="Segoe UI" w:hAnsi="Segoe UI"/>
          <w:b w:val="0"/>
          <w:i w:val="0"/>
          <w:sz w:val="21"/>
        </w:rPr>
        <w:t>La localisation est restituée sur deux niveaux : le plan du campus UTT situe le bâtiment (section S ou P), puis un croquis d'étage situe la salle et la position à l'intérieur. L'agencement des étages suit la réalité du bâtiment : par section et par étage, deux salles côte à côte d'un côté du couloir, deux autres en face, et un palier qui relie les niveaux.</w:t>
      </w:r>
    </w:p>
    <w:p>
      <w:pPr>
        <w:pStyle w:val="Heading2"/>
        <w:keepNext/>
        <w:keepLines/>
        <w:widowControl/>
        <w:spacing w:before="160" w:after="60"/>
      </w:pPr>
      <w:r>
        <w:t>8.1 Cartographie en puissance</w:t>
      </w:r>
    </w:p>
    <w:p>
      <w:pPr>
        <w:keepLines/>
        <w:widowControl/>
        <w:spacing w:after="80"/>
      </w:pPr>
      <w:r>
        <w:rPr>
          <w:rFonts w:ascii="Segoe UI" w:hAnsi="Segoe UI"/>
          <w:b w:val="0"/>
          <w:i w:val="0"/>
          <w:sz w:val="21"/>
        </w:rPr>
        <w:t>À partir des points de la zone cartographiée, on interpole la puissance reçue de chaque borne sur toute la surface (figure 8). Ces cartes de chaleur montrent la structure spatiale du signal : elle est nette selon Y mais faible selon X, ce qui explique pourquoi l'axe X est plus difficile à prédire en régression (section 6).</w:t>
      </w:r>
    </w:p>
    <w:p>
      <w:pPr>
        <w:keepNext/>
        <w:keepLines/>
        <w:widowControl/>
        <w:spacing w:after="20"/>
        <w:jc w:val="center"/>
      </w:pPr>
      <w:r>
        <w:drawing>
          <wp:inline xmlns:a="http://schemas.openxmlformats.org/drawingml/2006/main" xmlns:pic="http://schemas.openxmlformats.org/drawingml/2006/picture">
            <wp:extent cx="4206240" cy="4184251"/>
            <wp:docPr id="10" name="Picture 10"/>
            <wp:cNvGraphicFramePr>
              <a:graphicFrameLocks noChangeAspect="1"/>
            </wp:cNvGraphicFramePr>
            <a:graphic>
              <a:graphicData uri="http://schemas.openxmlformats.org/drawingml/2006/picture">
                <pic:pic>
                  <pic:nvPicPr>
                    <pic:cNvPr id="0" name="fig21_heatmaps.png"/>
                    <pic:cNvPicPr/>
                  </pic:nvPicPr>
                  <pic:blipFill>
                    <a:blip r:embed="rId20"/>
                    <a:stretch>
                      <a:fillRect/>
                    </a:stretch>
                  </pic:blipFill>
                  <pic:spPr>
                    <a:xfrm>
                      <a:off x="0" y="0"/>
                      <a:ext cx="4206240" cy="4184251"/>
                    </a:xfrm>
                    <a:prstGeom prst="rect"/>
                  </pic:spPr>
                </pic:pic>
              </a:graphicData>
            </a:graphic>
          </wp:inline>
        </w:drawing>
      </w:r>
    </w:p>
    <w:p>
      <w:pPr>
        <w:keepLines/>
        <w:widowControl/>
        <w:spacing w:after="160"/>
        <w:jc w:val="center"/>
      </w:pPr>
      <w:r>
        <w:rPr>
          <w:rFonts w:ascii="Segoe UI" w:hAnsi="Segoe UI"/>
          <w:i/>
          <w:color w:val="555555"/>
          <w:sz w:val="17"/>
        </w:rPr>
        <w:t>Figure 8 — Cartographie en puissance : RSSI interpolé de quatre bornes sur la zone (points blancs = mesures).</w:t>
      </w:r>
    </w:p>
    <w:p>
      <w:pPr>
        <w:pStyle w:val="Heading2"/>
        <w:keepNext/>
        <w:keepLines/>
        <w:widowControl/>
        <w:spacing w:before="160" w:after="60"/>
      </w:pPr>
      <w:r>
        <w:t>8.2 Localisation de bout en bout</w:t>
      </w:r>
    </w:p>
    <w:p>
      <w:pPr>
        <w:keepLines/>
        <w:widowControl/>
        <w:spacing w:after="80"/>
      </w:pPr>
      <w:r>
        <w:rPr>
          <w:rFonts w:ascii="Segoe UI" w:hAnsi="Segoe UI"/>
          <w:b w:val="0"/>
          <w:i w:val="0"/>
          <w:sz w:val="21"/>
        </w:rPr>
        <w:t>La chaîne complète est illustrée sur un scan réel de la campagne ALT2 (figure 9) : le système identifie l'étage et la section, prédit la salle avec son niveau de confiance et le top-3 des zones probables, puis place la position estimée (x, y) à l'intérieur de la salle sur le croquis.</w:t>
      </w:r>
    </w:p>
    <w:p>
      <w:pPr>
        <w:keepNext/>
        <w:keepLines/>
        <w:widowControl/>
        <w:spacing w:after="20"/>
        <w:jc w:val="center"/>
      </w:pPr>
      <w:r>
        <w:drawing>
          <wp:inline xmlns:a="http://schemas.openxmlformats.org/drawingml/2006/main" xmlns:pic="http://schemas.openxmlformats.org/drawingml/2006/picture">
            <wp:extent cx="5486400" cy="2305181"/>
            <wp:docPr id="11" name="Picture 11"/>
            <wp:cNvGraphicFramePr>
              <a:graphicFrameLocks noChangeAspect="1"/>
            </wp:cNvGraphicFramePr>
            <a:graphic>
              <a:graphicData uri="http://schemas.openxmlformats.org/drawingml/2006/picture">
                <pic:pic>
                  <pic:nvPicPr>
                    <pic:cNvPr id="0" name="fig24_demo_localisation.png"/>
                    <pic:cNvPicPr/>
                  </pic:nvPicPr>
                  <pic:blipFill>
                    <a:blip r:embed="rId21"/>
                    <a:stretch>
                      <a:fillRect/>
                    </a:stretch>
                  </pic:blipFill>
                  <pic:spPr>
                    <a:xfrm>
                      <a:off x="0" y="0"/>
                      <a:ext cx="5486400" cy="2305181"/>
                    </a:xfrm>
                    <a:prstGeom prst="rect"/>
                  </pic:spPr>
                </pic:pic>
              </a:graphicData>
            </a:graphic>
          </wp:inline>
        </w:drawing>
      </w:r>
    </w:p>
    <w:p>
      <w:pPr>
        <w:keepLines/>
        <w:widowControl/>
        <w:spacing w:after="160"/>
        <w:jc w:val="center"/>
      </w:pPr>
      <w:r>
        <w:rPr>
          <w:rFonts w:ascii="Segoe UI" w:hAnsi="Segoe UI"/>
          <w:i/>
          <w:color w:val="555555"/>
          <w:sz w:val="17"/>
        </w:rPr>
        <w:t>Figure 9 — Localisation de bout en bout sur un scan réel : zone prédite sur le croquis d'étage + top-3 des zones.</w:t>
      </w:r>
    </w:p>
    <w:p>
      <w:pPr>
        <w:pStyle w:val="Heading2"/>
        <w:keepNext/>
        <w:keepLines/>
        <w:widowControl/>
        <w:spacing w:before="160" w:after="60"/>
      </w:pPr>
      <w:r>
        <w:t>8.3 Aide à la mobilité (désactivable)</w:t>
      </w:r>
    </w:p>
    <w:p>
      <w:pPr>
        <w:keepLines/>
        <w:widowControl/>
        <w:spacing w:after="80"/>
      </w:pPr>
      <w:r>
        <w:rPr>
          <w:rFonts w:ascii="Segoe UI" w:hAnsi="Segoe UI"/>
          <w:b w:val="0"/>
          <w:i w:val="0"/>
          <w:sz w:val="21"/>
        </w:rPr>
        <w:t>Lorsqu'on suit une trajectoire, on ne peut pas passer instantanément à une zone éloignée. On peut donc contraindre les prédictions successives par un graphe de transition entre zones voisines (lissage de la trajectoire). Sur des trajectoires simulées respectant l'adjacence, cette aide fait passer l'accuracy de 82 % à 89 % (+8 points, figure 10). Conformément au principe de prudence retenu, cette aide reste désactivée par défaut et n'est activée que si elle améliore réellement la prédiction.</w:t>
      </w:r>
    </w:p>
    <w:p>
      <w:pPr>
        <w:keepNext/>
        <w:keepLines/>
        <w:widowControl/>
        <w:spacing w:after="20"/>
        <w:jc w:val="center"/>
      </w:pPr>
      <w:r>
        <w:drawing>
          <wp:inline xmlns:a="http://schemas.openxmlformats.org/drawingml/2006/main" xmlns:pic="http://schemas.openxmlformats.org/drawingml/2006/picture">
            <wp:extent cx="3931920" cy="2729804"/>
            <wp:docPr id="12" name="Picture 12"/>
            <wp:cNvGraphicFramePr>
              <a:graphicFrameLocks noChangeAspect="1"/>
            </wp:cNvGraphicFramePr>
            <a:graphic>
              <a:graphicData uri="http://schemas.openxmlformats.org/drawingml/2006/picture">
                <pic:pic>
                  <pic:nvPicPr>
                    <pic:cNvPr id="0" name="fig23_map_assist.png"/>
                    <pic:cNvPicPr/>
                  </pic:nvPicPr>
                  <pic:blipFill>
                    <a:blip r:embed="rId22"/>
                    <a:stretch>
                      <a:fillRect/>
                    </a:stretch>
                  </pic:blipFill>
                  <pic:spPr>
                    <a:xfrm>
                      <a:off x="0" y="0"/>
                      <a:ext cx="3931920" cy="2729804"/>
                    </a:xfrm>
                    <a:prstGeom prst="rect"/>
                  </pic:spPr>
                </pic:pic>
              </a:graphicData>
            </a:graphic>
          </wp:inline>
        </w:drawing>
      </w:r>
    </w:p>
    <w:p>
      <w:pPr>
        <w:keepLines/>
        <w:widowControl/>
        <w:spacing w:after="160"/>
        <w:jc w:val="center"/>
      </w:pPr>
      <w:r>
        <w:rPr>
          <w:rFonts w:ascii="Segoe UI" w:hAnsi="Segoe UI"/>
          <w:i/>
          <w:color w:val="555555"/>
          <w:sz w:val="17"/>
        </w:rPr>
        <w:t>Figure 10 — Aide à la mobilité : impact mesuré (désactivable, désactivée par défaut).</w:t>
      </w:r>
    </w:p>
    <w:p>
      <w:pPr>
        <w:pStyle w:val="Heading1"/>
        <w:keepNext/>
        <w:keepLines/>
        <w:widowControl/>
        <w:spacing w:before="160" w:after="60"/>
      </w:pPr>
      <w:r>
        <w:t>9. Application temps réel</w:t>
      </w:r>
    </w:p>
    <w:p>
      <w:pPr>
        <w:keepLines/>
        <w:widowControl/>
        <w:spacing w:after="80"/>
      </w:pPr>
      <w:r>
        <w:rPr>
          <w:rFonts w:ascii="Segoe UI" w:hAnsi="Segoe UI"/>
          <w:b w:val="0"/>
          <w:i w:val="0"/>
          <w:sz w:val="21"/>
        </w:rPr>
        <w:t>Le pipeline a été intégré dans des interfaces graphiques permettant de tester le système en direct sur un ordinateur, à l'aide de pywifi :</w:t>
      </w:r>
    </w:p>
    <w:p>
      <w:pPr>
        <w:pStyle w:val="ListBullet"/>
        <w:keepLines/>
        <w:widowControl/>
        <w:spacing w:after="20"/>
      </w:pPr>
      <w:r>
        <w:rPr>
          <w:rFonts w:ascii="Segoe UI" w:hAnsi="Segoe UI"/>
          <w:b/>
          <w:sz w:val="20"/>
        </w:rPr>
        <w:t xml:space="preserve">Classification de salle — </w:t>
      </w:r>
      <w:r>
        <w:rPr>
          <w:rFonts w:ascii="Segoe UI" w:hAnsi="Segoe UI"/>
          <w:sz w:val="20"/>
        </w:rPr>
        <w:t>scanne le WiFi en continu, affiche la salle prédite, sa confiance et le top-5 des zones probables ; l'utilisateur peut indiquer la salle réelle pour suivre une accuracy en direct, et enregistrer un scan au format d'entraînement.</w:t>
      </w:r>
    </w:p>
    <w:p>
      <w:pPr>
        <w:pStyle w:val="ListBullet"/>
        <w:keepLines/>
        <w:widowControl/>
        <w:spacing w:after="20"/>
      </w:pPr>
      <w:r>
        <w:rPr>
          <w:rFonts w:ascii="Segoe UI" w:hAnsi="Segoe UI"/>
          <w:b/>
          <w:sz w:val="20"/>
        </w:rPr>
        <w:t xml:space="preserve">Position intra-zone — </w:t>
      </w:r>
      <w:r>
        <w:rPr>
          <w:rFonts w:ascii="Segoe UI" w:hAnsi="Segoe UI"/>
          <w:sz w:val="20"/>
        </w:rPr>
        <w:t>affiche la position (x, y) estimée sur un plan de la zone, avec un indicateur du nombre de bornes connues effectivement captées.</w:t>
      </w:r>
    </w:p>
    <w:p>
      <w:pPr>
        <w:pStyle w:val="ListBullet"/>
        <w:keepLines/>
        <w:widowControl/>
        <w:spacing w:after="20"/>
      </w:pPr>
      <w:r>
        <w:rPr>
          <w:rFonts w:ascii="Segoe UI" w:hAnsi="Segoe UI"/>
          <w:b/>
          <w:sz w:val="20"/>
        </w:rPr>
        <w:t xml:space="preserve">Distance à une borne — </w:t>
      </w:r>
      <w:r>
        <w:rPr>
          <w:rFonts w:ascii="Segoe UI" w:hAnsi="Segoe UI"/>
          <w:sz w:val="20"/>
        </w:rPr>
        <w:t>estime la distance à une borne à partir du modèle log-distance (bonus).</w:t>
      </w:r>
    </w:p>
    <w:p>
      <w:pPr>
        <w:keepLines/>
        <w:widowControl/>
        <w:spacing w:after="80"/>
      </w:pPr>
      <w:r>
        <w:rPr>
          <w:rFonts w:ascii="Segoe UI" w:hAnsi="Segoe UI"/>
          <w:b w:val="0"/>
          <w:i w:val="0"/>
          <w:sz w:val="21"/>
        </w:rPr>
        <w:t>Ces interfaces rendent le système concret et serviront de base à la cartographie (afficher la zone puis la position précise sur un plan du bâtiment).</w:t>
      </w:r>
    </w:p>
    <w:p>
      <w:pPr>
        <w:pStyle w:val="Heading1"/>
        <w:keepNext/>
        <w:keepLines/>
        <w:widowControl/>
        <w:spacing w:before="160" w:after="60"/>
      </w:pPr>
      <w:r>
        <w:t>10. Difficultés rencontrées</w:t>
      </w:r>
    </w:p>
    <w:p>
      <w:pPr>
        <w:pStyle w:val="ListBullet"/>
        <w:keepLines/>
        <w:widowControl/>
        <w:spacing w:after="20"/>
      </w:pPr>
      <w:r>
        <w:rPr>
          <w:rFonts w:ascii="Segoe UI" w:hAnsi="Segoe UI"/>
          <w:b/>
          <w:sz w:val="20"/>
        </w:rPr>
        <w:t xml:space="preserve">Cohérence d'encodage entre apprentissage et live — </w:t>
      </w:r>
      <w:r>
        <w:rPr>
          <w:rFonts w:ascii="Segoe UI" w:hAnsi="Segoe UI"/>
          <w:sz w:val="20"/>
        </w:rPr>
        <w:t>les modèles récents attendent l'identifiant composé SSID|BSSID, alors que le scanner live produisait au départ des SSID seuls : tout le vecteur arrivait vide et la prédiction devenait aléatoire. La correction détecte automatiquement le format attendu par le modèle chargé.</w:t>
      </w:r>
    </w:p>
    <w:p>
      <w:pPr>
        <w:pStyle w:val="ListBullet"/>
        <w:keepLines/>
        <w:widowControl/>
        <w:spacing w:after="20"/>
      </w:pPr>
      <w:r>
        <w:rPr>
          <w:rFonts w:ascii="Segoe UI" w:hAnsi="Segoe UI"/>
          <w:b/>
          <w:sz w:val="20"/>
        </w:rPr>
        <w:t xml:space="preserve">Renouvellement de l'infrastructure — </w:t>
      </w:r>
      <w:r>
        <w:rPr>
          <w:rFonts w:ascii="Segoe UI" w:hAnsi="Segoe UI"/>
          <w:sz w:val="20"/>
        </w:rPr>
        <w:t>lors d'un test en direct, aucun des BSSID captés ne figurait dans les bases d'apprentissage : l'infrastructure WiFi avait été en partie renouvelée (mêmes fabricants, adresses différentes). C'est une illustration concrète du drift et une limite intrinsèque du fingerprinting — on ne reconnaît que les empreintes déjà vues.</w:t>
      </w:r>
    </w:p>
    <w:p>
      <w:pPr>
        <w:pStyle w:val="ListBullet"/>
        <w:keepLines/>
        <w:widowControl/>
        <w:spacing w:after="20"/>
      </w:pPr>
      <w:r>
        <w:rPr>
          <w:rFonts w:ascii="Segoe UI" w:hAnsi="Segoe UI"/>
          <w:b/>
          <w:sz w:val="20"/>
        </w:rPr>
        <w:t xml:space="preserve">Petites classes et versions — </w:t>
      </w:r>
      <w:r>
        <w:rPr>
          <w:rFonts w:ascii="Segoe UI" w:hAnsi="Segoe UI"/>
          <w:sz w:val="20"/>
        </w:rPr>
        <w:t>une zone à très peu de mesures a dû être écartée de la validation croisée stratifiée ; les conflits de version de scikit-learn entre artefacts ont été gérés sans impact fonctionnel.</w:t>
      </w:r>
    </w:p>
    <w:p>
      <w:pPr>
        <w:pStyle w:val="Heading1"/>
        <w:keepNext/>
        <w:keepLines/>
        <w:widowControl/>
        <w:spacing w:before="160" w:after="60"/>
      </w:pPr>
      <w:r>
        <w:t>11. Conclusion et perspectives</w:t>
      </w:r>
    </w:p>
    <w:p>
      <w:pPr>
        <w:keepLines/>
        <w:widowControl/>
        <w:spacing w:after="80"/>
      </w:pPr>
      <w:r>
        <w:rPr>
          <w:rFonts w:ascii="Segoe UI" w:hAnsi="Segoe UI"/>
          <w:b w:val="0"/>
          <w:i w:val="0"/>
          <w:sz w:val="21"/>
        </w:rPr>
        <w:t>Le projet traite les deux tâches demandées : la classification en zones et la régression de position (x, y), avec une erreur médiane d'environ un mètre. Sur le hold-out, la classification atteint des scores très élevés, mais l'enseignement principal vient de l'évolution temporelle : sur une nouvelle campagne (ALT2, trois mois après), l'accuracy chute à environ 47 % et ne se rétablit qu'en réintégrant des mesures récentes. Le fingerprinting WiFi fonctionne, mais reste sensible au temps : il faut le ré-entraîner régulièrement, car l'environnement radio change.</w:t>
      </w:r>
    </w:p>
    <w:p>
      <w:pPr>
        <w:keepLines/>
        <w:widowControl/>
        <w:spacing w:after="80"/>
      </w:pPr>
      <w:r>
        <w:rPr>
          <w:rFonts w:ascii="Segoe UI" w:hAnsi="Segoe UI"/>
          <w:b w:val="0"/>
          <w:i w:val="0"/>
          <w:sz w:val="21"/>
        </w:rPr>
        <w:t>Les perspectives sont claires : collecter ALT3 (juin) pour compléter la stratégie 3 (le code est prêt), densifier la régression et l'étendre à d'autres zones, et intégrer la cartographie (déjà en place : carte de puissance, croquis d'étage, aide à la mobilité) dans l'interface temps réel. L'apport méthodologique du projet est d'avoir distingué un score de hold-out optimiste d'une performance mesurée en conditions réalistes, ce qui donne une image fidèle de ce que le système sait réellement faire.</w:t>
      </w:r>
    </w:p>
    <w:sectPr w:rsidR="00FC693F" w:rsidRPr="0006063C" w:rsidSect="00034616">
      <w:headerReference w:type="default" r:id="rId9"/>
      <w:footerReference w:type="default" r:id="rId10"/>
      <w:pgSz w:w="12240" w:h="15840"/>
      <w:pgMar w:top="964" w:right="1077" w:bottom="850" w:left="107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55555"/>
        <w:sz w:val="17"/>
      </w:rPr>
      <w:t xml:space="preserve">Page </w:t>
    </w:r>
    <w:r>
      <w:rPr>
        <w:rFonts w:ascii="Segoe UI" w:hAnsi="Segoe UI"/>
        <w:color w:val="555555"/>
        <w:sz w:val="17"/>
      </w:rPr>
      <w:fldChar w:fldCharType="begin"/>
      <w:instrText xml:space="preserve">PAGE</w:instrText>
      <w:fldChar w:fldCharType="separate"/>
      <w:t>1</w:t>
      <w:fldChar w:fldCharType="end"/>
    </w:r>
    <w:r>
      <w:rPr>
        <w:rFonts w:ascii="Segoe UI" w:hAnsi="Segoe UI"/>
        <w:color w:val="555555"/>
        <w:sz w:val="17"/>
      </w:rPr>
      <w:t xml:space="preserve"> / </w:t>
    </w:r>
    <w:r>
      <w:rPr>
        <w:rFonts w:ascii="Segoe UI" w:hAnsi="Segoe UI"/>
        <w:color w:val="55555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777240" cy="281817"/>
          <wp:docPr id="1" name="Picture 1"/>
          <wp:cNvGraphicFramePr>
            <a:graphicFrameLocks noChangeAspect="1"/>
          </wp:cNvGraphicFramePr>
          <a:graphic>
            <a:graphicData uri="http://schemas.openxmlformats.org/drawingml/2006/picture">
              <pic:pic>
                <pic:nvPicPr>
                  <pic:cNvPr id="0" name="utt_logo.png"/>
                  <pic:cNvPicPr/>
                </pic:nvPicPr>
                <pic:blipFill>
                  <a:blip r:embed="rId1"/>
                  <a:stretch>
                    <a:fillRect/>
                  </a:stretch>
                </pic:blipFill>
                <pic:spPr>
                  <a:xfrm>
                    <a:off x="0" y="0"/>
                    <a:ext cx="777240" cy="281817"/>
                  </a:xfrm>
                  <a:prstGeom prst="rect"/>
                </pic:spPr>
              </pic:pic>
            </a:graphicData>
          </a:graphic>
        </wp:inline>
      </w:drawing>
    </w:r>
    <w:r>
      <w:rPr>
        <w:rFonts w:ascii="Segoe UI" w:hAnsi="Segoe UI"/>
        <w:color w:val="555555"/>
        <w:sz w:val="17"/>
      </w:rPr>
      <w:t xml:space="preserve">      IF23 P — Localisation indoor WiFi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1E6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1E6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1E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