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(Daytime</w:t>
      </w:r>
      <w:r>
        <w:t xml:space="preserve"> </w:t>
      </w:r>
      <w:r>
        <w:t xml:space="preserve">impairment)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Daytime impairment is composed by two sub-networks.</w:t>
      </w:r>
      <w:r>
        <w:t xml:space="preserve"> </w:t>
      </w: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The only crossover study for this outcome (Vinkari 1984) was excluded as it had no available p-value needed to calculate the adjusted standard error.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"doxepin"                                     </w:t>
      </w:r>
      <w:r>
        <w:br w:type="textWrapping"/>
      </w:r>
      <w:r>
        <w:rPr>
          <w:rStyle w:val="VerbatimChar"/>
        </w:rPr>
        <w:t xml:space="preserve">## [2] "eszopiclone"                                 </w:t>
      </w:r>
      <w:r>
        <w:br w:type="textWrapping"/>
      </w:r>
      <w:r>
        <w:rPr>
          <w:rStyle w:val="VerbatimChar"/>
        </w:rPr>
        <w:t xml:space="preserve">## [3] "flurazepam"                                  </w:t>
      </w:r>
      <w:r>
        <w:br w:type="textWrapping"/>
      </w:r>
      <w:r>
        <w:rPr>
          <w:rStyle w:val="VerbatimChar"/>
        </w:rPr>
        <w:t xml:space="preserve">## [4] "food supplement (melatonin, magnesium, zinc)"</w:t>
      </w:r>
      <w:r>
        <w:br w:type="textWrapping"/>
      </w:r>
      <w:r>
        <w:rPr>
          <w:rStyle w:val="VerbatimChar"/>
        </w:rPr>
        <w:t xml:space="preserve">## [5] "pbo"                                         </w:t>
      </w:r>
      <w:r>
        <w:br w:type="textWrapping"/>
      </w:r>
      <w:r>
        <w:rPr>
          <w:rStyle w:val="VerbatimChar"/>
        </w:rPr>
        <w:t xml:space="preserve">## [6] "propiomazine"                                </w:t>
      </w:r>
      <w:r>
        <w:br w:type="textWrapping"/>
      </w:r>
      <w:r>
        <w:rPr>
          <w:rStyle w:val="VerbatimChar"/>
        </w:rPr>
        <w:t xml:space="preserve">## [7] "quazepam"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requentist-network-meta-analysis"/>
      <w:r>
        <w:t xml:space="preserve">Frequentist network meta-analysis</w:t>
      </w:r>
      <w:bookmarkEnd w:id="23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0.076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28 %</w:t>
      </w:r>
    </w:p>
    <w:p>
      <w:pPr>
        <w:pStyle w:val="Heading3"/>
      </w:pPr>
      <w:bookmarkStart w:id="25" w:name="sub-network-2"/>
      <w:r>
        <w:t xml:space="preserve">Sub-network 2</w:t>
      </w:r>
      <w:bookmarkEnd w:id="25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"loprazolam"      "nitrazepam"      "triazolam"      </w:t>
      </w:r>
      <w:r>
        <w:br w:type="textWrapping"/>
      </w:r>
      <w:r>
        <w:rPr>
          <w:rStyle w:val="VerbatimChar"/>
        </w:rPr>
        <w:t xml:space="preserve">## [5] "zopiclone"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2019-08-16T14:07:10Z</dcterms:created>
  <dcterms:modified xsi:type="dcterms:W3CDTF">2019-08-16T14:07:10Z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