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(Daytime</w:t>
      </w:r>
      <w:r>
        <w:t xml:space="preserve"> </w:t>
      </w:r>
      <w:r>
        <w:t xml:space="preserve">impairment)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Daytime impairment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only crossover study for this outcome (Vinkari 1984) was excluded as it had no available p-value needed to calculate the adjusted standard error.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"doxepin"                                     </w:t>
      </w:r>
      <w:r>
        <w:br w:type="textWrapping"/>
      </w:r>
      <w:r>
        <w:rPr>
          <w:rStyle w:val="VerbatimChar"/>
        </w:rPr>
        <w:t xml:space="preserve">## [2] "eszopiclone"                                 </w:t>
      </w:r>
      <w:r>
        <w:br w:type="textWrapping"/>
      </w:r>
      <w:r>
        <w:rPr>
          <w:rStyle w:val="VerbatimChar"/>
        </w:rPr>
        <w:t xml:space="preserve">## [3] "flurazepam"                                  </w:t>
      </w:r>
      <w:r>
        <w:br w:type="textWrapping"/>
      </w:r>
      <w:r>
        <w:rPr>
          <w:rStyle w:val="VerbatimChar"/>
        </w:rPr>
        <w:t xml:space="preserve">## [4] "food supplement (melatonin, magnesium, zinc)"</w:t>
      </w:r>
      <w:r>
        <w:br w:type="textWrapping"/>
      </w:r>
      <w:r>
        <w:rPr>
          <w:rStyle w:val="VerbatimChar"/>
        </w:rPr>
        <w:t xml:space="preserve">## [5] "pbo"                                         </w:t>
      </w:r>
      <w:r>
        <w:br w:type="textWrapping"/>
      </w:r>
      <w:r>
        <w:rPr>
          <w:rStyle w:val="VerbatimChar"/>
        </w:rPr>
        <w:t xml:space="preserve">## [6] "propiomazine"                                </w:t>
      </w:r>
      <w:r>
        <w:br w:type="textWrapping"/>
      </w:r>
      <w:r>
        <w:rPr>
          <w:rStyle w:val="VerbatimChar"/>
        </w:rPr>
        <w:t xml:space="preserve">## [7] "quazepam"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0.076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28 %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aytimeImpair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2019-10-03T12:37:38Z</dcterms:created>
  <dcterms:modified xsi:type="dcterms:W3CDTF">2019-10-03T12:37:38Z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