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(Number</w:t>
      </w:r>
      <w:r>
        <w:t xml:space="preserve"> </w:t>
      </w:r>
      <w:r>
        <w:t xml:space="preserve">of</w:t>
      </w:r>
      <w:r>
        <w:t xml:space="preserve"> </w:t>
      </w:r>
      <w:r>
        <w:t xml:space="preserve">dropouts</w:t>
      </w:r>
      <w:r>
        <w:t xml:space="preserve"> </w:t>
      </w:r>
      <w:r>
        <w:t xml:space="preserve">for</w:t>
      </w:r>
      <w:r>
        <w:t xml:space="preserve"> </w:t>
      </w:r>
      <w:r>
        <w:t xml:space="preserve">adverse</w:t>
      </w:r>
      <w:r>
        <w:t xml:space="preserve"> </w:t>
      </w:r>
      <w:r>
        <w:t xml:space="preserve">events)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Dropouts due to Adverse Events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The multiarm study Dement 1991 was also excluded because data was only available for one comparison. Study Klimm 1987 was also excluded because disconnected to the rest of the network.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0.073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1 %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2019-10-03T12:41:29Z</dcterms:created>
  <dcterms:modified xsi:type="dcterms:W3CDTF">2019-10-03T12:41:29Z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