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16th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(Heart</w:t>
      </w:r>
      <w:r>
        <w:t xml:space="preserve"> </w:t>
      </w:r>
      <w:r>
        <w:t xml:space="preserve">attack)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Heart Attack.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chlormethiazole</w:t>
      </w:r>
    </w:p>
    <w:p>
      <w:pPr>
        <w:pStyle w:val="Compact"/>
        <w:numPr>
          <w:numId w:val="1001"/>
          <w:ilvl w:val="0"/>
        </w:numPr>
      </w:pPr>
      <w:r>
        <w:t xml:space="preserve">triazolam</w:t>
      </w:r>
    </w:p>
    <w:p>
      <w:pPr>
        <w:pStyle w:val="FirstParagraph"/>
      </w:pPr>
      <w:r>
        <w:t xml:space="preserve">The multiarm study Overstall 1987 was also excluded because data was not available for all comparisons.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HeartAttac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HeartAttac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2019-08-16T12:42:58Z</dcterms:created>
  <dcterms:modified xsi:type="dcterms:W3CDTF">2019-08-16T12:42:58Z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