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(Paradoxical</w:t>
      </w:r>
      <w:r>
        <w:t xml:space="preserve"> </w:t>
      </w:r>
      <w:r>
        <w:t xml:space="preserve">drug</w:t>
      </w:r>
      <w:r>
        <w:t xml:space="preserve"> </w:t>
      </w:r>
      <w:r>
        <w:t xml:space="preserve">reactions/Anxiety)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Paradoxical Drug Reactions is composed by two sub-networks.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"diphenhydramine" "eszopiclone"     "pbo"             "temazepam"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requentist-network-meta-analysis"/>
      <w:r>
        <w:t xml:space="preserve">Frequentist network meta-analysis</w:t>
      </w:r>
      <w:bookmarkEnd w:id="23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5" w:name="sub-network-2"/>
      <w:r>
        <w:t xml:space="preserve">Sub-network 2</w:t>
      </w:r>
      <w:bookmarkEnd w:id="25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"nitrazepam"      "triazolam"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adoxicalDrugReaction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2019-11-05T15:03:04Z</dcterms:created>
  <dcterms:modified xsi:type="dcterms:W3CDTF">2019-11-05T15:03:04Z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