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(Patient</w:t>
      </w:r>
      <w:r>
        <w:t xml:space="preserve"> </w:t>
      </w:r>
      <w:r>
        <w:t xml:space="preserve">subjective</w:t>
      </w:r>
      <w:r>
        <w:t xml:space="preserve"> </w:t>
      </w:r>
      <w:r>
        <w:t xml:space="preserve">wellbeing/Quality</w:t>
      </w:r>
      <w:r>
        <w:t xml:space="preserve"> </w:t>
      </w:r>
      <w:r>
        <w:t xml:space="preserve">of</w:t>
      </w:r>
      <w:r>
        <w:t xml:space="preserve"> </w:t>
      </w:r>
      <w:r>
        <w:t xml:space="preserve">life)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Quality of Life.</w:t>
      </w:r>
      <w:r>
        <w:t xml:space="preserve"> </w:t>
      </w:r>
      <w:r>
        <w:t xml:space="preserve">The following treatments were excluded as they were disconnected to the two main 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QualityOfLif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QualityOfLif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2019-08-07T14:17:33Z</dcterms:created>
  <dcterms:modified xsi:type="dcterms:W3CDTF">2019-08-07T14:17:33Z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