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(Sedation/somnolence)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Participants with Sedation/somnolence.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0.422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26 %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t xml:space="preserve">A further study, Klimm 1987, was also excluded from this analysis because disconnected from the rest of the network.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2019-10-03T13:51:17Z</dcterms:created>
  <dcterms:modified xsi:type="dcterms:W3CDTF">2019-10-03T13:51:17Z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