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7th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(Sleep</w:t>
      </w:r>
      <w:r>
        <w:t xml:space="preserve"> </w:t>
      </w:r>
      <w:r>
        <w:t xml:space="preserve">Onset</w:t>
      </w:r>
      <w:r>
        <w:t xml:space="preserve"> </w:t>
      </w:r>
      <w:r>
        <w:t xml:space="preserve">Latency)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Sleep Onset Latency.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Compact"/>
        <w:numPr>
          <w:numId w:val="1001"/>
          <w:ilvl w:val="0"/>
        </w:numPr>
      </w:pPr>
      <w:r>
        <w:t xml:space="preserve">flunitrazepam</w:t>
      </w:r>
    </w:p>
    <w:p>
      <w:pPr>
        <w:pStyle w:val="Compact"/>
        <w:numPr>
          <w:numId w:val="1001"/>
          <w:ilvl w:val="0"/>
        </w:numPr>
      </w:pPr>
      <w:r>
        <w:t xml:space="preserve">nitrazepam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OnsetLatency_m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OnsetLatency_m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0 %</w:t>
      </w:r>
    </w:p>
    <w:p>
      <w:pPr>
        <w:pStyle w:val="Heading3"/>
      </w:pPr>
      <w:bookmarkStart w:id="24" w:name="X28beca2c528a7278b408d17214ef29f1982bb17"/>
      <w:r>
        <w:t xml:space="preserve">Sensitivity analyses and meta-regressions</w:t>
      </w:r>
      <w:bookmarkEnd w:id="24"/>
    </w:p>
    <w:p>
      <w:pPr>
        <w:pStyle w:val="FirstParagraph"/>
      </w:pPr>
      <w:r>
        <w:t xml:space="preserve">We run a sensitivity analyses excluding the crossover studies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OnsetLatency_md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One study, comparing chlormethiazole versus temazepam, was also excluded from this sensitivity analysis because disconnected to the rest of the network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OnsetLatency_m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2019-08-07T19:11:05Z</dcterms:created>
  <dcterms:modified xsi:type="dcterms:W3CDTF">2019-08-07T19:11:05Z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