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F2EC7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主配网图模及接口数据校验基线规范书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6524D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5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79BED9">
            <w:pPr>
              <w:spacing w:before="0" w:after="0" w:line="36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1B365D"/>
                <w:sz w:val="21"/>
              </w:rPr>
              <w:t>📌 规范效力说明：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本规范书基于电网图模数据结构现状、现有通信规约与现场业务经验制定，作为软件开发、算法实现与接口设计的书面标准化依据。标注为 [暂定/待联调] 的条款，允许在后续系统联调与真实数据落地过程中微调修正。</w:t>
            </w:r>
          </w:p>
        </w:tc>
      </w:tr>
    </w:tbl>
    <w:p w14:paraId="5F56ED43">
      <w:pPr>
        <w:spacing w:before="0" w:after="0"/>
      </w:pPr>
    </w:p>
    <w:p w14:paraId="47032B6D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遥信与遥测字段标准化规约</w:t>
      </w:r>
    </w:p>
    <w:p w14:paraId="4E136834">
      <w:pPr>
        <w:keepNext/>
        <w:spacing w:before="180" w:after="80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遥测字段规范表（Analog Measurements Specification）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14:paraId="784D6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7F2C03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90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7A9D72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字段名称</w:t>
            </w:r>
          </w:p>
        </w:tc>
        <w:tc>
          <w:tcPr>
            <w:tcW w:w="102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223F30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归属源表</w:t>
            </w:r>
          </w:p>
        </w:tc>
        <w:tc>
          <w:tcPr>
            <w:tcW w:w="79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05DDB6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字段释义</w:t>
            </w:r>
          </w:p>
        </w:tc>
        <w:tc>
          <w:tcPr>
            <w:tcW w:w="102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49A2CE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数据类型</w:t>
            </w:r>
          </w:p>
        </w:tc>
        <w:tc>
          <w:tcPr>
            <w:tcW w:w="56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3D268C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量纲</w:t>
            </w:r>
          </w:p>
        </w:tc>
        <w:tc>
          <w:tcPr>
            <w:tcW w:w="56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38F6D9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精度</w:t>
            </w:r>
          </w:p>
        </w:tc>
        <w:tc>
          <w:tcPr>
            <w:tcW w:w="56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23C797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默认值</w:t>
            </w:r>
          </w:p>
        </w:tc>
        <w:tc>
          <w:tcPr>
            <w:tcW w:w="158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DE9A95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采样与数据含义</w:t>
            </w:r>
          </w:p>
        </w:tc>
        <w:tc>
          <w:tcPr>
            <w:tcW w:w="102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D7D029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对应设备</w:t>
            </w:r>
          </w:p>
        </w:tc>
        <w:tc>
          <w:tcPr>
            <w:tcW w:w="79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580E64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状态标记</w:t>
            </w:r>
          </w:p>
        </w:tc>
      </w:tr>
      <w:tr w14:paraId="49BE0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CC8E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BACC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UA / U_A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54F3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960B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A相电压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E4A1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55F9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AA04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0DA4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D69E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进线/母线 A 相运行有效值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84A8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断路器/母线/配变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821B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04349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1639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5474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UB / U_B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60BB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7183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B相电压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649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4F82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E486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A5CC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F465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进线/母线 B 相运行有效值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F925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断路器/母线/配变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B35F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7E0BE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A51C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0BC0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UC / U_C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2896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8BD8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C相电压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9C11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8249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1AF4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24EF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7399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进线/母线 C 相运行有效值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01C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断路器/母线/配变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0309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14F30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E48E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A964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U_AB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A2A3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JBS_ZWMEA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F5D5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AB线电压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B91D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216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E09F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AC08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1F85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高压线电压有效值（主网）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01FF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变压器/高压母线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7FC8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[暂定/待联调]</w:t>
            </w:r>
          </w:p>
        </w:tc>
      </w:tr>
      <w:tr w14:paraId="1E899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9493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24CA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U_BC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D599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JBS_ZWMEA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62B1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BC线电压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7FCD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997D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ABC4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360E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3655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高压线电压有效值（主网）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E33C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变压器/高压母线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DD48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[暂定/待联调]</w:t>
            </w:r>
          </w:p>
        </w:tc>
      </w:tr>
      <w:tr w14:paraId="4AA24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7534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6F66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U_CA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2360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JBS_ZWMEA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5A4F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CA线电压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F978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3863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6E57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D8A0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F258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高压线电压有效值（主网）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672F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变压器/高压母线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4A56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[暂定/待联调]</w:t>
            </w:r>
          </w:p>
        </w:tc>
      </w:tr>
      <w:tr w14:paraId="5AE31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6AD5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FC2E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IA / I_A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E35F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1394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A相电流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ADA3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E44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2DAC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46BB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55AF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间隔/分支 A 相负荷电流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EA18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断路器/负荷开关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5CC1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4E3D4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3C28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28FE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IB / I_B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47BD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61D7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B相电流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ACC2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6463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78A7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57C5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C60B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间隔/分支 B 相负荷电流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C4E1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断路器/负荷开关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B4C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43C9F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364A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D616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IC / I_C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7C30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D8AA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C相电流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0244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251B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B2CF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ABE7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F952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间隔/分支 C 相负荷电流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65A3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断路器/负荷开关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838B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63371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D07A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EEF9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AP / P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7F92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FB48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有功功率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AEC0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DF91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kW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272C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0.001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08C6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0CC3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实时总有功功率（带正负方向）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3EA1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出线间隔/联络开关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1221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032A0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E611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11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B1EA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RP / Q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DD0C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94C1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无功功率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8257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8347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kvar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AD28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0.001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BF80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F5D8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实时总无功功率（带正负方向）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8477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变压器/电容器组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0EE6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6E3B0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15BB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12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E305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COS_PHI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1BC4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扩展字典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473D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功率因数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B8E7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4D60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无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A628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CE77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1.00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6BF3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运行功率因数（-1.0 至 1.0）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19A9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出线开关/主变低压侧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238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[暂定/待联调]</w:t>
            </w:r>
          </w:p>
        </w:tc>
      </w:tr>
      <w:tr w14:paraId="10D46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03F0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13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F0BD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FREQ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CDD5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扩展字典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C370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系统频率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B2B4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6833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Hz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1376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E02D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50.00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FB08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母线交流运行频率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B361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变电站母线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4984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[暂定/待联调]</w:t>
            </w:r>
          </w:p>
        </w:tc>
      </w:tr>
    </w:tbl>
    <w:p w14:paraId="27530338">
      <w:r>
        <w:br w:type="page"/>
      </w:r>
    </w:p>
    <w:p w14:paraId="3DBDE5AC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1.2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遥信字段规范表（Digital Statuses Specification）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14:paraId="57F8D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CA2E1E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5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5BC2FD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字段名称</w:t>
            </w:r>
          </w:p>
        </w:tc>
        <w:tc>
          <w:tcPr>
            <w:tcW w:w="102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170EDE2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字段释义</w:t>
            </w:r>
          </w:p>
        </w:tc>
        <w:tc>
          <w:tcPr>
            <w:tcW w:w="68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F8BB89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二分状态</w:t>
            </w:r>
          </w:p>
        </w:tc>
        <w:tc>
          <w:tcPr>
            <w:tcW w:w="90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42C195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码值定义 (Code)</w:t>
            </w:r>
          </w:p>
        </w:tc>
        <w:tc>
          <w:tcPr>
            <w:tcW w:w="124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19523E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对应物理状态</w:t>
            </w:r>
          </w:p>
        </w:tc>
        <w:tc>
          <w:tcPr>
            <w:tcW w:w="141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422DC2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异常说明/品质码</w:t>
            </w:r>
          </w:p>
        </w:tc>
        <w:tc>
          <w:tcPr>
            <w:tcW w:w="62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91E22B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归属</w:t>
            </w:r>
          </w:p>
        </w:tc>
        <w:tc>
          <w:tcPr>
            <w:tcW w:w="124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E12926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对应设备</w:t>
            </w:r>
          </w:p>
        </w:tc>
      </w:tr>
      <w:tr w14:paraId="0899A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414A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89BB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POINT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83CD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配网设备开关状态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825C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分 / 合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EC4E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分位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合位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7D9B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物理断开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物理闭合/导通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8D89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2: 中间态/冲突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3: 品质无效</w:t>
            </w:r>
          </w:p>
        </w:tc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7E0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配网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3308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断路器/负荷开关/重合器</w:t>
            </w:r>
          </w:p>
        </w:tc>
      </w:tr>
      <w:tr w14:paraId="5267C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C042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w="85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D2D8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POINT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542B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主网遥信开关状态</w:t>
            </w:r>
          </w:p>
        </w:tc>
        <w:tc>
          <w:tcPr>
            <w:tcW w:w="6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FAD5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分 / 合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7E43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分位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合位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CB42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隔离/断开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通电闭合</w:t>
            </w:r>
          </w:p>
        </w:tc>
        <w:tc>
          <w:tcPr>
            <w:tcW w:w="141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D71B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99: 通信中断/失效</w:t>
            </w:r>
          </w:p>
        </w:tc>
        <w:tc>
          <w:tcPr>
            <w:tcW w:w="62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17E3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主站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55F8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出线开关/刀闸/母联开关</w:t>
            </w:r>
          </w:p>
        </w:tc>
      </w:tr>
      <w:tr w14:paraId="7BDD1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B9DD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12B0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FA_TRIP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4B19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过流/保护动作遥信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4E35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正常 / 动作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838D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未动作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保护跳闸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0C19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线路正常运行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FA/过流保护已触发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0BF9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持续为1且无复位表示永久故障</w:t>
            </w:r>
          </w:p>
        </w:tc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C26A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配网/主站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6A28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终端 FTU/DTU/保护装置</w:t>
            </w:r>
          </w:p>
        </w:tc>
      </w:tr>
      <w:tr w14:paraId="14FAF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AC93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w="85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F3EA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EARTH_POS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88ED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接地刀闸位置</w:t>
            </w:r>
          </w:p>
        </w:tc>
        <w:tc>
          <w:tcPr>
            <w:tcW w:w="6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614F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分 / 合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4CCA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未接地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已接地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1503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运行状态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检修接地</w:t>
            </w:r>
          </w:p>
        </w:tc>
        <w:tc>
          <w:tcPr>
            <w:tcW w:w="141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BE8F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开关处于合位且 EARTH_POS=1 为误合接地</w:t>
            </w:r>
          </w:p>
        </w:tc>
        <w:tc>
          <w:tcPr>
            <w:tcW w:w="62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3790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主站/配网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F30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环网柜接地开关/隔离刀闸</w:t>
            </w:r>
          </w:p>
        </w:tc>
      </w:tr>
      <w:tr w14:paraId="4E776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FF51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5623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DEV_STAT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5C14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终端设备运行状态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F009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正常 / 异常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4E23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运行正常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终端告警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2AE6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自检正常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电池欠压/板卡故障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9D06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设备状态异常时遥测遥信标记为不可信</w:t>
            </w:r>
          </w:p>
        </w:tc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4F59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配网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FD5B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配电终端 (FTU/DTU/RTU)</w:t>
            </w:r>
          </w:p>
        </w:tc>
      </w:tr>
    </w:tbl>
    <w:p w14:paraId="5AB9138D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二《主配接口判定要素表》</w:t>
      </w:r>
    </w:p>
    <w:p w14:paraId="344B175F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主配接口判定依据</w:t>
      </w:r>
    </w:p>
    <w:p w14:paraId="57DF74CA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主配网交界接口是电网物理模型与资产管控的核心边界，其判定遵循 </w:t>
      </w:r>
      <w:r>
        <w:rPr>
          <w:rFonts w:ascii="Times New Roman" w:hAnsi="Times New Roman" w:eastAsia="宋体" w:cs="Times New Roman"/>
          <w:b/>
          <w:i w:val="0"/>
          <w:color w:val="1B365D"/>
          <w:sz w:val="24"/>
        </w:rPr>
        <w:t>“拓扑贯通为先，变比兼容匹配，厂站明晰归属”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三原则：</w:t>
      </w:r>
    </w:p>
    <w:p w14:paraId="1326897C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1. 拓扑端点唯一性：主配网交界节点必须具备唯一的 CONNECTIVITYNODE_ID，并在主网端点表（JBS_ZWTERMINAL）与配网端点表（JBS_PWTERMINAL）中实现双向精准对齐。</w:t>
      </w:r>
    </w:p>
    <w:p w14:paraId="1F1CA570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2. 设备物理连续性：主网出线间隔设备与配网进线设备必须形成无缝链路。</w:t>
      </w:r>
    </w:p>
    <w:p w14:paraId="23EE9291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3. 要素一致性：电压等级满足变比降压关系，且主网归属厂站与配网馈线起点厂站保持一致或符合映射逻辑。</w:t>
      </w:r>
    </w:p>
    <w:p w14:paraId="42270053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电压等级映射与变比兼容规则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12A72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E94A1B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主网设备电压等级</w:t>
            </w:r>
          </w:p>
        </w:tc>
        <w:tc>
          <w:tcPr>
            <w:tcW w:w="215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7E4D41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配网设备/馈线电压等级</w:t>
            </w:r>
          </w:p>
        </w:tc>
        <w:tc>
          <w:tcPr>
            <w:tcW w:w="2551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1E313B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电压降压变比关系</w:t>
            </w:r>
          </w:p>
        </w:tc>
        <w:tc>
          <w:tcPr>
            <w:tcW w:w="249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4C8025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拓扑映射判定结论</w:t>
            </w:r>
          </w:p>
        </w:tc>
      </w:tr>
      <w:tr w14:paraId="79B0F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3759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110kV (编码: 1101)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79C2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10kV (编码: 1021)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CCCC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110kV → 10kV 主变降压出线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886D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合法主配交界（校验通过）</w:t>
            </w:r>
          </w:p>
        </w:tc>
      </w:tr>
      <w:tr w14:paraId="2576E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CF03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35kV (编码: 351)</w:t>
            </w:r>
          </w:p>
        </w:tc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BB32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10kV (编码: 1021)</w:t>
            </w:r>
          </w:p>
        </w:tc>
        <w:tc>
          <w:tcPr>
            <w:tcW w:w="255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DEC6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35kV → 10kV 变电站降压出线</w:t>
            </w:r>
          </w:p>
        </w:tc>
        <w:tc>
          <w:tcPr>
            <w:tcW w:w="24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99BF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合法主配交界（校验通过）</w:t>
            </w:r>
          </w:p>
        </w:tc>
      </w:tr>
      <w:tr w14:paraId="64A6B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9971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220kV (编码: 2201)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078B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10kV (编码: 1021)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A54D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220kV → 10kV 直降变压器出线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02CC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特殊主配交界（特批放行）</w:t>
            </w:r>
          </w:p>
        </w:tc>
      </w:tr>
      <w:tr w14:paraId="78276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670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10kV (编码: 1021)</w:t>
            </w:r>
          </w:p>
        </w:tc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3970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10kV (编码: 1021)</w:t>
            </w:r>
          </w:p>
        </w:tc>
        <w:tc>
          <w:tcPr>
            <w:tcW w:w="255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794E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开闭所/开关站同级转接</w:t>
            </w:r>
          </w:p>
        </w:tc>
        <w:tc>
          <w:tcPr>
            <w:tcW w:w="24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5303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合法同级交界（校验通过）</w:t>
            </w:r>
          </w:p>
        </w:tc>
      </w:tr>
      <w:tr w14:paraId="427BF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2902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110kV (编码: 1101)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B7BD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110kV (编码: 1101)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ECE6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变电站间传输干线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B96F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非配网交界（归入主网内部拓扑）</w:t>
            </w:r>
          </w:p>
        </w:tc>
      </w:tr>
    </w:tbl>
    <w:p w14:paraId="55DF96D1">
      <w:pPr>
        <w:spacing w:before="0" w:after="0"/>
      </w:pPr>
    </w:p>
    <w:p w14:paraId="54B57EFC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边界场景收敛与豁免判定规则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527A9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5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A3E487">
            <w:pPr>
              <w:spacing w:before="0" w:after="0" w:line="360" w:lineRule="auto"/>
              <w:ind w:firstLine="0"/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color w:val="1B365D"/>
                <w:sz w:val="21"/>
              </w:rPr>
              <w:t>📌 四类边界场景收敛汇总：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1.特殊厂站(用户站/开闭所)</w:t>
            </w:r>
            <w:r>
              <w:rPr>
                <w:rFonts w:hint="eastAsia" w:eastAsia="宋体" w:cs="Times New Roman"/>
                <w:b w:val="0"/>
                <w:i w:val="0"/>
                <w:color w:val="333333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允许ST_ID为空，标注为[特殊厂站接口-可进入自动规则]</w:t>
            </w:r>
          </w:p>
          <w:p w14:paraId="0EF690F7">
            <w:pPr>
              <w:spacing w:before="0" w:after="0" w:line="360" w:lineRule="auto"/>
              <w:ind w:firstLine="0"/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2.用户专线/直供线</w:t>
            </w:r>
            <w:r>
              <w:rPr>
                <w:rFonts w:hint="eastAsia" w:eastAsia="宋体" w:cs="Times New Roman"/>
                <w:b w:val="0"/>
                <w:i w:val="0"/>
                <w:color w:val="333333"/>
                <w:sz w:val="21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允许配网进线设备为空，标注为[专线接口-可进入自动规则]</w:t>
            </w:r>
          </w:p>
          <w:p w14:paraId="3449587E">
            <w:pPr>
              <w:numPr>
                <w:ilvl w:val="0"/>
                <w:numId w:val="7"/>
              </w:numPr>
              <w:spacing w:before="0" w:after="0" w:line="360" w:lineRule="auto"/>
              <w:ind w:firstLine="0"/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联络线 (手拉手)</w:t>
            </w:r>
            <w:r>
              <w:rPr>
                <w:rFonts w:hint="eastAsia" w:eastAsia="宋体" w:cs="Times New Roman"/>
                <w:b w:val="0"/>
                <w:i w:val="0"/>
                <w:color w:val="333333"/>
                <w:sz w:val="21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根据开闭状态(POINT=0/1)动态重构归属与转供电拓扑</w:t>
            </w:r>
          </w:p>
          <w:p w14:paraId="455DFC2F">
            <w:pPr>
              <w:numPr>
                <w:ilvl w:val="0"/>
                <w:numId w:val="0"/>
              </w:numPr>
              <w:spacing w:before="0" w:after="0" w:line="36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4.拟建/测试/临时线路</w:t>
            </w:r>
            <w:r>
              <w:rPr>
                <w:rFonts w:hint="eastAsia" w:eastAsia="宋体" w:cs="Times New Roman"/>
                <w:b w:val="0"/>
                <w:i w:val="0"/>
                <w:color w:val="333333"/>
                <w:sz w:val="21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命中[测试/TMP/虚拟]关键字直接拦截，标记为[待人工复核]</w:t>
            </w:r>
          </w:p>
        </w:tc>
      </w:tr>
    </w:tbl>
    <w:p w14:paraId="2D0A93DD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图模质量与电气逻辑校验规范</w:t>
      </w:r>
    </w:p>
    <w:p w14:paraId="3414FD68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3.1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拓扑结构完整性检测规范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3D2C6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A32EF6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设备类型 (OBJ_CODE)</w:t>
            </w:r>
          </w:p>
        </w:tc>
        <w:tc>
          <w:tcPr>
            <w:tcW w:w="124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7C214C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设备分类</w:t>
            </w:r>
          </w:p>
        </w:tc>
        <w:tc>
          <w:tcPr>
            <w:tcW w:w="113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5D87F6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准许端点数</w:t>
            </w:r>
          </w:p>
        </w:tc>
        <w:tc>
          <w:tcPr>
            <w:tcW w:w="3685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0E073A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校验规则与豁免逻辑</w:t>
            </w:r>
          </w:p>
        </w:tc>
        <w:tc>
          <w:tcPr>
            <w:tcW w:w="147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B6EE54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结论标记</w:t>
            </w:r>
          </w:p>
        </w:tc>
      </w:tr>
      <w:tr w14:paraId="04D33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87B9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 / 负荷开关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6B54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非末端设备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B901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FE39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必须双侧关联节点，若仅 1 个端点连接，判定为“单端悬空”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AFA3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拓扑异常</w:t>
            </w:r>
          </w:p>
        </w:tc>
      </w:tr>
      <w:tr w14:paraId="69D09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26A2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隔离开关 / 刀闸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4668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非末端设备</w:t>
            </w:r>
          </w:p>
        </w:tc>
        <w:tc>
          <w:tcPr>
            <w:tcW w:w="113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8E86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w="3685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FDE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必须双侧关联节点，若 0 个端点连接，判定为“拓扑孤岛”</w:t>
            </w:r>
          </w:p>
        </w:tc>
        <w:tc>
          <w:tcPr>
            <w:tcW w:w="147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2C44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拓扑异常</w:t>
            </w:r>
          </w:p>
        </w:tc>
      </w:tr>
      <w:tr w14:paraId="2D378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ABD3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电力用户 / 配变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2A5C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末端设备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2C34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E94B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豁免：仅允许 1 个进线端点，不判定为悬空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3367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合规设备</w:t>
            </w:r>
          </w:p>
        </w:tc>
      </w:tr>
      <w:tr w14:paraId="5F0A9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8DC0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电缆终端头 / 封头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D0DF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末端设备</w:t>
            </w:r>
          </w:p>
        </w:tc>
        <w:tc>
          <w:tcPr>
            <w:tcW w:w="113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9F2D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3685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DE3C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豁免：线路终端自然阻断点，允许单端连接</w:t>
            </w:r>
          </w:p>
        </w:tc>
        <w:tc>
          <w:tcPr>
            <w:tcW w:w="147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F88D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合规设备</w:t>
            </w:r>
          </w:p>
        </w:tc>
      </w:tr>
      <w:tr w14:paraId="11ACD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ADB5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备用出线间隔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961F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末端设备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575A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8E12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豁免：站内未出线间隔，允许单侧悬空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54E2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合规设备</w:t>
            </w:r>
          </w:p>
        </w:tc>
      </w:tr>
    </w:tbl>
    <w:p w14:paraId="1BB16201">
      <w:pPr>
        <w:spacing w:before="0" w:after="0"/>
      </w:pPr>
    </w:p>
    <w:p w14:paraId="088198AD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图模一致性校验规范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0D978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D7ABEB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校验类型</w:t>
            </w:r>
          </w:p>
        </w:tc>
        <w:tc>
          <w:tcPr>
            <w:tcW w:w="215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1F1FFB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现象特征</w:t>
            </w:r>
          </w:p>
        </w:tc>
        <w:tc>
          <w:tcPr>
            <w:tcW w:w="2551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309D2E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底层根因说明</w:t>
            </w:r>
          </w:p>
        </w:tc>
        <w:tc>
          <w:tcPr>
            <w:tcW w:w="2835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74279E0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推荐处置措施</w:t>
            </w:r>
          </w:p>
        </w:tc>
      </w:tr>
      <w:tr w14:paraId="5AF38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476C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图上有、模型无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269F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SVG 图纸绘制有开关图元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7FD5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后台数据库缺失 EQUIP_ID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0C42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自动触发补全建模台账工单</w:t>
            </w:r>
          </w:p>
        </w:tc>
      </w:tr>
      <w:tr w14:paraId="390D3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81A2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模型有、图上无</w:t>
            </w:r>
          </w:p>
        </w:tc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D28C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数据库包含设备台账与 ID</w:t>
            </w:r>
          </w:p>
        </w:tc>
        <w:tc>
          <w:tcPr>
            <w:tcW w:w="255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1344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SVG矢量图形未绘制对应图元</w:t>
            </w:r>
          </w:p>
        </w:tc>
        <w:tc>
          <w:tcPr>
            <w:tcW w:w="2835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2E04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标记清理冗余或触发自动补绘</w:t>
            </w:r>
          </w:p>
        </w:tc>
      </w:tr>
      <w:tr w14:paraId="38480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CFAE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物理连通逻辑断路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8FBA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视觉上线路连接无缝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C223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底层CONNECTIVITYNODE断裂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26CA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自动补充拓扑关联节点</w:t>
            </w:r>
          </w:p>
        </w:tc>
      </w:tr>
      <w:tr w14:paraId="74356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622D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物理断开逻辑误连</w:t>
            </w:r>
          </w:p>
        </w:tc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3A7C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视觉上未相连或隔离</w:t>
            </w:r>
          </w:p>
        </w:tc>
        <w:tc>
          <w:tcPr>
            <w:tcW w:w="255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2854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底层节点误跨图元关联</w:t>
            </w:r>
          </w:p>
        </w:tc>
        <w:tc>
          <w:tcPr>
            <w:tcW w:w="2835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299A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解除虚假拓扑关系并重新断开</w:t>
            </w:r>
          </w:p>
        </w:tc>
      </w:tr>
    </w:tbl>
    <w:p w14:paraId="5CCABFF7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电气逻辑校验规范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4FA00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FF2C20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校验类型</w:t>
            </w:r>
          </w:p>
        </w:tc>
        <w:tc>
          <w:tcPr>
            <w:tcW w:w="158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35CEA06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遥信状态 (POINT)</w:t>
            </w:r>
          </w:p>
        </w:tc>
        <w:tc>
          <w:tcPr>
            <w:tcW w:w="1701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A730D0C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遥测电流条件 (I)</w:t>
            </w:r>
          </w:p>
        </w:tc>
        <w:tc>
          <w:tcPr>
            <w:tcW w:w="1701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17F57C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遥测电压条件 (U)</w:t>
            </w:r>
          </w:p>
        </w:tc>
        <w:tc>
          <w:tcPr>
            <w:tcW w:w="181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B74EFF7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诊断结论</w:t>
            </w:r>
          </w:p>
        </w:tc>
        <w:tc>
          <w:tcPr>
            <w:tcW w:w="130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AAE4757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处置建议</w:t>
            </w:r>
          </w:p>
        </w:tc>
      </w:tr>
      <w:tr w14:paraId="4EAE5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4543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逻辑异常 1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A887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分位 (POINT = 0)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7C7C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 &gt; 1.0 A (有电流)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BBA5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无要求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9C3D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遥信分位但有电流（偷电/遥信带病运行）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21C7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现场核查 FTU 遥信辅助触点及 CT 采样</w:t>
            </w:r>
          </w:p>
        </w:tc>
      </w:tr>
      <w:tr w14:paraId="078F0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3BEA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逻辑异常 2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9529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合位 (POINT = 1)</w:t>
            </w:r>
          </w:p>
        </w:tc>
        <w:tc>
          <w:tcPr>
            <w:tcW w:w="170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453C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 &lt; 0.05 A (无电流)</w:t>
            </w:r>
          </w:p>
        </w:tc>
        <w:tc>
          <w:tcPr>
            <w:tcW w:w="170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B8C3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 &gt; 0.8 UN (有电压)</w:t>
            </w:r>
          </w:p>
        </w:tc>
        <w:tc>
          <w:tcPr>
            <w:tcW w:w="181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72A4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开关空载 / 失流告警</w:t>
            </w:r>
          </w:p>
        </w:tc>
        <w:tc>
          <w:tcPr>
            <w:tcW w:w="130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1B88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核实下游负荷是否全停或 CT 断线</w:t>
            </w:r>
          </w:p>
        </w:tc>
      </w:tr>
      <w:tr w14:paraId="7B439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C007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逻辑异常 3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48DD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合位 (POINT = 1)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BA83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 = 0 A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1CD4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 = 0 V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7CA4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线路已停电 / 上游已跳闸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D017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启动电源追溯查找上游断点</w:t>
            </w:r>
          </w:p>
        </w:tc>
      </w:tr>
    </w:tbl>
    <w:p w14:paraId="00652E4A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SVG 拓扑图形美化与交互绘制规范</w:t>
      </w:r>
    </w:p>
    <w:p w14:paraId="0664BD0F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1.排布原则：以变电站电源点为起点，严格遵循从左至右、先上后下的流向排布，整体节点间距疏密均匀。</w:t>
      </w:r>
    </w:p>
    <w:p w14:paraId="1752DEE8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2.视觉缺陷整治：严格消除图元重叠、飞线断线、交叉穿站等现象。</w:t>
      </w:r>
    </w:p>
    <w:p w14:paraId="095537BB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3.站房柜箱绘制：配电站房/环网柜容器内非母联开关必须采用纵向垂直展示，容器内外连接线统一从容器底部引出。</w:t>
      </w:r>
    </w:p>
    <w:p w14:paraId="044CCF5E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4.增删设备拓扑联动：</w:t>
      </w:r>
    </w:p>
    <w:p w14:paraId="6271D08A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增加设备：切断原有相连逻辑，按顺序重新接续拓扑节点；备用开关标记开路。</w:t>
      </w:r>
    </w:p>
    <w:p w14:paraId="00B27069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删除设备：移除被删图元及标注，将其两侧节点直接连通恢复拓扑连续性。</w:t>
      </w:r>
    </w:p>
    <w:p w14:paraId="4A954A84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模型质量双向评分算法规范</w:t>
      </w:r>
    </w:p>
    <w:p w14:paraId="339FAC9D">
      <w:pPr>
        <w:spacing w:before="0" w:after="0" w:line="360" w:lineRule="auto"/>
        <w:ind w:firstLine="480"/>
        <w:jc w:val="center"/>
      </w:pPr>
      <w:r>
        <w:rPr>
          <w:rFonts w:ascii="Times New Roman" w:hAnsi="Times New Roman" w:eastAsia="宋体" w:cs="Times New Roman"/>
          <w:b w:val="0"/>
          <w:i w:val="0"/>
          <w:sz w:val="24"/>
        </w:rPr>
        <w:t>质量评分采用扣分制公式：</w:t>
      </w:r>
      <w:r>
        <w:rPr>
          <w:rFonts w:ascii="Times New Roman" w:hAnsi="Times New Roman" w:eastAsia="宋体" w:cs="Times New Roman"/>
          <w:b/>
          <w:i w:val="0"/>
          <w:color w:val="1B365D"/>
          <w:sz w:val="24"/>
        </w:rPr>
        <w:t>Model_Score = 100 - ∑ (W_i × C_i)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6096C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077062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缺陷维级</w:t>
            </w:r>
          </w:p>
        </w:tc>
        <w:tc>
          <w:tcPr>
            <w:tcW w:w="2339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335BB7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缺陷类型说明</w:t>
            </w:r>
          </w:p>
        </w:tc>
        <w:tc>
          <w:tcPr>
            <w:tcW w:w="2339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30E61E3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单项扣分权重 (W_i)</w:t>
            </w:r>
          </w:p>
        </w:tc>
        <w:tc>
          <w:tcPr>
            <w:tcW w:w="2339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7FF671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扣分上限</w:t>
            </w:r>
          </w:p>
        </w:tc>
      </w:tr>
      <w:tr w14:paraId="72DC0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F92D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拓扑完整性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0E85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悬空/断连/非计划合环/主配断裂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D67E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5分/处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AFFF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30分</w:t>
            </w:r>
          </w:p>
        </w:tc>
      </w:tr>
      <w:tr w14:paraId="1212D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ACC0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图模一致性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DDE3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图有模无/模有图无/虚假连通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8778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3分/处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AD0D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25分</w:t>
            </w:r>
          </w:p>
        </w:tc>
      </w:tr>
      <w:tr w14:paraId="3A2FE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C158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电气逻辑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61ED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遥信遥测不匹配/偷电带病运行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5347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2分/处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9009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20分</w:t>
            </w:r>
          </w:p>
        </w:tc>
      </w:tr>
      <w:tr w14:paraId="37440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8F4B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接口规范性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D003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主配接口错拼/漏拼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341E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4分/处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7BB6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25分</w:t>
            </w:r>
          </w:p>
        </w:tc>
      </w:tr>
    </w:tbl>
    <w:p w14:paraId="2DBEB54B">
      <w:pPr>
        <w:rPr>
          <w:rFonts w:hint="eastAsia" w:eastAsia="宋体"/>
          <w:lang w:eastAsia="zh-CN"/>
        </w:rPr>
      </w:pPr>
    </w:p>
    <w:sectPr>
      <w:footerReference r:id="rId5" w:type="default"/>
      <w:pgSz w:w="11906" w:h="16838"/>
      <w:pgMar w:top="1417" w:right="850" w:bottom="1417" w:left="1701" w:header="850" w:footer="113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C416E">
    <w:pPr>
      <w:pStyle w:val="24"/>
      <w:jc w:val="center"/>
    </w:pPr>
    <w:r>
      <w:rPr>
        <w:rFonts w:ascii="Times New Roman" w:hAnsi="Times New Roman" w:eastAsia="宋体" w:cs="Times New Roman"/>
        <w:b w:val="0"/>
        <w:i w:val="0"/>
        <w:sz w:val="20"/>
      </w:rPr>
      <w:fldChar w:fldCharType="begin"/>
    </w:r>
    <w:r>
      <w:rPr>
        <w:rFonts w:ascii="Times New Roman" w:hAnsi="Times New Roman" w:eastAsia="宋体" w:cs="Times New Roman"/>
        <w:b w:val="0"/>
        <w:i w:val="0"/>
        <w:sz w:val="20"/>
      </w:rPr>
      <w:instrText xml:space="preserve">PAGE</w:instrText>
    </w:r>
    <w:r>
      <w:rPr>
        <w:rFonts w:ascii="Times New Roman" w:hAnsi="Times New Roman" w:eastAsia="宋体" w:cs="Times New Roman"/>
        <w:b w:val="0"/>
        <w:i w:val="0"/>
        <w:sz w:val="20"/>
      </w:rPr>
      <w:fldChar w:fldCharType="separate"/>
    </w:r>
    <w:r>
      <w:rPr>
        <w:rFonts w:ascii="Times New Roman" w:hAnsi="Times New Roman" w:eastAsia="宋体" w:cs="Times New Roman"/>
        <w:b w:val="0"/>
        <w:i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74C29A"/>
    <w:multiLevelType w:val="singleLevel"/>
    <w:tmpl w:val="0074C29A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8005C5"/>
    <w:rsid w:val="1EFA416B"/>
    <w:rsid w:val="1F885AC1"/>
    <w:rsid w:val="2548139F"/>
    <w:rsid w:val="2A540996"/>
    <w:rsid w:val="3AE275BE"/>
    <w:rsid w:val="3CDD2778"/>
    <w:rsid w:val="4B2258E4"/>
    <w:rsid w:val="5A561384"/>
    <w:rsid w:val="60011A2A"/>
    <w:rsid w:val="701D465E"/>
    <w:rsid w:val="72793BE2"/>
    <w:rsid w:val="73E71A95"/>
    <w:rsid w:val="79BD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2693</Words>
  <Characters>3464</Characters>
  <Lines>0</Lines>
  <Paragraphs>0</Paragraphs>
  <TotalTime>13</TotalTime>
  <ScaleCrop>false</ScaleCrop>
  <LinksUpToDate>false</LinksUpToDate>
  <CharactersWithSpaces>3658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Samsara</cp:lastModifiedBy>
  <dcterms:modified xsi:type="dcterms:W3CDTF">2026-07-22T08:17:42Z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eyJoZGlkIjoiYTllNjQxNTdhMTk1YmY2OTA2ZTVhYmMwYzczNzc5MGIiLCJ1c2VySWQiOiI3NTY0NDA3MjYifQ==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48572A06A83440898D2FAB9FD5344E0B_12</vt:lpwstr>
  </property>
</Properties>
</file>