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D0D4A">
      <w:pPr>
        <w:pStyle w:val="3"/>
        <w:bidi w:val="0"/>
        <w:spacing w:line="360" w:lineRule="auto"/>
        <w:jc w:val="center"/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电气逻辑校验规则与数据校验基线规范</w:t>
      </w:r>
    </w:p>
    <w:p w14:paraId="3555059A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一.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遥信与遥测字段标准化规约</w:t>
      </w:r>
    </w:p>
    <w:p w14:paraId="08D951F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本章节定义了系统遥测（模量）与遥信（开关状态量）的标准化映射规则，涵盖电压、电流、功率及功率因数等完整维度，是底层校验引擎及算法编码的数据接入基准。</w:t>
      </w:r>
    </w:p>
    <w:p w14:paraId="600F3F20">
      <w:pPr>
        <w:spacing w:before="240" w:after="120" w:line="360" w:lineRule="auto"/>
      </w:pPr>
      <w:r>
        <w:rPr>
          <w:rFonts w:ascii="Times New Roman" w:hAnsi="Times New Roman" w:eastAsia="宋体"/>
          <w:b/>
          <w:color w:val="282828"/>
          <w:sz w:val="28"/>
        </w:rPr>
        <w:t>1.1 遥测字段规范 (Analog Measurements)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 w14:paraId="2E74C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8737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字段名称</w:t>
            </w:r>
          </w:p>
        </w:tc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F69F5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归属源表</w:t>
            </w:r>
          </w:p>
        </w:tc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4D63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字段释义</w:t>
            </w:r>
          </w:p>
        </w:tc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8F16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量纲</w:t>
            </w:r>
          </w:p>
        </w:tc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175F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精度</w:t>
            </w:r>
          </w:p>
        </w:tc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0EEA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默认值</w:t>
            </w:r>
          </w:p>
        </w:tc>
        <w:tc>
          <w:tcPr>
            <w:tcW w:w="1300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5BD2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采样与电气含义</w:t>
            </w:r>
          </w:p>
        </w:tc>
      </w:tr>
      <w:tr w14:paraId="2483D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6A7F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UA / U_A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FC095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C51A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A相电压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0EED1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kV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51B7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D628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8531C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进线/母线 A 相运行有效值</w:t>
            </w:r>
          </w:p>
        </w:tc>
      </w:tr>
      <w:tr w14:paraId="5CCF6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3977F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UB / U_B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F36CF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7B90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B相电压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AFB4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kV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4BDE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BED1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399C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进线/母线 B 相运行有效值</w:t>
            </w:r>
          </w:p>
        </w:tc>
      </w:tr>
      <w:tr w14:paraId="3C88C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8DF5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UC / U_C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2C64B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E482C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C相电压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2E24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kV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05A4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AF31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ADC22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进线/母线 C 相运行有效值</w:t>
            </w:r>
          </w:p>
        </w:tc>
      </w:tr>
      <w:tr w14:paraId="08A83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FEE8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IA / I_A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E608C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C778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A相电流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1655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922D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D3B6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3D9C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间隔/分支 A 相负荷电流</w:t>
            </w:r>
          </w:p>
        </w:tc>
      </w:tr>
      <w:tr w14:paraId="6BDE0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723E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IB / I_B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52B3A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2AC7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B相电流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2FF8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B092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B93C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8874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间隔/分支 B 相负荷电流</w:t>
            </w:r>
          </w:p>
        </w:tc>
      </w:tr>
      <w:tr w14:paraId="5083F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FA0E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 / I_C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97C7B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C7B9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C相电流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A33F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423BC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E1CE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8E4B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间隔/分支 C 相负荷电流</w:t>
            </w:r>
          </w:p>
        </w:tc>
      </w:tr>
      <w:tr w14:paraId="747C6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A1A9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 / P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C564C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6F31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有功功率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4F26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kW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D57D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2115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A165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实时总有功功率（正值:吸功，负值:送功）</w:t>
            </w:r>
          </w:p>
        </w:tc>
      </w:tr>
      <w:tr w14:paraId="14715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9B2F4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RP / Q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4D7E7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5117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无功功率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5372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kvar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83C4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2139A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w="1300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E8C3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实时总无功功率（感性/容性方向）</w:t>
            </w:r>
          </w:p>
        </w:tc>
      </w:tr>
      <w:tr w14:paraId="54A21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3CAC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COS_PHI / PF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35BE5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JBS_PWREAL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AB19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功率因数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070E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597D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CE88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F790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实时总功率因数 (范围 [-1.0, 1.0])</w:t>
            </w:r>
          </w:p>
        </w:tc>
      </w:tr>
    </w:tbl>
    <w:p w14:paraId="7D19E6F6">
      <w:pPr>
        <w:spacing w:before="240" w:after="120" w:line="360" w:lineRule="auto"/>
        <w:rPr>
          <w:rFonts w:ascii="Times New Roman" w:hAnsi="Times New Roman" w:eastAsia="宋体"/>
          <w:b/>
          <w:color w:val="282828"/>
          <w:sz w:val="28"/>
        </w:rPr>
      </w:pPr>
    </w:p>
    <w:p w14:paraId="40DADBAB">
      <w:pPr>
        <w:spacing w:before="240" w:after="120" w:line="360" w:lineRule="auto"/>
      </w:pPr>
      <w:r>
        <w:rPr>
          <w:rFonts w:ascii="Times New Roman" w:hAnsi="Times New Roman" w:eastAsia="宋体"/>
          <w:b/>
          <w:color w:val="282828"/>
          <w:sz w:val="28"/>
        </w:rPr>
        <w:t>1.2 遥信字段规范与品质码 (Digital Statuses)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F8D5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DB9AE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字段名称</w:t>
            </w:r>
          </w:p>
        </w:tc>
        <w:tc>
          <w:tcPr>
            <w:tcW w:w="155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2090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归属</w:t>
            </w:r>
          </w:p>
        </w:tc>
        <w:tc>
          <w:tcPr>
            <w:tcW w:w="155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EA26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码值定义 (Code)</w:t>
            </w:r>
          </w:p>
        </w:tc>
        <w:tc>
          <w:tcPr>
            <w:tcW w:w="155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0F10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物理对应</w:t>
            </w:r>
          </w:p>
        </w:tc>
        <w:tc>
          <w:tcPr>
            <w:tcW w:w="155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70C6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异常/品质码说明</w:t>
            </w:r>
          </w:p>
        </w:tc>
        <w:tc>
          <w:tcPr>
            <w:tcW w:w="155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EBA6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对应设备</w:t>
            </w:r>
          </w:p>
        </w:tc>
      </w:tr>
      <w:tr w14:paraId="2E588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818A2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POINT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DE19B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配网 (JBS_PWREAL)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C614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分位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合位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9FBC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物理断开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物理闭合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1954F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2: 中间态/冲突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3: 品质无效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B41A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断路器/负荷开关/重合器</w:t>
            </w:r>
          </w:p>
        </w:tc>
      </w:tr>
      <w:tr w14:paraId="61682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FB8F7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POINT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7CFDF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主网 (JBS_ZWSIGNAL)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A731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分位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合位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6D25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隔离断开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通电闭合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5A61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99: 通信中断/失效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42E3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出线开关/刀闸/母联开关</w:t>
            </w:r>
          </w:p>
        </w:tc>
      </w:tr>
      <w:tr w14:paraId="526CF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75D6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FA_TRIP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BA729C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配网/主站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920B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正常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动作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795BC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正常运行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保护跳闸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1BB2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持续为 1 且无复位表示永久故障</w:t>
            </w:r>
          </w:p>
        </w:tc>
        <w:tc>
          <w:tcPr>
            <w:tcW w:w="155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199D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终端 FTU/DTU/保护装置</w:t>
            </w:r>
          </w:p>
        </w:tc>
      </w:tr>
      <w:tr w14:paraId="7FBC6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3C66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EARTH_POS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00C6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配网/主站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4A2B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分位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合位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845E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0: 未接地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1: 已接地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E4A64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合位且 EARTH_POS=1 判定为误合接地</w:t>
            </w:r>
          </w:p>
        </w:tc>
        <w:tc>
          <w:tcPr>
            <w:tcW w:w="155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5D2A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环网柜接地开关/隔离刀闸</w:t>
            </w:r>
          </w:p>
        </w:tc>
      </w:tr>
    </w:tbl>
    <w:p w14:paraId="3D2FB502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 电气逻辑校验规则与诊断算法矩阵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501"/>
        <w:gridCol w:w="1475"/>
        <w:gridCol w:w="1497"/>
        <w:gridCol w:w="1465"/>
        <w:gridCol w:w="2100"/>
      </w:tblGrid>
      <w:tr w14:paraId="6D4A0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462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27D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规则编号</w:t>
            </w:r>
          </w:p>
        </w:tc>
        <w:tc>
          <w:tcPr>
            <w:tcW w:w="1501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A07C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开关状态 (POINT)</w:t>
            </w:r>
          </w:p>
        </w:tc>
        <w:tc>
          <w:tcPr>
            <w:tcW w:w="1475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FC8D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电流/电压条件</w:t>
            </w:r>
          </w:p>
        </w:tc>
        <w:tc>
          <w:tcPr>
            <w:tcW w:w="1497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E2BF6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功率条件 (P/Q/PF)</w:t>
            </w:r>
          </w:p>
        </w:tc>
        <w:tc>
          <w:tcPr>
            <w:tcW w:w="1465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9B41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诊断结论与物理意义</w:t>
            </w:r>
          </w:p>
        </w:tc>
        <w:tc>
          <w:tcPr>
            <w:tcW w:w="2096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A292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建议代码 Flag 与处置建议</w:t>
            </w:r>
          </w:p>
        </w:tc>
      </w:tr>
      <w:tr w14:paraId="71548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46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FC9FC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RULE-E01</w:t>
            </w:r>
          </w:p>
        </w:tc>
        <w:tc>
          <w:tcPr>
            <w:tcW w:w="150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45D9B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分位 (POINT=0)</w:t>
            </w:r>
          </w:p>
        </w:tc>
        <w:tc>
          <w:tcPr>
            <w:tcW w:w="147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833C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&gt; 1.0 A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C66C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无要求</w:t>
            </w:r>
          </w:p>
        </w:tc>
        <w:tc>
          <w:tcPr>
            <w:tcW w:w="146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78ACF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逻辑异常：遥信分位但有电流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（疑似偷电 / 遥信辅助触点损坏）</w:t>
            </w:r>
          </w:p>
        </w:tc>
        <w:tc>
          <w:tcPr>
            <w:tcW w:w="20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5BE14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ERR_FALSE_OFF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现场核查 FTU 遥信触点及 CT 采样</w:t>
            </w:r>
          </w:p>
        </w:tc>
      </w:tr>
      <w:tr w14:paraId="03F4E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462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7A34D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RULE-E02</w:t>
            </w:r>
          </w:p>
        </w:tc>
        <w:tc>
          <w:tcPr>
            <w:tcW w:w="1501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C5E22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合位 (POINT=1)</w:t>
            </w:r>
          </w:p>
        </w:tc>
        <w:tc>
          <w:tcPr>
            <w:tcW w:w="147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9E36C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&lt; 0.05 A, U &gt; 0.8 Un</w:t>
            </w:r>
          </w:p>
        </w:tc>
        <w:tc>
          <w:tcPr>
            <w:tcW w:w="1497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6B01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无要求</w:t>
            </w:r>
          </w:p>
        </w:tc>
        <w:tc>
          <w:tcPr>
            <w:tcW w:w="146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52D4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逻辑异常：开关空载 / 失流告警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（正常空载或 CT 断线）</w:t>
            </w:r>
          </w:p>
        </w:tc>
        <w:tc>
          <w:tcPr>
            <w:tcW w:w="2096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BB715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SUSPECT_NO_LOAD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核实下游负荷是否全停或 CT 采样断线</w:t>
            </w:r>
          </w:p>
        </w:tc>
      </w:tr>
      <w:tr w14:paraId="75FC0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  <w:jc w:val="center"/>
        </w:trPr>
        <w:tc>
          <w:tcPr>
            <w:tcW w:w="146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1A3C9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RULE-E03</w:t>
            </w:r>
          </w:p>
        </w:tc>
        <w:tc>
          <w:tcPr>
            <w:tcW w:w="150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6ED5D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合位 (POINT=1)</w:t>
            </w:r>
          </w:p>
        </w:tc>
        <w:tc>
          <w:tcPr>
            <w:tcW w:w="147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417FC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= 0 A, U = 0 V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2C2A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 = 0 kW, Q = 0 kvar</w:t>
            </w:r>
          </w:p>
        </w:tc>
        <w:tc>
          <w:tcPr>
            <w:tcW w:w="146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6A2F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逻辑异常：线路已停电 / 上游跳闸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（物理断电状态）</w:t>
            </w:r>
          </w:p>
        </w:tc>
        <w:tc>
          <w:tcPr>
            <w:tcW w:w="20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D8048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SUSPECT_POWER_OUTAGE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启动电源追溯查找上游断点位置</w:t>
            </w:r>
          </w:p>
        </w:tc>
      </w:tr>
      <w:tr w14:paraId="55BE7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462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83680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RULE-E04</w:t>
            </w:r>
          </w:p>
        </w:tc>
        <w:tc>
          <w:tcPr>
            <w:tcW w:w="1501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65C3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合位/分位</w:t>
            </w:r>
          </w:p>
        </w:tc>
        <w:tc>
          <w:tcPr>
            <w:tcW w:w="147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3519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Max(I)-Min(I) &gt; 20%</w:t>
            </w:r>
          </w:p>
        </w:tc>
        <w:tc>
          <w:tcPr>
            <w:tcW w:w="1497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6C6B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无要求</w:t>
            </w:r>
          </w:p>
        </w:tc>
        <w:tc>
          <w:tcPr>
            <w:tcW w:w="146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2EE7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三相电流严重不平衡 / 单相缺相</w:t>
            </w:r>
          </w:p>
        </w:tc>
        <w:tc>
          <w:tcPr>
            <w:tcW w:w="2096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A8843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SUSPECT_UNBALANCE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标记为遥测疑点，排查单相采样回路</w:t>
            </w:r>
          </w:p>
        </w:tc>
      </w:tr>
      <w:tr w14:paraId="2A4C1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8" w:hRule="atLeast"/>
          <w:jc w:val="center"/>
        </w:trPr>
        <w:tc>
          <w:tcPr>
            <w:tcW w:w="146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29795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RULE-E05</w:t>
            </w:r>
          </w:p>
        </w:tc>
        <w:tc>
          <w:tcPr>
            <w:tcW w:w="150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31B01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合位 (POINT=1)</w:t>
            </w:r>
          </w:p>
        </w:tc>
        <w:tc>
          <w:tcPr>
            <w:tcW w:w="147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523C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&gt; 0.5 A, U &gt; 0.8 Un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29CF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|P - √3UI·PF| &gt; 15%</w:t>
            </w:r>
          </w:p>
        </w:tc>
        <w:tc>
          <w:tcPr>
            <w:tcW w:w="146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D9B4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功率维度异常：P/Q/PF 与 U/I 计算不匹配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（量纲配置错误或二次变比异常）</w:t>
            </w:r>
          </w:p>
        </w:tc>
        <w:tc>
          <w:tcPr>
            <w:tcW w:w="20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AFF1EC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ERR_POWER_MISMATCH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核查采样算法公式、量纲与二次变比设置</w:t>
            </w:r>
          </w:p>
        </w:tc>
      </w:tr>
      <w:tr w14:paraId="03B13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atLeast"/>
          <w:jc w:val="center"/>
        </w:trPr>
        <w:tc>
          <w:tcPr>
            <w:tcW w:w="1462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DDC0D8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RULE-E06</w:t>
            </w:r>
          </w:p>
        </w:tc>
        <w:tc>
          <w:tcPr>
            <w:tcW w:w="1501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3735F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分位 (POINT=0)</w:t>
            </w:r>
          </w:p>
        </w:tc>
        <w:tc>
          <w:tcPr>
            <w:tcW w:w="147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8082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无要求</w:t>
            </w:r>
          </w:p>
        </w:tc>
        <w:tc>
          <w:tcPr>
            <w:tcW w:w="1497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1414F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|P| &gt; 0.1kW 或 |Q| &gt; 0.1kvar</w:t>
            </w:r>
          </w:p>
        </w:tc>
        <w:tc>
          <w:tcPr>
            <w:tcW w:w="146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EAC4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功率维度异常：开关分位但有功/无功非零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（关断状态下倒送功率或计量错位）</w:t>
            </w:r>
          </w:p>
        </w:tc>
        <w:tc>
          <w:tcPr>
            <w:tcW w:w="2096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6D587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ERR_POWER_GHOST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排查计量点与开关关联映射关系</w:t>
            </w:r>
          </w:p>
        </w:tc>
      </w:tr>
      <w:tr w14:paraId="68092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46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90F66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RULE-E07</w:t>
            </w:r>
          </w:p>
        </w:tc>
        <w:tc>
          <w:tcPr>
            <w:tcW w:w="150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972EA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合位 (POINT=1)</w:t>
            </w:r>
          </w:p>
        </w:tc>
        <w:tc>
          <w:tcPr>
            <w:tcW w:w="147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1125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&lt; 0.05 A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6BAE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|P| &gt; 5.0 kW</w:t>
            </w:r>
          </w:p>
        </w:tc>
        <w:tc>
          <w:tcPr>
            <w:tcW w:w="146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8490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功率维度异常：有功功率非零但电流极小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（采样漂移或功率计算量错位）</w:t>
            </w:r>
          </w:p>
        </w:tc>
        <w:tc>
          <w:tcPr>
            <w:tcW w:w="20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FE721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SUSPECT_POWER_ZERO_I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>进入观察期，核查电表零点漂移或采集偏差</w:t>
            </w:r>
          </w:p>
        </w:tc>
      </w:tr>
    </w:tbl>
    <w:p w14:paraId="7A0D6243">
      <w:pPr>
        <w:spacing w:before="0" w:after="0" w:line="360" w:lineRule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注：需叠加全局 10s 防抖窗口校验，瞬时越限不触发异常。</w:t>
      </w:r>
    </w:p>
    <w:p w14:paraId="2A960A36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 主配网接口判定与跨层级映射规约</w:t>
      </w:r>
    </w:p>
    <w:p w14:paraId="1E2EC08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主配网交界接口校验遵循：① 拓扑端点唯一性 (CONNECTIVITYNODE_ID 双向对齐)；② 设备物理连续性；③ 变比兼容性。</w:t>
      </w:r>
    </w:p>
    <w:p w14:paraId="44634FDC">
      <w:pPr>
        <w:spacing w:before="240" w:after="120" w:line="360" w:lineRule="auto"/>
      </w:pPr>
      <w:r>
        <w:rPr>
          <w:rFonts w:ascii="Times New Roman" w:hAnsi="Times New Roman" w:eastAsia="宋体"/>
          <w:b/>
          <w:color w:val="282828"/>
          <w:sz w:val="28"/>
        </w:rPr>
        <w:t>3.1 电压等级变比兼容映射表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D045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A1A9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主网设备电压等级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3771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配网设备/馈线电压等级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C697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电压降压变比关系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675D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拓扑映射判定结论</w:t>
            </w:r>
          </w:p>
        </w:tc>
      </w:tr>
      <w:tr w14:paraId="0907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8651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110kV (编码: 1101)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D0A3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10kV (编码: 1021)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4430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110kV → 10kV 主变降压出线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D4D7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合法主配交界（校验通过）</w:t>
            </w:r>
          </w:p>
        </w:tc>
      </w:tr>
      <w:tr w14:paraId="5A0AF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4159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35kV (编码: 351)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50B6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10kV (编码: 1021)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5072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35kV → 10kV 变电站降压出线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7FF8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合法主配交界（校验通过）</w:t>
            </w:r>
          </w:p>
        </w:tc>
      </w:tr>
      <w:tr w14:paraId="45746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DB23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220kV (编码: 2201)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F4FE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10kV (编码: 1021)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A77C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220kV → 10kV 直降变压器出线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A555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特殊主配交界（特批放行）</w:t>
            </w:r>
          </w:p>
        </w:tc>
      </w:tr>
      <w:tr w14:paraId="485DB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7158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10kV (编码: 1021)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DE57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10kV (编码: 1021)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F78FD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开闭所/开关站同级转接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43A9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合法同级交界（校验通过）</w:t>
            </w:r>
          </w:p>
        </w:tc>
      </w:tr>
      <w:tr w14:paraId="5035D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8443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110kV (编码: 1101)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EF92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110kV (编码: 1101)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A52F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变电站间传输干线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C143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非配网交界（归入主网内部拓扑）</w:t>
            </w:r>
          </w:p>
        </w:tc>
      </w:tr>
    </w:tbl>
    <w:p w14:paraId="7E580FAB">
      <w:pPr>
        <w:spacing w:before="240" w:after="120" w:line="360" w:lineRule="auto"/>
      </w:pPr>
      <w:r>
        <w:rPr>
          <w:rFonts w:ascii="Times New Roman" w:hAnsi="Times New Roman" w:eastAsia="宋体"/>
          <w:b/>
          <w:color w:val="282828"/>
          <w:sz w:val="28"/>
        </w:rPr>
        <w:t>3.2 边界场景收敛与豁免规则 (扩充白名单机制)</w:t>
      </w:r>
    </w:p>
    <w:p w14:paraId="4EB1765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 xml:space="preserve">1. 特殊厂站 (用户站/开闭所): </w:t>
      </w:r>
      <w:r>
        <w:rPr>
          <w:rFonts w:ascii="Times New Roman" w:hAnsi="Times New Roman" w:eastAsia="宋体"/>
          <w:b w:val="0"/>
          <w:sz w:val="24"/>
        </w:rPr>
        <w:t>允许 ST_ID 为空，自动标注为 [特殊厂站接口-可进入自动规则]。</w:t>
      </w:r>
    </w:p>
    <w:p w14:paraId="6BCD951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 xml:space="preserve">2. 用户专线 / 直供线: </w:t>
      </w:r>
      <w:r>
        <w:rPr>
          <w:rFonts w:ascii="Times New Roman" w:hAnsi="Times New Roman" w:eastAsia="宋体"/>
          <w:b w:val="0"/>
          <w:sz w:val="24"/>
        </w:rPr>
        <w:t>允许配网进线设备为空，自动标注为 [专线接口-可进入自动规则]。</w:t>
      </w:r>
    </w:p>
    <w:p w14:paraId="69336CA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 xml:space="preserve">3. 联络线 (手拉手): </w:t>
      </w:r>
      <w:r>
        <w:rPr>
          <w:rFonts w:ascii="Times New Roman" w:hAnsi="Times New Roman" w:eastAsia="宋体"/>
          <w:b w:val="0"/>
          <w:sz w:val="24"/>
        </w:rPr>
        <w:t>根据开闭状态 (POINT=0/1) 动态重构归属与转供电拓扑，不得直接记为错接。</w:t>
      </w:r>
    </w:p>
    <w:p w14:paraId="24E0144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 xml:space="preserve">4. 拟建 / 测试 / 临时线路: </w:t>
      </w:r>
      <w:r>
        <w:rPr>
          <w:rFonts w:ascii="Times New Roman" w:hAnsi="Times New Roman" w:eastAsia="宋体"/>
          <w:b w:val="0"/>
          <w:sz w:val="24"/>
        </w:rPr>
        <w:t>若设备/线路名称命中 [测试 / TMP / 虚拟] 关键字，直接拦截并标记为 [待人工复核]。</w:t>
      </w:r>
    </w:p>
    <w:p w14:paraId="76ED759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 xml:space="preserve">5. 新能源并网点 (光伏 / 储能): </w:t>
      </w:r>
      <w:r>
        <w:rPr>
          <w:rFonts w:ascii="Times New Roman" w:hAnsi="Times New Roman" w:eastAsia="宋体"/>
          <w:b w:val="0"/>
          <w:sz w:val="24"/>
        </w:rPr>
        <w:t>分布式光伏及分布式储能并网点存在反向送电场景，系统允许产生反向电流（I &lt; 0）与反向功率（P &lt; 0）。自动触发白名单 [EXEMPT_REVERSE_POWER] 放行，不触发失流或三相不平衡等逻辑告警。</w:t>
      </w:r>
    </w:p>
    <w:p w14:paraId="74E2C73D">
      <w:pPr>
        <w:spacing w:before="0" w:after="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/>
          <w:sz w:val="24"/>
        </w:rPr>
        <w:t xml:space="preserve">6. 无功补偿回路 (电容器 / SVG): </w:t>
      </w:r>
      <w:r>
        <w:rPr>
          <w:rFonts w:ascii="Times New Roman" w:hAnsi="Times New Roman" w:eastAsia="宋体"/>
          <w:b w:val="0"/>
          <w:sz w:val="24"/>
        </w:rPr>
        <w:t>针对并联电容器组及 SVG 投切过程中的短时电流冲击与相间不平衡，设置 30 秒短时屏蔽时间窗 [EXEMPT_CAP_TRANSITION]。在屏蔽期内容忍短时数据波动，不直接判定为逻辑异常。</w:t>
      </w:r>
    </w:p>
    <w:p w14:paraId="4DF4090C">
      <w:pPr>
        <w:spacing w:before="0" w:after="0" w:line="360" w:lineRule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注：</w:t>
      </w:r>
      <w:r>
        <w:rPr>
          <w:rFonts w:ascii="Times New Roman" w:hAnsi="Times New Roman" w:eastAsia="宋体"/>
          <w:b w:val="0"/>
          <w:sz w:val="24"/>
        </w:rPr>
        <w:t>补充拓扑联动豁免：新能源并网点、电容器/SVG回路在拓扑校验中，若出现遥信遥测与拓扑矛盾，自动匹配EXEMPT_REVERSE_POWER、EXEMPT_CAP_TRANSITION白名单，不标记拓扑疑点、不触发孤岛/断连人工复核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。</w:t>
      </w:r>
    </w:p>
    <w:p w14:paraId="3A5C9F84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 异常分级与待复核标记统一标准</w:t>
      </w:r>
    </w:p>
    <w:p w14:paraId="010C907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为确保 AI 数据校验算法在工程落地中实现“精准诊断、分类处置、免于误报”，系统将校验出的所有数据疑点与异常统一划分为三级标签（严重错误 ERR、可疑隐患 SUSPECT、豁免/待复核 EXEMPT/REVIEW），并制定集中化的处置流程与放行规则。</w:t>
      </w:r>
    </w:p>
    <w:p w14:paraId="6645E6A2">
      <w:pPr>
        <w:spacing w:before="240" w:after="120" w:line="360" w:lineRule="auto"/>
      </w:pPr>
      <w:r>
        <w:rPr>
          <w:rFonts w:ascii="Times New Roman" w:hAnsi="Times New Roman" w:eastAsia="宋体"/>
          <w:b/>
          <w:color w:val="282828"/>
          <w:sz w:val="28"/>
        </w:rPr>
        <w:t>4.1 异常标签定义与适用范围标准表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702A9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2335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2B3E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标记级别</w:t>
            </w:r>
          </w:p>
        </w:tc>
        <w:tc>
          <w:tcPr>
            <w:tcW w:w="2335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3650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标签代码 (Flag)</w:t>
            </w:r>
          </w:p>
        </w:tc>
        <w:tc>
          <w:tcPr>
            <w:tcW w:w="2335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E36B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适用场景与诊断条件</w:t>
            </w:r>
          </w:p>
        </w:tc>
        <w:tc>
          <w:tcPr>
            <w:tcW w:w="2335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032F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系统处置流程与告警策略</w:t>
            </w:r>
          </w:p>
        </w:tc>
      </w:tr>
      <w:tr w14:paraId="3C256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4CA0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严重错误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47D96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ERR (Error)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A63F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违反客观电气物理规约（如分位有大电流、功率计算与UI严重不匹配、严重拓扑错拼）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9C4D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 阻断模型入库与自动转供电逻辑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2. 抛出高优先级工单并实时告警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3. 计入模型质量重度扣分（-5分/处）</w:t>
            </w:r>
          </w:p>
        </w:tc>
      </w:tr>
      <w:tr w14:paraId="2E6F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233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9451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可疑隐患</w:t>
            </w:r>
          </w:p>
        </w:tc>
        <w:tc>
          <w:tcPr>
            <w:tcW w:w="233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A0455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SUSPECT</w:t>
            </w:r>
          </w:p>
        </w:tc>
        <w:tc>
          <w:tcPr>
            <w:tcW w:w="233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3A65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数据存在合理偏差或疑点（如开关合位无电流、三相电流轻度不平衡、电压漂移）</w:t>
            </w:r>
          </w:p>
        </w:tc>
        <w:tc>
          <w:tcPr>
            <w:tcW w:w="2335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6686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 标记疑点并进入 24h 二次采样观察期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2. 计入模型质量轻度扣分（-2分/处）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3. 提示运维人员进行远程或现场核查</w:t>
            </w:r>
          </w:p>
        </w:tc>
      </w:tr>
      <w:tr w14:paraId="49FC0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2547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豁免/待复核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BFB70">
            <w:pPr>
              <w:spacing w:before="0" w:after="0" w:line="288" w:lineRule="auto"/>
            </w:pPr>
            <w:r>
              <w:rPr>
                <w:rFonts w:ascii="Consolas" w:hAnsi="Consolas" w:eastAsia="宋体"/>
                <w:b w:val="0"/>
                <w:sz w:val="18"/>
              </w:rPr>
              <w:t>EXEMPT / REVIEW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86C9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符合豁免条件（新能源反送电、无功补偿投切过渡态、测试线路、特殊厂站）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098A8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 自动匹配白名单规则并直接放行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2. 免扣分，不阻断业务逻辑与拓扑重构</w:t>
            </w:r>
            <w:r>
              <w:rPr>
                <w:rFonts w:ascii="Times New Roman" w:hAnsi="Times New Roman" w:eastAsia="宋体"/>
                <w:b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8"/>
              </w:rPr>
              <w:t>3. 归档入库备查，定期生成审计报告</w:t>
            </w:r>
          </w:p>
        </w:tc>
      </w:tr>
    </w:tbl>
    <w:p w14:paraId="28E438BE">
      <w:pPr>
        <w:spacing w:before="240" w:after="120" w:line="360" w:lineRule="auto"/>
      </w:pPr>
      <w:r>
        <w:rPr>
          <w:rFonts w:ascii="Times New Roman" w:hAnsi="Times New Roman" w:eastAsia="宋体"/>
          <w:b/>
          <w:color w:val="282828"/>
          <w:sz w:val="28"/>
        </w:rPr>
        <w:t>4.2 异常统一处置闭环流程</w:t>
      </w:r>
    </w:p>
    <w:p w14:paraId="7A6EB6E8">
      <w:pPr>
        <w:spacing w:before="0" w:after="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数据校验算法执行闭环流程为：①采样数据接入与逻辑判定→② 优先匹配白名单（豁免放行）→③ 未豁免项分类标注标签（ERR / SUSPECT）→④计算模型得分与派发工单。</w:t>
      </w:r>
    </w:p>
    <w:p w14:paraId="550E9C3B">
      <w:pPr>
        <w:spacing w:before="240" w:after="120" w:line="360" w:lineRule="auto"/>
        <w:rPr>
          <w:rFonts w:hint="eastAsia" w:ascii="Times New Roman" w:hAnsi="Times New Roman" w:eastAsia="宋体"/>
          <w:b/>
          <w:color w:val="282828"/>
          <w:sz w:val="28"/>
        </w:rPr>
      </w:pPr>
      <w:r>
        <w:rPr>
          <w:rFonts w:hint="eastAsia" w:ascii="Times New Roman" w:hAnsi="Times New Roman" w:eastAsia="宋体"/>
          <w:b/>
          <w:color w:val="282828"/>
          <w:sz w:val="28"/>
        </w:rPr>
        <w:t>4.3 全局时序防抖时间窗通用规范</w:t>
      </w:r>
    </w:p>
    <w:p w14:paraId="3FFD662F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1. 基础通用防抖窗口（全设备、全遥测遥测统一生效）</w:t>
      </w:r>
    </w:p>
    <w:p w14:paraId="2CDBA119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所有开关、馈线、母线、配变遥测数据启用10s滑动均值滤波窗口，用于过滤瞬时采样脉冲、单次采集抖动、瞬时冲击，仅窗口内持续满足判定阈值才触发异常标记；</w:t>
      </w:r>
    </w:p>
    <w:p w14:paraId="5BC6065F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2. 分层差异化屏蔽时间（叠加通用10s防抖，互不冲突）</w:t>
      </w:r>
    </w:p>
    <w:p w14:paraId="4A05E0C4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（1）通用稳态校验：统一10s防抖，瞬时波动不判定异常；</w:t>
      </w:r>
    </w:p>
    <w:p w14:paraId="45843754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（2）无功补偿回路（电容器/SVG）：叠加30s专属过渡屏蔽窗EXEMPT_CAP_TRANSITION，30s内不触发三相不平衡、功率失配告警；</w:t>
      </w:r>
    </w:p>
    <w:p w14:paraId="2AA67392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（3）新能源并网点：仅启用基础10s防抖，无额外长时屏蔽，正常反向潮流不受时序限制；</w:t>
      </w:r>
    </w:p>
    <w:p w14:paraId="6C2A1EC3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（4）保护动作、故障瞬时量（FA_TRIP）：关闭防抖，瞬时动作立即告警，不做延时过滤；</w:t>
      </w:r>
    </w:p>
    <w:p w14:paraId="578AD03F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3. 时序判定优先级</w:t>
      </w:r>
    </w:p>
    <w:p w14:paraId="1B473DA4">
      <w:pPr>
        <w:spacing w:before="0" w:after="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白名单豁免 &gt; 专属设备长时屏蔽窗 &gt; 全局10s通用防抖窗口 &gt; 稳态电气逻辑判定</w:t>
      </w:r>
    </w:p>
    <w:p w14:paraId="16524EB8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 模型质量双向评分算法</w:t>
      </w:r>
    </w:p>
    <w:p w14:paraId="3F90210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AI 引擎须建立量化评价体系，采用扣分制公式对原始模型与修正后模型进行双向打分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（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备注：配套拓扑、联络专项规则中悬空、孤岛、断连、非计划合环等拓扑缺陷，统一归属拓扑完整性维度，单项权重5分/处，标签映射参照总图模基线规范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第五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章节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）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460AF0BB">
      <w:pPr>
        <w:spacing w:before="120" w:after="120" w:line="360" w:lineRule="auto"/>
        <w:jc w:val="center"/>
      </w:pPr>
      <w:r>
        <w:rPr>
          <w:rFonts w:ascii="Consolas" w:hAnsi="Consolas" w:eastAsia="宋体"/>
          <w:b/>
          <w:sz w:val="24"/>
        </w:rPr>
        <w:t>Model_Score = 100 - ∑ (W_i × C_i)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183A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3AEF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缺陷维级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26CE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缺陷类型说明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A460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单项扣分权重 (W_i)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CF31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扣分上限</w:t>
            </w:r>
          </w:p>
        </w:tc>
      </w:tr>
      <w:tr w14:paraId="06BB0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24F6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拓扑完整性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027A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悬空 / 断连 / 非计划合环 / 主配断裂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114B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 分 / 处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0B15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 分</w:t>
            </w:r>
          </w:p>
        </w:tc>
      </w:tr>
      <w:tr w14:paraId="10129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A937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图模一致性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DEA5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图有模无 / 模有图无 / 虚假连通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CC08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分 / 处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3708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 分</w:t>
            </w:r>
          </w:p>
        </w:tc>
      </w:tr>
      <w:tr w14:paraId="18C41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C312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电气逻辑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0326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遥信遥测不匹配 / 功率计算失真 / 偷电带病运行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06542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分 / 处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CC6F3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 分</w:t>
            </w:r>
          </w:p>
        </w:tc>
      </w:tr>
      <w:tr w14:paraId="4FDFC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B87CB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接口规范性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CA27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主配接口错拼 / 漏拼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0688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分 / 处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7441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 分</w:t>
            </w:r>
          </w:p>
        </w:tc>
      </w:tr>
    </w:tbl>
    <w:p w14:paraId="7A353068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六 SVG美化与自动出图渲染数值附表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3876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06FD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语义 / 对象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A896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Hex 色值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E18A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SVG 线宽 (px)</w:t>
            </w:r>
          </w:p>
        </w:tc>
        <w:tc>
          <w:tcPr>
            <w:tcW w:w="2339" w:type="dxa"/>
            <w:shd w:val="clear" w:color="auto" w:fill="0F4C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D23D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标注字号 / 字重</w:t>
            </w:r>
          </w:p>
        </w:tc>
      </w:tr>
      <w:tr w14:paraId="5E686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9EC7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10kV 主干线路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50EA2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#00A854 (电网绿)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6EDE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3.0 px (0.79mm)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F8FB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 pt (12.0px) / normal</w:t>
            </w:r>
          </w:p>
        </w:tc>
      </w:tr>
      <w:tr w14:paraId="6BBDF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8F5C7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联络线路 / 开关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2D58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#FF6A00 (高亮橙)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74EC6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4.5 px (1.19mm)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DEED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10.5 pt (14.0px) / bold</w:t>
            </w:r>
          </w:p>
        </w:tc>
      </w:tr>
      <w:tr w14:paraId="6791F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29B2E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跨站联络线路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12F1F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#722ED1 (联络紫)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7881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4.5 px (1.19mm)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3119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10.5 pt (14.0px) / bold</w:t>
            </w:r>
          </w:p>
        </w:tc>
      </w:tr>
      <w:tr w14:paraId="69573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D4A6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电源追溯路径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E4F1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#1890FF (高亮蓝)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89AC0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3.0 px (0.79mm)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0D643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10.5 pt (14.0px) / bold</w:t>
            </w:r>
          </w:p>
        </w:tc>
      </w:tr>
      <w:tr w14:paraId="240F3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7B9079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备用间隔设备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3571A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#BFBFBF (浅灰)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163E91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1.0 px (虚线 4,4)</w:t>
            </w:r>
          </w:p>
        </w:tc>
        <w:tc>
          <w:tcPr>
            <w:tcW w:w="2339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DEE6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 pt (12.0px) / normal</w:t>
            </w:r>
          </w:p>
        </w:tc>
      </w:tr>
      <w:tr w14:paraId="6B9D1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9C5B4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站房 / 容器边框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E97DB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#595959 (深灰)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F9A45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2.0 px (0.53mm)</w:t>
            </w:r>
          </w:p>
        </w:tc>
        <w:tc>
          <w:tcPr>
            <w:tcW w:w="2339" w:type="dxa"/>
            <w:shd w:val="clear" w:color="auto" w:fill="F9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4FCFD">
            <w:pPr>
              <w:spacing w:before="0" w:after="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 pt (21.3px) / bold</w:t>
            </w:r>
          </w:p>
        </w:tc>
      </w:tr>
    </w:tbl>
    <w:p w14:paraId="41FD0B22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七 多规则AI校验执行总流程</w:t>
      </w:r>
    </w:p>
    <w:p w14:paraId="531A100C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完整校验执行顺序（全局统一，AI编码强制遵循）</w:t>
      </w:r>
    </w:p>
    <w:p w14:paraId="428BD10D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1. 读取设备基础属性，匹配末端、专线、特殊厂站、测试线路静态白名单；</w:t>
      </w:r>
    </w:p>
    <w:p w14:paraId="1A3C5338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2. 匹配新能源、SVG无功补偿动态时序豁免白名单；</w:t>
      </w:r>
    </w:p>
    <w:p w14:paraId="36550921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3. 执行全局10s时序防抖滤波，过滤瞬时数据；</w:t>
      </w:r>
    </w:p>
    <w:p w14:paraId="73F7875F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4. 分层校验：①电气逻辑校验 → ②主配接口校验 → ③拓扑完整性校验 → ④联络合环风险校验；</w:t>
      </w:r>
    </w:p>
    <w:p w14:paraId="6DBAA192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5. 统一映射ERR/SUSPECT/EXEMPT/REVIEW标签；</w:t>
      </w:r>
    </w:p>
    <w:p w14:paraId="4382A034">
      <w:pPr>
        <w:spacing w:before="0" w:after="0" w:line="360" w:lineRule="auto"/>
        <w:ind w:firstLine="480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6. 按缺陷维度计算模型质量得分，生成工单或归档放行。</w:t>
      </w:r>
    </w:p>
    <w:sectPr>
      <w:footerReference r:id="rId5" w:type="default"/>
      <w:pgSz w:w="11906" w:h="16838"/>
      <w:pgMar w:top="1417" w:right="850" w:bottom="1417" w:left="1701" w:header="850" w:footer="113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D7058">
    <w:pPr>
      <w:pStyle w:val="24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separate"/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241B9"/>
    <w:rsid w:val="1FDC6F2F"/>
    <w:rsid w:val="225337A3"/>
    <w:rsid w:val="47B64BE6"/>
    <w:rsid w:val="63F8319B"/>
    <w:rsid w:val="64EC454F"/>
    <w:rsid w:val="664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1110</Words>
  <Characters>1727</Characters>
  <Lines>0</Lines>
  <Paragraphs>0</Paragraphs>
  <TotalTime>3</TotalTime>
  <ScaleCrop>false</ScaleCrop>
  <LinksUpToDate>false</LinksUpToDate>
  <CharactersWithSpaces>1880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Samsara</cp:lastModifiedBy>
  <dcterms:modified xsi:type="dcterms:W3CDTF">2026-07-28T03:20:51Z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eyJoZGlkIjoiYTllNjQxNTdhMTk1YmY2OTA2ZTVhYmMwYzczNzc5MGIiLCJ1c2VySWQiOiI3NTY0NDA3MjYifQ==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65E26E251298442BBF90B38AB917E5C9_12</vt:lpwstr>
  </property>
</Properties>
</file>