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CCCA05">
      <w:pPr>
        <w:spacing w:before="360" w:after="160"/>
        <w:jc w:val="center"/>
      </w:pPr>
      <w:r>
        <w:rPr>
          <w:rFonts w:hint="eastAsia"/>
          <w:b/>
          <w:color w:val="1F4D78"/>
          <w:sz w:val="44"/>
          <w:lang w:val="en-US" w:eastAsia="zh-CN"/>
        </w:rPr>
        <w:t>1</w:t>
      </w:r>
      <w:r>
        <w:rPr>
          <w:rFonts w:ascii="微软雅黑" w:hAnsi="微软雅黑" w:eastAsia="微软雅黑"/>
          <w:b/>
          <w:color w:val="1F4D78"/>
          <w:sz w:val="44"/>
        </w:rPr>
        <w:t>组阶段任务书</w:t>
      </w:r>
    </w:p>
    <w:p w14:paraId="1FAFAF10">
      <w:pPr>
        <w:spacing w:before="280" w:after="100"/>
      </w:pPr>
      <w:r>
        <w:rPr>
          <w:rFonts w:ascii="微软雅黑" w:hAnsi="微软雅黑" w:eastAsia="微软雅黑"/>
          <w:b/>
          <w:color w:val="1F4D78"/>
          <w:sz w:val="30"/>
        </w:rPr>
        <w:t>1. 目标与硬性边界</w:t>
      </w:r>
    </w:p>
    <w:p w14:paraId="72DF6139">
      <w:pPr>
        <w:spacing w:after="100" w:line="288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截止 2026年9月15日，</w:t>
      </w:r>
      <w:r>
        <w:rPr>
          <w:rFonts w:hint="eastAsia"/>
          <w:b w:val="0"/>
          <w:color w:val="000000"/>
          <w:sz w:val="21"/>
          <w:lang w:val="en-US" w:eastAsia="zh-CN"/>
        </w:rPr>
        <w:t>1</w:t>
      </w:r>
      <w:r>
        <w:rPr>
          <w:rFonts w:ascii="微软雅黑" w:hAnsi="微软雅黑" w:eastAsia="微软雅黑"/>
          <w:b w:val="0"/>
          <w:color w:val="000000"/>
          <w:sz w:val="21"/>
        </w:rPr>
        <w:t>组必须交付可稳定运行的代码，覆盖拓扑校验、图模比对、修正建议、SVG 编辑与自动出图。先完成规则与图算法基线，再做置信度排序等加分创新；不得以训练模型替代题目规定的确定性任务。</w:t>
      </w:r>
    </w:p>
    <w:p w14:paraId="6198A3B1">
      <w:pPr>
        <w:pStyle w:val="16"/>
        <w:spacing w:after="60" w:line="276" w:lineRule="auto"/>
      </w:pPr>
      <w:r>
        <w:rPr>
          <w:rFonts w:ascii="微软雅黑" w:hAnsi="微软雅黑" w:eastAsia="微软雅黑"/>
          <w:b w:val="0"/>
          <w:color w:val="000000"/>
          <w:sz w:val="20"/>
        </w:rPr>
        <w:t>统一输入：SQL 数据集、主网/配网 SVG、设备字典与标准输出模板。</w:t>
      </w:r>
    </w:p>
    <w:p w14:paraId="1775851E">
      <w:pPr>
        <w:pStyle w:val="16"/>
        <w:spacing w:after="60" w:line="276" w:lineRule="auto"/>
      </w:pPr>
      <w:r>
        <w:rPr>
          <w:rFonts w:ascii="微软雅黑" w:hAnsi="微软雅黑" w:eastAsia="微软雅黑"/>
          <w:b w:val="0"/>
          <w:color w:val="000000"/>
          <w:sz w:val="20"/>
        </w:rPr>
        <w:t>统一输出：问题清单、断点定位、联络/合环结果、修正 SQL、SVG 文件、运行日志。</w:t>
      </w:r>
    </w:p>
    <w:p w14:paraId="4AE501F0">
      <w:pPr>
        <w:pStyle w:val="16"/>
        <w:spacing w:after="60" w:line="276" w:lineRule="auto"/>
      </w:pPr>
      <w:r>
        <w:rPr>
          <w:rFonts w:ascii="微软雅黑" w:hAnsi="微软雅黑" w:eastAsia="微软雅黑"/>
          <w:b w:val="0"/>
          <w:color w:val="000000"/>
          <w:sz w:val="20"/>
        </w:rPr>
        <w:t>每个结论必须能追溯至设备 ID、连接点、判定规则和复核结果。</w:t>
      </w:r>
    </w:p>
    <w:p w14:paraId="50DA4270">
      <w:pPr>
        <w:spacing w:before="280" w:after="100"/>
      </w:pPr>
      <w:r>
        <w:rPr>
          <w:rFonts w:ascii="微软雅黑" w:hAnsi="微软雅黑" w:eastAsia="微软雅黑"/>
          <w:b/>
          <w:color w:val="1F4D78"/>
          <w:sz w:val="30"/>
        </w:rPr>
        <w:t>2. 成员固定分工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0"/>
        <w:gridCol w:w="2580"/>
        <w:gridCol w:w="4700"/>
      </w:tblGrid>
      <w:tr w14:paraId="527CD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7E33AA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4D78"/>
                <w:sz w:val="19"/>
              </w:rPr>
              <w:t>成员</w:t>
            </w:r>
          </w:p>
        </w:tc>
        <w:tc>
          <w:tcPr>
            <w:tcW w:w="258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DD7162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4D78"/>
                <w:sz w:val="19"/>
              </w:rPr>
              <w:t>固定角色</w:t>
            </w:r>
          </w:p>
        </w:tc>
        <w:tc>
          <w:tcPr>
            <w:tcW w:w="470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EB393E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4D78"/>
                <w:sz w:val="19"/>
              </w:rPr>
              <w:t>职责边界</w:t>
            </w:r>
          </w:p>
        </w:tc>
      </w:tr>
      <w:tr w14:paraId="1C967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0" w:type="dxa"/>
            <w:vAlign w:val="center"/>
          </w:tcPr>
          <w:p w14:paraId="31F9A25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</w:t>
            </w:r>
          </w:p>
        </w:tc>
        <w:tc>
          <w:tcPr>
            <w:tcW w:w="2580" w:type="dxa"/>
            <w:vAlign w:val="center"/>
          </w:tcPr>
          <w:p w14:paraId="162A534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技术负责人 / 拓扑内核</w:t>
            </w:r>
          </w:p>
        </w:tc>
        <w:tc>
          <w:tcPr>
            <w:tcW w:w="4700" w:type="dxa"/>
            <w:vAlign w:val="center"/>
          </w:tcPr>
          <w:p w14:paraId="7D20996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统一代码框架；SQL 到图结构；悬空、断点、联络、合环；接口与代码合并。</w:t>
            </w:r>
          </w:p>
        </w:tc>
      </w:tr>
      <w:tr w14:paraId="5C160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0" w:type="dxa"/>
            <w:shd w:val="clear" w:color="auto" w:fill="F4F7FA"/>
            <w:vAlign w:val="center"/>
          </w:tcPr>
          <w:p w14:paraId="17D4080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2</w:t>
            </w:r>
          </w:p>
        </w:tc>
        <w:tc>
          <w:tcPr>
            <w:tcW w:w="2580" w:type="dxa"/>
            <w:shd w:val="clear" w:color="auto" w:fill="F4F7FA"/>
            <w:vAlign w:val="center"/>
          </w:tcPr>
          <w:p w14:paraId="47572D8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图模一致性 / 修正引擎</w:t>
            </w:r>
          </w:p>
        </w:tc>
        <w:tc>
          <w:tcPr>
            <w:tcW w:w="4700" w:type="dxa"/>
            <w:shd w:val="clear" w:color="auto" w:fill="F4F7FA"/>
            <w:vAlign w:val="center"/>
          </w:tcPr>
          <w:p w14:paraId="55C1FD4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SVG—模型差异比对；候选修正与 SQL；质量评分计算；异常置信度排序。</w:t>
            </w:r>
          </w:p>
        </w:tc>
      </w:tr>
      <w:tr w14:paraId="2384E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0" w:type="dxa"/>
            <w:vAlign w:val="center"/>
          </w:tcPr>
          <w:p w14:paraId="4AF6AA7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3</w:t>
            </w:r>
          </w:p>
        </w:tc>
        <w:tc>
          <w:tcPr>
            <w:tcW w:w="2580" w:type="dxa"/>
            <w:vAlign w:val="center"/>
          </w:tcPr>
          <w:p w14:paraId="797C4E7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SVG 与系统集成</w:t>
            </w:r>
          </w:p>
        </w:tc>
        <w:tc>
          <w:tcPr>
            <w:tcW w:w="4700" w:type="dxa"/>
            <w:vAlign w:val="center"/>
          </w:tcPr>
          <w:p w14:paraId="399E7BF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SVG 解析、美化、增删设备、自动出图；演示入口；与模型拓扑的图形一致性。</w:t>
            </w:r>
          </w:p>
        </w:tc>
      </w:tr>
    </w:tbl>
    <w:p w14:paraId="58A79B90"/>
    <w:p w14:paraId="042A4DDC">
      <w:pPr>
        <w:spacing w:before="280" w:after="100"/>
      </w:pPr>
      <w:r>
        <w:rPr>
          <w:rFonts w:ascii="微软雅黑" w:hAnsi="微软雅黑" w:eastAsia="微软雅黑"/>
          <w:b/>
          <w:color w:val="1F4D78"/>
          <w:sz w:val="30"/>
        </w:rPr>
        <w:t>3. 按顺序执行的任务与时间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0"/>
        <w:gridCol w:w="1480"/>
        <w:gridCol w:w="3680"/>
        <w:gridCol w:w="3080"/>
      </w:tblGrid>
      <w:tr w14:paraId="21514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0" w:type="dxa"/>
            <w:shd w:val="clear" w:color="auto" w:fill="1F4D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FB4D48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w="1480" w:type="dxa"/>
            <w:shd w:val="clear" w:color="auto" w:fill="1F4D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42B4CB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主责成员</w:t>
            </w:r>
          </w:p>
        </w:tc>
        <w:tc>
          <w:tcPr>
            <w:tcW w:w="3680" w:type="dxa"/>
            <w:shd w:val="clear" w:color="auto" w:fill="1F4D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A6062C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顺序任务</w:t>
            </w:r>
          </w:p>
        </w:tc>
        <w:tc>
          <w:tcPr>
            <w:tcW w:w="3080" w:type="dxa"/>
            <w:shd w:val="clear" w:color="auto" w:fill="1F4D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35C907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提交物 / 验收点</w:t>
            </w:r>
          </w:p>
        </w:tc>
      </w:tr>
      <w:tr w14:paraId="65F97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0" w:type="dxa"/>
            <w:vAlign w:val="center"/>
          </w:tcPr>
          <w:p w14:paraId="7C82A53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7/20-7/22</w:t>
            </w:r>
          </w:p>
        </w:tc>
        <w:tc>
          <w:tcPr>
            <w:tcW w:w="1480" w:type="dxa"/>
            <w:vAlign w:val="center"/>
          </w:tcPr>
          <w:p w14:paraId="42431DB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</w:t>
            </w:r>
          </w:p>
        </w:tc>
        <w:tc>
          <w:tcPr>
            <w:tcW w:w="3680" w:type="dxa"/>
            <w:vAlign w:val="center"/>
          </w:tcPr>
          <w:p w14:paraId="063433E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建立仓库、模块目录、统一配置与结果数据结构；确定设备/连接点/边的图模型。</w:t>
            </w:r>
          </w:p>
        </w:tc>
        <w:tc>
          <w:tcPr>
            <w:tcW w:w="3080" w:type="dxa"/>
            <w:vAlign w:val="center"/>
          </w:tcPr>
          <w:p w14:paraId="5443B30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可运行空项目；接口文档；统一 JSON/CSV 输出样例。</w:t>
            </w:r>
          </w:p>
        </w:tc>
      </w:tr>
      <w:tr w14:paraId="01657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0" w:type="dxa"/>
            <w:shd w:val="clear" w:color="auto" w:fill="F4F7FA"/>
            <w:vAlign w:val="center"/>
          </w:tcPr>
          <w:p w14:paraId="5316AB3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7/20-7/24</w:t>
            </w:r>
          </w:p>
        </w:tc>
        <w:tc>
          <w:tcPr>
            <w:tcW w:w="1480" w:type="dxa"/>
            <w:shd w:val="clear" w:color="auto" w:fill="F4F7FA"/>
            <w:vAlign w:val="center"/>
          </w:tcPr>
          <w:p w14:paraId="5A478AF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2</w:t>
            </w:r>
          </w:p>
        </w:tc>
        <w:tc>
          <w:tcPr>
            <w:tcW w:w="3680" w:type="dxa"/>
            <w:shd w:val="clear" w:color="auto" w:fill="F4F7FA"/>
            <w:vAlign w:val="center"/>
          </w:tcPr>
          <w:p w14:paraId="0B17966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梳理 SQL 表关联和 SVG 元素字段，定义数据库设备 ID、SVG 图元 ID、端点/连接点的映射规则。</w:t>
            </w:r>
          </w:p>
        </w:tc>
        <w:tc>
          <w:tcPr>
            <w:tcW w:w="3080" w:type="dxa"/>
            <w:shd w:val="clear" w:color="auto" w:fill="F4F7FA"/>
            <w:vAlign w:val="center"/>
          </w:tcPr>
          <w:p w14:paraId="56329A3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《图模字段映射表 v1》；至少一个 SVG 的解析样例。</w:t>
            </w:r>
          </w:p>
        </w:tc>
      </w:tr>
      <w:tr w14:paraId="7ABC5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0" w:type="dxa"/>
            <w:vAlign w:val="center"/>
          </w:tcPr>
          <w:p w14:paraId="3CC4806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7/20-7/25</w:t>
            </w:r>
          </w:p>
        </w:tc>
        <w:tc>
          <w:tcPr>
            <w:tcW w:w="1480" w:type="dxa"/>
            <w:vAlign w:val="center"/>
          </w:tcPr>
          <w:p w14:paraId="3214970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3</w:t>
            </w:r>
          </w:p>
        </w:tc>
        <w:tc>
          <w:tcPr>
            <w:tcW w:w="3680" w:type="dxa"/>
            <w:vAlign w:val="center"/>
          </w:tcPr>
          <w:p w14:paraId="3F1D4DF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实现 SVG 读取器：提取图元、文本、坐标、连线、连接关系；建立可编辑的中间表示。</w:t>
            </w:r>
          </w:p>
        </w:tc>
        <w:tc>
          <w:tcPr>
            <w:tcW w:w="3080" w:type="dxa"/>
            <w:vAlign w:val="center"/>
          </w:tcPr>
          <w:p w14:paraId="6092F0C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LINE215/LINE216 图元清单与连接关系导出。</w:t>
            </w:r>
          </w:p>
        </w:tc>
      </w:tr>
      <w:tr w14:paraId="2977D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0" w:type="dxa"/>
            <w:shd w:val="clear" w:color="auto" w:fill="F4F7FA"/>
            <w:vAlign w:val="center"/>
          </w:tcPr>
          <w:p w14:paraId="283874E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7/23-7/27</w:t>
            </w:r>
          </w:p>
        </w:tc>
        <w:tc>
          <w:tcPr>
            <w:tcW w:w="1480" w:type="dxa"/>
            <w:shd w:val="clear" w:color="auto" w:fill="F4F7FA"/>
            <w:vAlign w:val="center"/>
          </w:tcPr>
          <w:p w14:paraId="690192E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</w:t>
            </w:r>
          </w:p>
        </w:tc>
        <w:tc>
          <w:tcPr>
            <w:tcW w:w="3680" w:type="dxa"/>
            <w:shd w:val="clear" w:color="auto" w:fill="F4F7FA"/>
            <w:vAlign w:val="center"/>
          </w:tcPr>
          <w:p w14:paraId="558318D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从 SQL 构建主网、配网及主配接口拓扑图；补齐设备内部端点连通关系。</w:t>
            </w:r>
          </w:p>
        </w:tc>
        <w:tc>
          <w:tcPr>
            <w:tcW w:w="3080" w:type="dxa"/>
            <w:shd w:val="clear" w:color="auto" w:fill="F4F7FA"/>
            <w:vAlign w:val="center"/>
          </w:tcPr>
          <w:p w14:paraId="4052683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给定馈线可输出节点数、边数、连通分量及设备清单。</w:t>
            </w:r>
          </w:p>
        </w:tc>
      </w:tr>
      <w:tr w14:paraId="62493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0" w:type="dxa"/>
            <w:vAlign w:val="center"/>
          </w:tcPr>
          <w:p w14:paraId="324B2D9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7/26-8/2</w:t>
            </w:r>
          </w:p>
        </w:tc>
        <w:tc>
          <w:tcPr>
            <w:tcW w:w="1480" w:type="dxa"/>
            <w:vAlign w:val="center"/>
          </w:tcPr>
          <w:p w14:paraId="5B3A195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</w:t>
            </w:r>
          </w:p>
        </w:tc>
        <w:tc>
          <w:tcPr>
            <w:tcW w:w="3680" w:type="dxa"/>
            <w:vAlign w:val="center"/>
          </w:tcPr>
          <w:p w14:paraId="7F8C24A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实现悬空、孤岛、断连检测；实现两组指定设备间的断点定位。</w:t>
            </w:r>
          </w:p>
        </w:tc>
        <w:tc>
          <w:tcPr>
            <w:tcW w:w="3080" w:type="dxa"/>
            <w:vAlign w:val="center"/>
          </w:tcPr>
          <w:p w14:paraId="459A4E0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断点结果含两侧疑似设备、断点类型、修正建议。</w:t>
            </w:r>
          </w:p>
        </w:tc>
      </w:tr>
      <w:tr w14:paraId="71091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0" w:type="dxa"/>
            <w:shd w:val="clear" w:color="auto" w:fill="F4F7FA"/>
            <w:vAlign w:val="center"/>
          </w:tcPr>
          <w:p w14:paraId="479F114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7/27-8/4</w:t>
            </w:r>
          </w:p>
        </w:tc>
        <w:tc>
          <w:tcPr>
            <w:tcW w:w="1480" w:type="dxa"/>
            <w:shd w:val="clear" w:color="auto" w:fill="F4F7FA"/>
            <w:vAlign w:val="center"/>
          </w:tcPr>
          <w:p w14:paraId="39B37A2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2</w:t>
            </w:r>
          </w:p>
        </w:tc>
        <w:tc>
          <w:tcPr>
            <w:tcW w:w="3680" w:type="dxa"/>
            <w:shd w:val="clear" w:color="auto" w:fill="F4F7FA"/>
            <w:vAlign w:val="center"/>
          </w:tcPr>
          <w:p w14:paraId="4F26C18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实现图上有模型无、模型有图无、物理连接与逻辑连接不一致四类校验。</w:t>
            </w:r>
          </w:p>
        </w:tc>
        <w:tc>
          <w:tcPr>
            <w:tcW w:w="3080" w:type="dxa"/>
            <w:shd w:val="clear" w:color="auto" w:fill="F4F7FA"/>
            <w:vAlign w:val="center"/>
          </w:tcPr>
          <w:p w14:paraId="0BD1DE7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四类问题均能输出设备 ID、说明、修正方案和 SQL 草案。</w:t>
            </w:r>
          </w:p>
        </w:tc>
      </w:tr>
      <w:tr w14:paraId="46FDD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0" w:type="dxa"/>
            <w:vAlign w:val="center"/>
          </w:tcPr>
          <w:p w14:paraId="4E05E77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8/3-8/9</w:t>
            </w:r>
          </w:p>
        </w:tc>
        <w:tc>
          <w:tcPr>
            <w:tcW w:w="1480" w:type="dxa"/>
            <w:vAlign w:val="center"/>
          </w:tcPr>
          <w:p w14:paraId="6781F81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</w:t>
            </w:r>
          </w:p>
        </w:tc>
        <w:tc>
          <w:tcPr>
            <w:tcW w:w="3680" w:type="dxa"/>
            <w:vAlign w:val="center"/>
          </w:tcPr>
          <w:p w14:paraId="22EBCF7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实现联络开关识别、疑似联络复核、非计划合环检测；接入电气组豁免规则。</w:t>
            </w:r>
          </w:p>
        </w:tc>
        <w:tc>
          <w:tcPr>
            <w:tcW w:w="3080" w:type="dxa"/>
            <w:vAlign w:val="center"/>
          </w:tcPr>
          <w:p w14:paraId="34FB347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联络表、合环表与规则命中日志。</w:t>
            </w:r>
          </w:p>
        </w:tc>
      </w:tr>
      <w:tr w14:paraId="123FE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0" w:type="dxa"/>
            <w:shd w:val="clear" w:color="auto" w:fill="F4F7FA"/>
            <w:vAlign w:val="center"/>
          </w:tcPr>
          <w:p w14:paraId="5DF8954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8/5-8/12</w:t>
            </w:r>
          </w:p>
        </w:tc>
        <w:tc>
          <w:tcPr>
            <w:tcW w:w="1480" w:type="dxa"/>
            <w:shd w:val="clear" w:color="auto" w:fill="F4F7FA"/>
            <w:vAlign w:val="center"/>
          </w:tcPr>
          <w:p w14:paraId="654777F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2</w:t>
            </w:r>
          </w:p>
        </w:tc>
        <w:tc>
          <w:tcPr>
            <w:tcW w:w="3680" w:type="dxa"/>
            <w:shd w:val="clear" w:color="auto" w:fill="F4F7FA"/>
            <w:vAlign w:val="center"/>
          </w:tcPr>
          <w:p w14:paraId="589186F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实现最小修改候选生成：新增/删除连接、修正接口、补设备；生成可回滚 SQL。</w:t>
            </w:r>
          </w:p>
        </w:tc>
        <w:tc>
          <w:tcPr>
            <w:tcW w:w="3080" w:type="dxa"/>
            <w:shd w:val="clear" w:color="auto" w:fill="F4F7FA"/>
            <w:vAlign w:val="center"/>
          </w:tcPr>
          <w:p w14:paraId="5C6D184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每类问题至少一条可审查 SQL；修正前后拓扑差异。</w:t>
            </w:r>
          </w:p>
        </w:tc>
      </w:tr>
      <w:tr w14:paraId="7831F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0" w:type="dxa"/>
            <w:vAlign w:val="center"/>
          </w:tcPr>
          <w:p w14:paraId="39888B4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8/3-8/16</w:t>
            </w:r>
          </w:p>
        </w:tc>
        <w:tc>
          <w:tcPr>
            <w:tcW w:w="1480" w:type="dxa"/>
            <w:vAlign w:val="center"/>
          </w:tcPr>
          <w:p w14:paraId="790B917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3</w:t>
            </w:r>
          </w:p>
        </w:tc>
        <w:tc>
          <w:tcPr>
            <w:tcW w:w="3680" w:type="dxa"/>
            <w:vAlign w:val="center"/>
          </w:tcPr>
          <w:p w14:paraId="3BDD1FD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完成 LINE215、LINE216 美化；实现新增站房 000300/3 个开关和删除开关 00024 的编辑操作。</w:t>
            </w:r>
          </w:p>
        </w:tc>
        <w:tc>
          <w:tcPr>
            <w:tcW w:w="3080" w:type="dxa"/>
            <w:vAlign w:val="center"/>
          </w:tcPr>
          <w:p w14:paraId="0C143DE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四份指定 SVG 成果：两份美化、两份修改后图。</w:t>
            </w:r>
          </w:p>
        </w:tc>
      </w:tr>
      <w:tr w14:paraId="2D832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0" w:type="dxa"/>
            <w:shd w:val="clear" w:color="auto" w:fill="F4F7FA"/>
            <w:vAlign w:val="center"/>
          </w:tcPr>
          <w:p w14:paraId="45FC99C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8/10-8/20</w:t>
            </w:r>
          </w:p>
        </w:tc>
        <w:tc>
          <w:tcPr>
            <w:tcW w:w="1480" w:type="dxa"/>
            <w:shd w:val="clear" w:color="auto" w:fill="F4F7FA"/>
            <w:vAlign w:val="center"/>
          </w:tcPr>
          <w:p w14:paraId="1DB6463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3</w:t>
            </w:r>
          </w:p>
        </w:tc>
        <w:tc>
          <w:tcPr>
            <w:tcW w:w="3680" w:type="dxa"/>
            <w:shd w:val="clear" w:color="auto" w:fill="F4F7FA"/>
            <w:vAlign w:val="center"/>
          </w:tcPr>
          <w:p w14:paraId="752EC31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根据数据库拓扑自动生成单线图、联络图、全站图和电源追溯路径图。</w:t>
            </w:r>
          </w:p>
        </w:tc>
        <w:tc>
          <w:tcPr>
            <w:tcW w:w="3080" w:type="dxa"/>
            <w:shd w:val="clear" w:color="auto" w:fill="F4F7FA"/>
            <w:vAlign w:val="center"/>
          </w:tcPr>
          <w:p w14:paraId="236115A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完成题目指定 4 类自动生成图，可在浏览器正常打开。</w:t>
            </w:r>
          </w:p>
        </w:tc>
      </w:tr>
      <w:tr w14:paraId="756DD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0" w:type="dxa"/>
            <w:vAlign w:val="center"/>
          </w:tcPr>
          <w:p w14:paraId="1E2176F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8/17-8/23</w:t>
            </w:r>
          </w:p>
        </w:tc>
        <w:tc>
          <w:tcPr>
            <w:tcW w:w="1480" w:type="dxa"/>
            <w:vAlign w:val="center"/>
          </w:tcPr>
          <w:p w14:paraId="1DC3663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2</w:t>
            </w:r>
          </w:p>
        </w:tc>
        <w:tc>
          <w:tcPr>
            <w:tcW w:w="3680" w:type="dxa"/>
            <w:vAlign w:val="center"/>
          </w:tcPr>
          <w:p w14:paraId="51A5188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接入遥信遥测与主配接口规则；实现问题置信度和修正前后质量评分。</w:t>
            </w:r>
          </w:p>
        </w:tc>
        <w:tc>
          <w:tcPr>
            <w:tcW w:w="3080" w:type="dxa"/>
            <w:vAlign w:val="center"/>
          </w:tcPr>
          <w:p w14:paraId="7DB3A9D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评分结果与问题数量可复算；置信度来源可解释。</w:t>
            </w:r>
          </w:p>
        </w:tc>
      </w:tr>
      <w:tr w14:paraId="3BBF4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0" w:type="dxa"/>
            <w:shd w:val="clear" w:color="auto" w:fill="F4F7FA"/>
            <w:vAlign w:val="center"/>
          </w:tcPr>
          <w:p w14:paraId="26DF4C3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8/24-8/30</w:t>
            </w:r>
          </w:p>
        </w:tc>
        <w:tc>
          <w:tcPr>
            <w:tcW w:w="1480" w:type="dxa"/>
            <w:shd w:val="clear" w:color="auto" w:fill="F4F7FA"/>
            <w:vAlign w:val="center"/>
          </w:tcPr>
          <w:p w14:paraId="741C83B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 + 3</w:t>
            </w:r>
          </w:p>
        </w:tc>
        <w:tc>
          <w:tcPr>
            <w:tcW w:w="3680" w:type="dxa"/>
            <w:shd w:val="clear" w:color="auto" w:fill="F4F7FA"/>
            <w:vAlign w:val="center"/>
          </w:tcPr>
          <w:p w14:paraId="36AF21F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联调全流程：数据导入→校验→修正→复核→xlsx/SVG 输出；定位性能瓶颈。</w:t>
            </w:r>
          </w:p>
        </w:tc>
        <w:tc>
          <w:tcPr>
            <w:tcW w:w="3080" w:type="dxa"/>
            <w:shd w:val="clear" w:color="auto" w:fill="F4F7FA"/>
            <w:vAlign w:val="center"/>
          </w:tcPr>
          <w:p w14:paraId="59D41F7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一条命令跑完整流程；记录运行时间与失败用例。</w:t>
            </w:r>
          </w:p>
        </w:tc>
      </w:tr>
      <w:tr w14:paraId="08B1A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0" w:type="dxa"/>
            <w:vAlign w:val="center"/>
          </w:tcPr>
          <w:p w14:paraId="637A66A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8/31-9/5</w:t>
            </w:r>
          </w:p>
        </w:tc>
        <w:tc>
          <w:tcPr>
            <w:tcW w:w="1480" w:type="dxa"/>
            <w:vAlign w:val="center"/>
          </w:tcPr>
          <w:p w14:paraId="19585DD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全组</w:t>
            </w:r>
          </w:p>
        </w:tc>
        <w:tc>
          <w:tcPr>
            <w:tcW w:w="3680" w:type="dxa"/>
            <w:vAlign w:val="center"/>
          </w:tcPr>
          <w:p w14:paraId="4037371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配合电气组逐条复核高风险问题，修复误判、漏判、误改；冻结核心规则。</w:t>
            </w:r>
          </w:p>
        </w:tc>
        <w:tc>
          <w:tcPr>
            <w:tcW w:w="3080" w:type="dxa"/>
            <w:vAlign w:val="center"/>
          </w:tcPr>
          <w:p w14:paraId="26F1CF3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问题关闭清单；规则版本 v1.0。</w:t>
            </w:r>
          </w:p>
        </w:tc>
      </w:tr>
      <w:tr w14:paraId="23EE6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0" w:type="dxa"/>
            <w:shd w:val="clear" w:color="auto" w:fill="F4F7FA"/>
            <w:vAlign w:val="center"/>
          </w:tcPr>
          <w:p w14:paraId="4977E4E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9/6-9/10</w:t>
            </w:r>
          </w:p>
        </w:tc>
        <w:tc>
          <w:tcPr>
            <w:tcW w:w="1480" w:type="dxa"/>
            <w:shd w:val="clear" w:color="auto" w:fill="F4F7FA"/>
            <w:vAlign w:val="center"/>
          </w:tcPr>
          <w:p w14:paraId="271F0A1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2 + 3</w:t>
            </w:r>
          </w:p>
        </w:tc>
        <w:tc>
          <w:tcPr>
            <w:tcW w:w="3680" w:type="dxa"/>
            <w:shd w:val="clear" w:color="auto" w:fill="F4F7FA"/>
            <w:vAlign w:val="center"/>
          </w:tcPr>
          <w:p w14:paraId="1BA3744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整理算法说明、接口说明、输入输出格式和演示脚本；补充可解释性案例。</w:t>
            </w:r>
          </w:p>
        </w:tc>
        <w:tc>
          <w:tcPr>
            <w:tcW w:w="3080" w:type="dxa"/>
            <w:shd w:val="clear" w:color="auto" w:fill="F4F7FA"/>
            <w:vAlign w:val="center"/>
          </w:tcPr>
          <w:p w14:paraId="1985D80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README、接口文档、3 个可演示案例。</w:t>
            </w:r>
          </w:p>
        </w:tc>
      </w:tr>
      <w:tr w14:paraId="05AA5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0" w:type="dxa"/>
            <w:vAlign w:val="center"/>
          </w:tcPr>
          <w:p w14:paraId="326F0BD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9/11-9/15</w:t>
            </w:r>
          </w:p>
        </w:tc>
        <w:tc>
          <w:tcPr>
            <w:tcW w:w="1480" w:type="dxa"/>
            <w:vAlign w:val="center"/>
          </w:tcPr>
          <w:p w14:paraId="45CA553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</w:t>
            </w:r>
          </w:p>
        </w:tc>
        <w:tc>
          <w:tcPr>
            <w:tcW w:w="3680" w:type="dxa"/>
            <w:vAlign w:val="center"/>
          </w:tcPr>
          <w:p w14:paraId="2B09640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最终回归测试、代码清理、依赖锁定、提交包检查；支持答辩彩排。</w:t>
            </w:r>
          </w:p>
        </w:tc>
        <w:tc>
          <w:tcPr>
            <w:tcW w:w="3080" w:type="dxa"/>
            <w:vAlign w:val="center"/>
          </w:tcPr>
          <w:p w14:paraId="385FF82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最终源码包、运行记录、演示环境通过验收。</w:t>
            </w:r>
          </w:p>
        </w:tc>
      </w:tr>
    </w:tbl>
    <w:p w14:paraId="7A2E10BE"/>
    <w:p w14:paraId="2CC9F839">
      <w:pPr>
        <w:spacing w:before="280" w:after="100"/>
      </w:pPr>
      <w:r>
        <w:rPr>
          <w:rFonts w:ascii="微软雅黑" w:hAnsi="微软雅黑" w:eastAsia="微软雅黑"/>
          <w:b/>
          <w:color w:val="1F4D78"/>
          <w:sz w:val="30"/>
        </w:rPr>
        <w:t>4. 每周验收节奏</w:t>
      </w:r>
    </w:p>
    <w:p w14:paraId="408834CA">
      <w:pPr>
        <w:pStyle w:val="16"/>
        <w:spacing w:after="60" w:line="276" w:lineRule="auto"/>
      </w:pPr>
      <w:r>
        <w:rPr>
          <w:rFonts w:ascii="微软雅黑" w:hAnsi="微软雅黑" w:eastAsia="微软雅黑"/>
          <w:b w:val="0"/>
          <w:color w:val="000000"/>
          <w:sz w:val="20"/>
        </w:rPr>
        <w:t>周日晚前：向全队演示本周可运行结果；不接受仅展示 PPT 或伪代码。</w:t>
      </w:r>
    </w:p>
    <w:p w14:paraId="5CB71517">
      <w:pPr>
        <w:pStyle w:val="16"/>
        <w:spacing w:after="60" w:line="276" w:lineRule="auto"/>
      </w:pPr>
      <w:r>
        <w:rPr>
          <w:rFonts w:ascii="微软雅黑" w:hAnsi="微软雅黑" w:eastAsia="微软雅黑"/>
          <w:b w:val="0"/>
          <w:color w:val="000000"/>
          <w:sz w:val="20"/>
        </w:rPr>
        <w:t>高风险结论必须由电气组审核后才可进入最终问题清单和修正 SQL。</w:t>
      </w:r>
    </w:p>
    <w:p w14:paraId="6B15C5E7">
      <w:pPr>
        <w:pStyle w:val="16"/>
        <w:spacing w:after="60" w:line="276" w:lineRule="auto"/>
      </w:pPr>
      <w:r>
        <w:rPr>
          <w:rFonts w:ascii="微软雅黑" w:hAnsi="微软雅黑" w:eastAsia="微软雅黑"/>
          <w:b w:val="0"/>
          <w:color w:val="000000"/>
          <w:sz w:val="20"/>
        </w:rPr>
        <w:t>每次修改拓扑或 SVG 后必须复跑检查，确认未新增悬空、断连、虚假连通或违规合环。</w:t>
      </w: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1037" w:right="1123" w:bottom="1008" w:left="112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7E8DD2">
    <w:pPr>
      <w:pStyle w:val="24"/>
      <w:jc w:val="center"/>
    </w:pPr>
    <w:r>
      <w:rPr>
        <w:rFonts w:ascii="微软雅黑" w:hAnsi="微软雅黑" w:eastAsia="微软雅黑"/>
        <w:b w:val="0"/>
        <w:color w:val="666666"/>
        <w:sz w:val="17"/>
      </w:rPr>
      <w:t>内部工作版本 | 2026年7月20日制定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89FDEC">
    <w:pPr>
      <w:pStyle w:val="25"/>
      <w:jc w:val="right"/>
    </w:pPr>
    <w:r>
      <w:rPr>
        <w:rFonts w:ascii="微软雅黑" w:hAnsi="微软雅黑" w:eastAsia="微软雅黑"/>
        <w:b w:val="0"/>
        <w:color w:val="666666"/>
        <w:sz w:val="17"/>
      </w:rPr>
      <w:t>挑战杯 CP-202606 | 团队执行任务书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1982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1337</Words>
  <Characters>1638</Characters>
  <Lines>0</Lines>
  <Paragraphs>0</Paragraphs>
  <TotalTime>7</TotalTime>
  <ScaleCrop>false</ScaleCrop>
  <LinksUpToDate>false</LinksUpToDate>
  <CharactersWithSpaces>1703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Listen</cp:lastModifiedBy>
  <dcterms:modified xsi:type="dcterms:W3CDTF">2026-07-19T17:40:57Z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eyJoZGlkIjoiMzEwNTM5NzYwMDRjMzkwZTVkZjY2ODkwMGIxNGU0OTUiLCJ1c2VySWQiOiI1NDg2NjE1OTEifQ==</vt:lpwstr>
  </property>
  <property fmtid="{D5CDD505-2E9C-101B-9397-08002B2CF9AE}" pid="3" name="KSOProductBuildVer">
    <vt:lpwstr>2052-12.1.0.26895</vt:lpwstr>
  </property>
  <property fmtid="{D5CDD505-2E9C-101B-9397-08002B2CF9AE}" pid="4" name="ICV">
    <vt:lpwstr>283297210454462186400CAB15FCCA0D_12</vt:lpwstr>
  </property>
</Properties>
</file>