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00"/>
        <w:keepTogether/>
      </w:pPr>
      <w:r>
        <w:rPr>
          <w:rFonts w:ascii="Arial" w:hAnsi="Arial"/>
          <w:sz w:val="32"/>
          <w:color w:val="205D42"/>
          <w:b/>
        </w:rPr>
        <w:t xml:space="preserve">Шкала воспринимаемой социальной поддержки (MSPSS)</w:t>
      </w:r>
    </w:p>
    <w:p>
      <w:pPr>
        <w:spacing w:before="0" w:after="145"/>
        <w:keepTogether/>
      </w:pPr>
      <w:r>
        <w:rPr>
          <w:rFonts w:ascii="Arial" w:hAnsi="Arial"/>
          <w:sz w:val="19"/>
          <w:color w:val="273F31"/>
        </w:rPr>
        <w:t xml:space="preserve">Авторы: Г. Зимет, Н. Далем, С. Зимет, Г. Фарли (1988). Возраст: подростки и взрослые.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Цель методики</w:t>
      </w:r>
    </w:p>
    <w:p>
      <w:pPr>
        <w:spacing w:before="0" w:after="110"/>
        <w:keepTogether/>
      </w:pPr>
      <w:r>
        <w:rPr>
          <w:rFonts w:ascii="Arial" w:hAnsi="Arial"/>
          <w:sz w:val="21"/>
          <w:color w:val="273F31"/>
        </w:rPr>
        <w:t xml:space="preserve">Оценка субъективно воспринимаемой социальной поддержки с выделением трех ее источников: семьи, друзей и значимого человека.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Характеристика методики</w:t>
      </w:r>
    </w:p>
    <w:p>
      <w:pPr>
        <w:spacing w:before="0" w:after="110"/>
        <w:keepTogether/>
      </w:pPr>
      <w:r>
        <w:rPr>
          <w:rFonts w:ascii="Arial" w:hAnsi="Arial"/>
          <w:sz w:val="21"/>
          <w:color w:val="273F31"/>
        </w:rPr>
        <w:t xml:space="preserve">Опросник содержит 12 утверждений и три шкалы. Участник оценивает согласие с каждым утверждением по шкале от 1 до 7. Методика предназначена для подростков и взрослых. Продолжительность обследования ориентировочно 5-10 минут.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Порядок проведения</w:t>
      </w:r>
    </w:p>
    <w:p>
      <w:pPr>
        <w:spacing w:before="0" w:after="110"/>
        <w:keepTogether/>
      </w:pPr>
      <w:r>
        <w:rPr>
          <w:rFonts w:ascii="Arial" w:hAnsi="Arial"/>
          <w:sz w:val="21"/>
          <w:color w:val="273F31"/>
        </w:rPr>
        <w:t xml:space="preserve">Обеспечьте спокойную обстановку и добровольность участия. Предложите ученику бланк, прочитайте инструкцию. Не подсказывайте ответы. Перенесите ответы в обработку по номерам утверждений.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Инструкция для чтения ученику</w:t>
      </w:r>
    </w:p>
    <w:p>
      <w:pPr>
        <w:spacing w:before="0" w:after="110"/>
        <w:keepTogether/>
        <w:shd w:fill="EAF4ED"/>
      </w:pPr>
      <w:r>
        <w:rPr>
          <w:rFonts w:ascii="Arial" w:hAnsi="Arial"/>
          <w:sz w:val="21"/>
          <w:color w:val="273F31"/>
        </w:rPr>
        <w:t xml:space="preserve">«Прочитай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ответов.»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Ключ и подсчет</w:t>
      </w:r>
    </w:p>
    <w:p>
      <w:pPr>
        <w:spacing w:before="0" w:after="105"/>
        <w:keepTogether/>
        <w:shd w:fill="F0F6F1"/>
      </w:pPr>
      <w:r>
        <w:rPr>
          <w:rFonts w:ascii="Arial" w:hAnsi="Arial"/>
          <w:sz w:val="21"/>
          <w:color w:val="273F31"/>
        </w:rPr>
        <w:t xml:space="preserve">Значимый человек: пункты 1, 2, 5, 10 (сумма / 4). Семья: пункты 3, 4, 8, 11 (сумма / 4). Друзья: пункты 6, 7, 9, 12 (сумма / 4). Общий показатель: сумма всех двенадцати ответов / 12. Обратных пунктов нет. При пропусках полный расчет не выполняется.</w:t>
      </w:r>
    </w:p>
    <w:p>
      <w:pPr>
        <w:spacing w:before="145" w:after="95"/>
        <w:keepTogether/>
        <w:keepNext/>
      </w:pPr>
      <w:r>
        <w:rPr>
          <w:rFonts w:ascii="Arial" w:hAnsi="Arial"/>
          <w:sz w:val="26"/>
          <w:color w:val="277A4F"/>
          <w:b/>
        </w:rPr>
        <w:t xml:space="preserve">Интерпретация</w:t>
      </w:r>
    </w:p>
    <w:p>
      <w:pPr>
        <w:spacing w:before="0" w:after="105"/>
        <w:keepTogether/>
      </w:pPr>
      <w:r>
        <w:rPr>
          <w:rFonts w:ascii="Arial" w:hAnsi="Arial"/>
          <w:sz w:val="21"/>
          <w:color w:val="273F31"/>
        </w:rPr>
        <w:t xml:space="preserve">Ориентиры автора по среднему баллу: 1,0-2,9 - низкая воспринимаемая поддержка; 3,0-5,0 - умеренная; 5,1-7,0 - высокая. Это ориентиры интерпретации, а не возрастные нормы. Учитывайте возраст, языковую версию и контекст обследования.</w:t>
      </w:r>
    </w:p>
    <w:p>
      <w:pPr>
        <w:spacing w:before="0" w:after="130"/>
        <w:keepTogether/>
        <w:pageBreakBefore/>
      </w:pPr>
      <w:r>
        <w:rPr>
          <w:rFonts w:ascii="Arial" w:hAnsi="Arial"/>
          <w:sz w:val="32"/>
          <w:color w:val="205D42"/>
          <w:b/>
        </w:rPr>
        <w:t xml:space="preserve">Бланк ответов</w:t>
      </w:r>
    </w:p>
    <w:p>
      <w:pPr>
        <w:spacing w:before="0" w:after="105"/>
        <w:keepTogether/>
      </w:pPr>
      <w:r>
        <w:rPr>
          <w:rFonts w:ascii="Arial" w:hAnsi="Arial"/>
          <w:sz w:val="20"/>
          <w:color w:val="273F31"/>
        </w:rPr>
        <w:t xml:space="preserve">Фамилия, имя: ______________________________ Класс: _________ Дата: _________</w:t>
      </w:r>
    </w:p>
    <w:p>
      <w:pPr>
        <w:spacing w:before="0" w:after="100"/>
        <w:keepTogether/>
      </w:pPr>
      <w:r>
        <w:rPr>
          <w:rFonts w:ascii="Arial" w:hAnsi="Arial"/>
          <w:sz w:val="20"/>
          <w:color w:val="273F31"/>
        </w:rPr>
        <w:t xml:space="preserve">Прочитай предложения. Подумай, насколько ты согласен с каждым из них. Для каждого предложения выбери одну цифру от 1 до 7 и впиши ее в подходящую клетку. Здесь нет правильных и неправильных ответов.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1 - Совсем не согласен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2 - Не согласен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3 - Скорее не согласен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4 - Ни согласен, ни не согласен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5 - Скорее согласен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6 - Согласен</w:t>
      </w:r>
    </w:p>
    <w:p>
      <w:pPr>
        <w:spacing w:before="0" w:after="37"/>
        <w:keepTogether/>
      </w:pPr>
      <w:r>
        <w:rPr>
          <w:rFonts w:ascii="Arial" w:hAnsi="Arial"/>
          <w:sz w:val="18"/>
          <w:color w:val="273F31"/>
        </w:rPr>
        <w:t xml:space="preserve">7 - Полностью согласен</w:t>
      </w:r>
    </w:p>
    <w:tbl>
      <w:tblPr>
        <w:tblW w:w="9990" w:type="dxa"/>
        <w:tblBorders>
          <w:top w:val="single" w:sz="4" w:color="B9D6C2"/>
          <w:left w:val="single" w:sz="4" w:color="B9D6C2"/>
          <w:right w:val="single" w:sz="4" w:color="B9D6C2"/>
          <w:bottom w:val="single" w:sz="4" w:color="B9D6C2"/>
          <w:insideH w:val="single" w:sz="4" w:color="B9D6C2"/>
          <w:insideV w:val="single" w:sz="4" w:color="B9D6C2"/>
        </w:tblBorders>
      </w:tblPr>
      <w:tblGrid>
        <w:gridCol w:w="370"/>
        <w:gridCol w:w="7240"/>
        <w:gridCol w:w="340"/>
        <w:gridCol w:w="340"/>
        <w:gridCol w:w="340"/>
        <w:gridCol w:w="340"/>
        <w:gridCol w:w="340"/>
        <w:gridCol w:w="340"/>
        <w:gridCol w:w="340"/>
      </w:tblGrid>
      <w:tr>
        <w:trPr>
          <w:cantSplit/>
          <w:tblHeader w:val="true"/>
        </w:trPr>
        <w:tc>
          <w:tcPr>
            <w:tcW w:w="37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№</w:t>
            </w:r>
          </w:p>
        </w:tc>
        <w:tc>
          <w:tcPr>
            <w:tcW w:w="72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Утверждение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1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2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3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4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5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6</w:t>
            </w:r>
          </w:p>
        </w:tc>
        <w:tc>
          <w:tcPr>
            <w:tcW w:w="340" w:type="dxa"/>
            <w:vAlign w:val="center"/>
            <w:shd w:fill="EAF3EC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  <w:b/>
              </w:rPr>
              <w:t xml:space="preserve">7</w:t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1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Когда мне нужна помощь, рядом есть особенный для меня человек.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2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Есть особенный для меня человек, с которым я могу разделить радость и печаль.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3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Моя семья действительно старается помогать мне.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4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Я получаю от семьи эмоциональную помощь и поддержку, в которой нуждаюсь.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5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В моей жизни есть особенный человек, который по-настоящему меня утешает.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6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Мои друзья действительно стараются мне помочь.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7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Когда что-то идет не так, я могу рассчитывать на друзей.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8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Я могу обсуждать свои проблемы с семьей.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9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У меня есть друзья, с которыми можно делиться радостью и печалью.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10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В моей жизни есть особенный человек, которому небезразличны мои чувства.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11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Члены моей семьи готовы помогать мне принимать решения.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  <w:tr>
        <w:trPr>
          <w:cantSplit/>
        </w:trPr>
        <w:tc>
          <w:tcPr>
            <w:tcW w:w="37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12</w:t>
            </w:r>
          </w:p>
        </w:tc>
        <w:tc>
          <w:tcPr>
            <w:tcW w:w="72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>Я могу рассказывать друзьям о своих проблемах.</w:t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  <w:tc>
          <w:tcPr>
            <w:tcW w:w="340" w:type="dxa"/>
            <w:vAlign w:val="center"/>
            <w:shd w:fill="FFFFFF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spacing w:before="0" w:after="0"/>
              <w:keepTogether/>
            </w:pPr>
            <w:r>
              <w:rPr>
                <w:rFonts w:ascii="Arial" w:hAnsi="Arial"/>
                <w:sz w:val="17"/>
                <w:color w:val="273F31"/>
              </w:rPr>
              <w:t xml:space="preserve"/>
            </w:r>
          </w:p>
        </w:tc>
      </w:tr>
    </w:tbl>
    <w:sectPr>
      <w:pgSz w:w="11906" w:h="16838"/>
      <w:pgMar w:top="860" w:right="860" w:bottom="860" w:left="860"/>
    </w:sectPr>
  </w:body>
</w:document>
</file>