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180" w:after="145"/>
        <w:keepTogether/>
        <w:keepNext/>
      </w:pPr>
      <w:r>
        <w:rPr>
          <w:rFonts w:ascii="Arial" w:hAnsi="Arial" w:eastAsia="Arial"/>
          <w:sz w:val="31"/>
          <w:color w:val="205D3C"/>
          <w:b/>
        </w:rPr>
        <w:t xml:space="preserve">Шкала воспринимаемой социальной поддержки (MSPSS)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526B5D"/>
          <w:b/>
        </w:rPr>
        <w:t xml:space="preserve">Методика и руководство</w:t>
      </w:r>
    </w:p>
    <w:p>
      <w:pPr>
        <w:spacing w:before="0" w:after="135"/>
        <w:keepTogether/>
      </w:pPr>
      <w:r>
        <w:rPr>
          <w:rFonts w:ascii="Arial" w:hAnsi="Arial" w:eastAsia="Arial"/>
          <w:sz w:val="19"/>
          <w:color w:val="293E33"/>
        </w:rPr>
        <w:t xml:space="preserve">Авторы: Г. Зимет, Н. Далем, С. Зимет, Г. Фарли (1988). Возраст: подростки и взрослые.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Цель методики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293E33"/>
        </w:rPr>
        <w:t xml:space="preserve">Оценка субъективно воспринимаемой социальной поддержки с выделением трех ее источников: семьи, друзей и значимого человека.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Порядок проведения</w:t>
      </w:r>
    </w:p>
    <w:p>
      <w:pPr>
        <w:spacing w:before="0" w:after="135"/>
        <w:keepTogether/>
      </w:pPr>
      <w:r>
        <w:rPr>
          <w:rFonts w:ascii="Arial" w:hAnsi="Arial" w:eastAsia="Arial"/>
          <w:sz w:val="21"/>
          <w:color w:val="293E33"/>
        </w:rPr>
        <w:t xml:space="preserve">Обеспечьте спокойную обстановку. Прочитайте инструкцию и предложите участнику самостоятельно ответить на все 12 утверждений. Не подсказывайте ответы. Внесите результаты по порядку номеров.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Инструкция для чтения ученику</w:t>
      </w:r>
    </w:p>
    <w:p>
      <w:pPr>
        <w:spacing w:before="0" w:after="135"/>
        <w:keepTogether/>
        <w:shd w:fill="EAF4ED"/>
      </w:pPr>
      <w:r>
        <w:rPr>
          <w:rFonts w:ascii="Arial" w:hAnsi="Arial" w:eastAsia="Arial"/>
          <w:sz w:val="22"/>
          <w:color w:val="214F37"/>
        </w:rPr>
        <w:t xml:space="preserve">«Прочитай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ответов.»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Материал методики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1. Когда мне нужна помощь, рядом есть особенный для меня человек.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2. Есть особенный для меня человек, с которым я могу разделить радость и печаль.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3. Моя семья действительно старается помогать мне.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4. Я получаю от семьи эмоциональную помощь и поддержку, в которой нуждаюсь.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5. В моей жизни есть особенный человек, который по-настоящему меня утешает.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6. Мои друзья действительно стараются мне помочь.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7. Когда что-то идет не так, я могу рассчитывать на друзей.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8. Я могу обсуждать свои проблемы с семьей.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9. У меня есть друзья, с которыми можно делиться радостью и печалью.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10. В моей жизни есть особенный человек, которому небезразличны мои чувства.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11. Члены моей семьи готовы помогать мне принимать решения.</w:t>
      </w:r>
    </w:p>
    <w:p>
      <w:pPr>
        <w:spacing w:before="0" w:after="65"/>
        <w:keepTogether/>
        <w:ind w:left="100"/>
      </w:pPr>
      <w:r>
        <w:rPr>
          <w:rFonts w:ascii="Arial" w:hAnsi="Arial" w:eastAsia="Arial"/>
          <w:sz w:val="20"/>
          <w:color w:val="293E33"/>
        </w:rPr>
        <w:t xml:space="preserve">12. Я могу рассказывать друзьям о своих проблемах.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Ключ подсчета</w:t>
      </w:r>
    </w:p>
    <w:tbl>
      <w:tblPr>
        <w:tblW w:w="9740" w:type="dxa"/>
        <w:tblLayout w:type="fixed"/>
        <w:tblBorders>
          <w:top w:val="single" w:sz="5" w:color="C4D8CA"/>
          <w:bottom w:val="single" w:sz="5" w:color="C4D8CA"/>
          <w:left w:val="single" w:sz="5" w:color="C4D8CA"/>
          <w:right w:val="single" w:sz="5" w:color="C4D8CA"/>
          <w:insideH w:val="single" w:sz="5" w:color="C4D8CA"/>
          <w:insideV w:val="single" w:sz="5" w:color="C4D8CA"/>
        </w:tblBorders>
      </w:tblPr>
      <w:tblGrid>
        <w:gridCol w:w="3900"/>
        <w:gridCol w:w="3440"/>
        <w:gridCol w:w="2400"/>
      </w:tblGrid>
      <w:tr>
        <w:trPr>
          <w:cantSplit/>
          <w:tblHeader w:val="true"/>
        </w:trPr>
        <w:tc>
          <w:tcPr>
            <w:tcW w:w="39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Шкала</w:t>
            </w:r>
          </w:p>
        </w:tc>
        <w:tc>
          <w:tcPr>
            <w:tcW w:w="344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Пункты</w:t>
            </w:r>
          </w:p>
        </w:tc>
        <w:tc>
          <w:tcPr>
            <w:tcW w:w="24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Подсчет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Значимый человек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1, 2, 5, 10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Семья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3, 4, 8, 11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Друзья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6, 7, 9, 12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4</w:t>
            </w:r>
          </w:p>
        </w:tc>
      </w:tr>
      <w:tr>
        <w:trPr>
          <w:cantSplit/>
        </w:trPr>
        <w:tc>
          <w:tcPr>
            <w:tcW w:w="39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Общий показатель</w:t>
            </w:r>
          </w:p>
        </w:tc>
        <w:tc>
          <w:tcPr>
            <w:tcW w:w="344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Все 12</w:t>
            </w:r>
          </w:p>
        </w:tc>
        <w:tc>
          <w:tcPr>
            <w:tcW w:w="2400" w:type="dxa"/>
            <w:shd w:fill="FFFFFF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Сумма / 12</w:t>
            </w:r>
          </w:p>
        </w:tc>
      </w:tr>
    </w:tbl>
    <w:p>
      <w:pPr>
        <w:spacing w:before="130" w:after="135"/>
        <w:keepTogether/>
      </w:pPr>
      <w:r>
        <w:rPr>
          <w:rFonts w:ascii="Arial" w:hAnsi="Arial" w:eastAsia="Arial"/>
          <w:sz w:val="20"/>
          <w:color w:val="293E33"/>
        </w:rPr>
        <w:t xml:space="preserve">В каждом пункте ответ от 1 до 7. Обратных пунктов нет. При пропуске хотя бы одного ответа полный подсчет не выполняется.</w:t>
      </w:r>
    </w:p>
    <w:p>
      <w:pPr>
        <w:spacing w:before="180" w:after="75"/>
        <w:keepTogether/>
        <w:keepNext/>
      </w:pPr>
      <w:r>
        <w:rPr>
          <w:rFonts w:ascii="Arial" w:hAnsi="Arial" w:eastAsia="Arial"/>
          <w:sz w:val="25"/>
          <w:color w:val="247A50"/>
          <w:b/>
        </w:rPr>
        <w:t xml:space="preserve">Интерпретация среднего балла</w:t>
      </w:r>
    </w:p>
    <w:tbl>
      <w:tblPr>
        <w:tblW w:w="9740" w:type="dxa"/>
        <w:tblLayout w:type="fixed"/>
        <w:tblBorders>
          <w:top w:val="single" w:sz="5" w:color="C4D8CA"/>
          <w:bottom w:val="single" w:sz="5" w:color="C4D8CA"/>
          <w:left w:val="single" w:sz="5" w:color="C4D8CA"/>
          <w:right w:val="single" w:sz="5" w:color="C4D8CA"/>
          <w:insideH w:val="single" w:sz="5" w:color="C4D8CA"/>
          <w:insideV w:val="single" w:sz="5" w:color="C4D8CA"/>
        </w:tblBorders>
      </w:tblPr>
      <w:tblGrid>
        <w:gridCol w:w="2800"/>
        <w:gridCol w:w="6940"/>
      </w:tblGrid>
      <w:tr>
        <w:trPr>
          <w:cantSplit/>
          <w:tblHeader w:val="true"/>
        </w:trPr>
        <w:tc>
          <w:tcPr>
            <w:tcW w:w="280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Средний балл</w:t>
            </w:r>
          </w:p>
        </w:tc>
        <w:tc>
          <w:tcPr>
            <w:tcW w:w="6940" w:type="dxa"/>
            <w:shd w:fill="E8F2E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1553B"/>
                <w:b/>
              </w:rPr>
              <w:t xml:space="preserve">Ориентир</w:t>
            </w:r>
          </w:p>
        </w:tc>
      </w:tr>
      <w:tr>
        <w:trPr>
          <w:cantSplit/>
        </w:trPr>
        <w:tc>
          <w:tcPr>
            <w:tcW w:w="2800" w:type="dxa"/>
            <w:shd w:fill="F3EA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1,0-2,9</w:t>
            </w:r>
          </w:p>
        </w:tc>
        <w:tc>
          <w:tcPr>
            <w:tcW w:w="6940" w:type="dxa"/>
            <w:shd w:fill="F3EA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Низкая воспринимаемая поддержка</w:t>
            </w:r>
          </w:p>
        </w:tc>
      </w:tr>
      <w:tr>
        <w:trPr>
          <w:cantSplit/>
        </w:trPr>
        <w:tc>
          <w:tcPr>
            <w:tcW w:w="2800" w:type="dxa"/>
            <w:shd w:fill="ECF5E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3,0-5,0</w:t>
            </w:r>
          </w:p>
        </w:tc>
        <w:tc>
          <w:tcPr>
            <w:tcW w:w="6940" w:type="dxa"/>
            <w:shd w:fill="ECF5E9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Умеренная воспринимаемая поддержка</w:t>
            </w:r>
          </w:p>
        </w:tc>
      </w:tr>
      <w:tr>
        <w:trPr>
          <w:cantSplit/>
        </w:trPr>
        <w:tc>
          <w:tcPr>
            <w:tcW w:w="2800" w:type="dxa"/>
            <w:shd w:fill="EAF2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5,1-7,0</w:t>
            </w:r>
          </w:p>
        </w:tc>
        <w:tc>
          <w:tcPr>
            <w:tcW w:w="6940" w:type="dxa"/>
            <w:shd w:fill="EAF2FB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 w:eastAsia="Arial"/>
                <w:sz w:val="19"/>
                <w:color w:val="273C31"/>
              </w:rPr>
              <w:t xml:space="preserve">Высокая воспринимаемая поддержка</w:t>
            </w:r>
          </w:p>
        </w:tc>
      </w:tr>
    </w:tbl>
    <w:p>
      <w:pPr>
        <w:spacing w:before="120" w:after="135"/>
        <w:keepTogether/>
      </w:pPr>
      <w:r>
        <w:rPr>
          <w:rFonts w:ascii="Arial" w:hAnsi="Arial" w:eastAsia="Arial"/>
          <w:sz w:val="19"/>
          <w:color w:val="293E33"/>
        </w:rPr>
        <w:t xml:space="preserve">Эти ориентиры предложены разработчиком; они не являются возрастными или популяционными нормами. Результаты интерпретируются с учетом возраста, языка, условий обследования и других данных.</w:t>
      </w:r>
    </w:p>
    <w:sectPr>
      <w:pgSz w:w="11906" w:h="16838"/>
      <w:pgMar w:top="900" w:right="960" w:bottom="900" w:left="960"/>
    </w:sectPr>
  </w:body>
</w:document>
</file>