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180" w:after="145"/>
        <w:keepTogether/>
        <w:keepNext/>
      </w:pPr>
      <w:r>
        <w:rPr>
          <w:rFonts w:ascii="Arial" w:hAnsi="Arial" w:eastAsia="Arial"/>
          <w:sz w:val="31"/>
          <w:color w:val="205D3C"/>
          <w:b/>
        </w:rPr>
        <w:t xml:space="preserve">Шкала воспринимаемой социальной поддержки (MSPSS)</w:t>
      </w:r>
    </w:p>
    <w:p>
      <w:pPr>
        <w:spacing w:before="0" w:after="135"/>
        <w:keepTogether/>
      </w:pPr>
      <w:r>
        <w:rPr>
          <w:rFonts w:ascii="Arial" w:hAnsi="Arial" w:eastAsia="Arial"/>
          <w:sz w:val="21"/>
          <w:color w:val="526B5D"/>
          <w:b/>
        </w:rPr>
        <w:t xml:space="preserve">Методика и руководство с бланком ответов</w:t>
      </w:r>
    </w:p>
    <w:p>
      <w:pPr>
        <w:spacing w:before="0" w:after="135"/>
        <w:keepTogether/>
      </w:pPr>
      <w:r>
        <w:rPr>
          <w:rFonts w:ascii="Arial" w:hAnsi="Arial" w:eastAsia="Arial"/>
          <w:sz w:val="19"/>
          <w:color w:val="293E33"/>
        </w:rPr>
        <w:t xml:space="preserve">Авторы: Г. Зимет, Н. Далем, С. Зимет, Г. Фарли (1988). Возраст: подростки и взрослые.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Цель методики</w:t>
      </w:r>
    </w:p>
    <w:p>
      <w:pPr>
        <w:spacing w:before="0" w:after="135"/>
        <w:keepTogether/>
      </w:pPr>
      <w:r>
        <w:rPr>
          <w:rFonts w:ascii="Arial" w:hAnsi="Arial" w:eastAsia="Arial"/>
          <w:sz w:val="21"/>
          <w:color w:val="293E33"/>
        </w:rPr>
        <w:t xml:space="preserve">Оценка субъективно воспринимаемой социальной поддержки с выделением трех ее источников: семьи, друзей и значимого человека.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Порядок проведения</w:t>
      </w:r>
    </w:p>
    <w:p>
      <w:pPr>
        <w:spacing w:before="0" w:after="135"/>
        <w:keepTogether/>
      </w:pPr>
      <w:r>
        <w:rPr>
          <w:rFonts w:ascii="Arial" w:hAnsi="Arial" w:eastAsia="Arial"/>
          <w:sz w:val="21"/>
          <w:color w:val="293E33"/>
        </w:rPr>
        <w:t xml:space="preserve">Обеспечьте спокойную обстановку. Прочитайте инструкцию и предложите участнику самостоятельно ответить на все 12 утверждений. Не подсказывайте ответы. Внесите результаты по порядку номеров.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Инструкция для чтения ученику</w:t>
      </w:r>
    </w:p>
    <w:p>
      <w:pPr>
        <w:spacing w:before="0" w:after="135"/>
        <w:keepTogether/>
        <w:shd w:fill="EAF4ED"/>
      </w:pPr>
      <w:r>
        <w:rPr>
          <w:rFonts w:ascii="Arial" w:hAnsi="Arial" w:eastAsia="Arial"/>
          <w:sz w:val="22"/>
          <w:color w:val="214F37"/>
        </w:rPr>
        <w:t xml:space="preserve">«Прочитай предложения. Подумай, насколько ты согласен с каждым из них. Для каждого предложения выбери одну цифру от 1 до 7 и впиши ее в подходящую клетку. Здесь нет правильных и неправильных ответов.»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Материал методики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1. Когда мне нужна помощь, рядом есть особенный для меня человек.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2. Есть особенный для меня человек, с которым я могу разделить радость и печаль.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3. Моя семья действительно старается помогать мне.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4. Я получаю от семьи эмоциональную помощь и поддержку, в которой нуждаюсь.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5. В моей жизни есть особенный человек, который по-настоящему меня утешает.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6. Мои друзья действительно стараются мне помочь.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7. Когда что-то идет не так, я могу рассчитывать на друзей.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8. Я могу обсуждать свои проблемы с семьей.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9. У меня есть друзья, с которыми можно делиться радостью и печалью.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10. В моей жизни есть особенный человек, которому небезразличны мои чувства.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11. Члены моей семьи готовы помогать мне принимать решения.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12. Я могу рассказывать друзьям о своих проблемах.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Ключ подсчета</w:t>
      </w:r>
    </w:p>
    <w:tbl>
      <w:tblPr>
        <w:tblW w:w="9740" w:type="dxa"/>
        <w:tblLayout w:type="fixed"/>
        <w:tblBorders>
          <w:top w:val="single" w:sz="5" w:color="C4D8CA"/>
          <w:bottom w:val="single" w:sz="5" w:color="C4D8CA"/>
          <w:left w:val="single" w:sz="5" w:color="C4D8CA"/>
          <w:right w:val="single" w:sz="5" w:color="C4D8CA"/>
          <w:insideH w:val="single" w:sz="5" w:color="C4D8CA"/>
          <w:insideV w:val="single" w:sz="5" w:color="C4D8CA"/>
        </w:tblBorders>
      </w:tblPr>
      <w:tblGrid>
        <w:gridCol w:w="3900"/>
        <w:gridCol w:w="3440"/>
        <w:gridCol w:w="2400"/>
      </w:tblGrid>
      <w:tr>
        <w:trPr>
          <w:cantSplit/>
          <w:tblHeader w:val="true"/>
        </w:trPr>
        <w:tc>
          <w:tcPr>
            <w:tcW w:w="390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Шкала</w:t>
            </w:r>
          </w:p>
        </w:tc>
        <w:tc>
          <w:tcPr>
            <w:tcW w:w="344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Пункты</w:t>
            </w:r>
          </w:p>
        </w:tc>
        <w:tc>
          <w:tcPr>
            <w:tcW w:w="240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Подсчет</w:t>
            </w:r>
          </w:p>
        </w:tc>
      </w:tr>
      <w:tr>
        <w:trPr>
          <w:cantSplit/>
        </w:trPr>
        <w:tc>
          <w:tcPr>
            <w:tcW w:w="39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Значимый человек</w:t>
            </w:r>
          </w:p>
        </w:tc>
        <w:tc>
          <w:tcPr>
            <w:tcW w:w="344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1, 2, 5, 10</w:t>
            </w:r>
          </w:p>
        </w:tc>
        <w:tc>
          <w:tcPr>
            <w:tcW w:w="24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Сумма / 4</w:t>
            </w:r>
          </w:p>
        </w:tc>
      </w:tr>
      <w:tr>
        <w:trPr>
          <w:cantSplit/>
        </w:trPr>
        <w:tc>
          <w:tcPr>
            <w:tcW w:w="39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Семья</w:t>
            </w:r>
          </w:p>
        </w:tc>
        <w:tc>
          <w:tcPr>
            <w:tcW w:w="344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3, 4, 8, 11</w:t>
            </w:r>
          </w:p>
        </w:tc>
        <w:tc>
          <w:tcPr>
            <w:tcW w:w="24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Сумма / 4</w:t>
            </w:r>
          </w:p>
        </w:tc>
      </w:tr>
      <w:tr>
        <w:trPr>
          <w:cantSplit/>
        </w:trPr>
        <w:tc>
          <w:tcPr>
            <w:tcW w:w="39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Друзья</w:t>
            </w:r>
          </w:p>
        </w:tc>
        <w:tc>
          <w:tcPr>
            <w:tcW w:w="344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6, 7, 9, 12</w:t>
            </w:r>
          </w:p>
        </w:tc>
        <w:tc>
          <w:tcPr>
            <w:tcW w:w="24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Сумма / 4</w:t>
            </w:r>
          </w:p>
        </w:tc>
      </w:tr>
      <w:tr>
        <w:trPr>
          <w:cantSplit/>
        </w:trPr>
        <w:tc>
          <w:tcPr>
            <w:tcW w:w="39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Общий показатель</w:t>
            </w:r>
          </w:p>
        </w:tc>
        <w:tc>
          <w:tcPr>
            <w:tcW w:w="344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Все 12</w:t>
            </w:r>
          </w:p>
        </w:tc>
        <w:tc>
          <w:tcPr>
            <w:tcW w:w="24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Сумма / 12</w:t>
            </w:r>
          </w:p>
        </w:tc>
      </w:tr>
    </w:tbl>
    <w:p>
      <w:pPr>
        <w:spacing w:before="130" w:after="135"/>
        <w:keepTogether/>
      </w:pPr>
      <w:r>
        <w:rPr>
          <w:rFonts w:ascii="Arial" w:hAnsi="Arial" w:eastAsia="Arial"/>
          <w:sz w:val="20"/>
          <w:color w:val="293E33"/>
        </w:rPr>
        <w:t xml:space="preserve">В каждом пункте ответ от 1 до 7. Обратных пунктов нет. При пропуске хотя бы одного ответа полный подсчет не выполняется.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Интерпретация среднего балла</w:t>
      </w:r>
    </w:p>
    <w:tbl>
      <w:tblPr>
        <w:tblW w:w="9740" w:type="dxa"/>
        <w:tblLayout w:type="fixed"/>
        <w:tblBorders>
          <w:top w:val="single" w:sz="5" w:color="C4D8CA"/>
          <w:bottom w:val="single" w:sz="5" w:color="C4D8CA"/>
          <w:left w:val="single" w:sz="5" w:color="C4D8CA"/>
          <w:right w:val="single" w:sz="5" w:color="C4D8CA"/>
          <w:insideH w:val="single" w:sz="5" w:color="C4D8CA"/>
          <w:insideV w:val="single" w:sz="5" w:color="C4D8CA"/>
        </w:tblBorders>
      </w:tblPr>
      <w:tblGrid>
        <w:gridCol w:w="2800"/>
        <w:gridCol w:w="6940"/>
      </w:tblGrid>
      <w:tr>
        <w:trPr>
          <w:cantSplit/>
          <w:tblHeader w:val="true"/>
        </w:trPr>
        <w:tc>
          <w:tcPr>
            <w:tcW w:w="280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Средний балл</w:t>
            </w:r>
          </w:p>
        </w:tc>
        <w:tc>
          <w:tcPr>
            <w:tcW w:w="694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Ориентир</w:t>
            </w:r>
          </w:p>
        </w:tc>
      </w:tr>
      <w:tr>
        <w:trPr>
          <w:cantSplit/>
        </w:trPr>
        <w:tc>
          <w:tcPr>
            <w:tcW w:w="2800" w:type="dxa"/>
            <w:shd w:fill="F3EAF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1,0-2,9</w:t>
            </w:r>
          </w:p>
        </w:tc>
        <w:tc>
          <w:tcPr>
            <w:tcW w:w="6940" w:type="dxa"/>
            <w:shd w:fill="F3EAF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Низкая воспринимаемая поддержка</w:t>
            </w:r>
          </w:p>
        </w:tc>
      </w:tr>
      <w:tr>
        <w:trPr>
          <w:cantSplit/>
        </w:trPr>
        <w:tc>
          <w:tcPr>
            <w:tcW w:w="2800" w:type="dxa"/>
            <w:shd w:fill="ECF5E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3,0-5,0</w:t>
            </w:r>
          </w:p>
        </w:tc>
        <w:tc>
          <w:tcPr>
            <w:tcW w:w="6940" w:type="dxa"/>
            <w:shd w:fill="ECF5E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Умеренная воспринимаемая поддержка</w:t>
            </w:r>
          </w:p>
        </w:tc>
      </w:tr>
      <w:tr>
        <w:trPr>
          <w:cantSplit/>
        </w:trPr>
        <w:tc>
          <w:tcPr>
            <w:tcW w:w="2800" w:type="dxa"/>
            <w:shd w:fill="EAF2F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5,1-7,0</w:t>
            </w:r>
          </w:p>
        </w:tc>
        <w:tc>
          <w:tcPr>
            <w:tcW w:w="6940" w:type="dxa"/>
            <w:shd w:fill="EAF2F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Высокая воспринимаемая поддержка</w:t>
            </w:r>
          </w:p>
        </w:tc>
      </w:tr>
    </w:tbl>
    <w:p>
      <w:pPr>
        <w:spacing w:before="120" w:after="135"/>
        <w:keepTogether/>
      </w:pPr>
      <w:r>
        <w:rPr>
          <w:rFonts w:ascii="Arial" w:hAnsi="Arial" w:eastAsia="Arial"/>
          <w:sz w:val="19"/>
          <w:color w:val="293E33"/>
        </w:rPr>
        <w:t xml:space="preserve">Эти ориентиры предложены разработчиком; они не являются возрастными или популяционными нормами. Результаты интерпретируются с учетом возраста, языка, условий обследования и других данных.</w:t>
      </w:r>
    </w:p>
    <w:p>
      <w:pPr>
        <w:spacing w:before="0" w:after="135"/>
        <w:keepTogether/>
        <w:pageBreakBefore/>
      </w:pPr>
      <w:r>
        <w:rPr>
          <w:rFonts w:ascii="Arial" w:hAnsi="Arial" w:eastAsia="Arial"/>
          <w:sz w:val="31"/>
          <w:color w:val="205D3C"/>
          <w:b/>
        </w:rPr>
        <w:t xml:space="preserve">Бланк ответов</w:t>
      </w:r>
    </w:p>
    <w:p>
      <w:pPr>
        <w:spacing w:before="0" w:after="135"/>
        <w:keepTogether/>
      </w:pPr>
      <w:r>
        <w:rPr>
          <w:rFonts w:ascii="Arial" w:hAnsi="Arial" w:eastAsia="Arial"/>
          <w:sz w:val="20"/>
          <w:color w:val="293E33"/>
        </w:rPr>
        <w:t xml:space="preserve">Фамилия, имя: __________________________________     Класс: _________     Дата: _________</w:t>
      </w:r>
    </w:p>
    <w:p>
      <w:pPr>
        <w:spacing w:before="0" w:after="135"/>
        <w:keepTogether/>
      </w:pPr>
      <w:r>
        <w:rPr>
          <w:rFonts w:ascii="Arial" w:hAnsi="Arial" w:eastAsia="Arial"/>
          <w:sz w:val="20"/>
          <w:color w:val="293E33"/>
        </w:rPr>
        <w:t xml:space="preserve">Прочитай предложения. Подумай, насколько ты согласен с каждым из них. Для каждого предложения выбери одну цифру от 1 до 7 и впиши ее в подходящую клетку. Здесь нет правильных и неправильных ответов.</w:t>
      </w:r>
    </w:p>
    <w:p>
      <w:pPr>
        <w:spacing w:before="0" w:after="45"/>
        <w:keepTogether/>
      </w:pPr>
      <w:r>
        <w:rPr>
          <w:rFonts w:ascii="Arial" w:hAnsi="Arial" w:eastAsia="Arial"/>
          <w:sz w:val="19"/>
          <w:color w:val="293E33"/>
        </w:rPr>
        <w:t xml:space="preserve">1 - Совсем не согласен</w:t>
      </w:r>
    </w:p>
    <w:p>
      <w:pPr>
        <w:spacing w:before="0" w:after="45"/>
        <w:keepTogether/>
      </w:pPr>
      <w:r>
        <w:rPr>
          <w:rFonts w:ascii="Arial" w:hAnsi="Arial" w:eastAsia="Arial"/>
          <w:sz w:val="19"/>
          <w:color w:val="293E33"/>
        </w:rPr>
        <w:t xml:space="preserve">2 - Не согласен</w:t>
      </w:r>
    </w:p>
    <w:p>
      <w:pPr>
        <w:spacing w:before="0" w:after="45"/>
        <w:keepTogether/>
      </w:pPr>
      <w:r>
        <w:rPr>
          <w:rFonts w:ascii="Arial" w:hAnsi="Arial" w:eastAsia="Arial"/>
          <w:sz w:val="19"/>
          <w:color w:val="293E33"/>
        </w:rPr>
        <w:t xml:space="preserve">3 - Скорее не согласен</w:t>
      </w:r>
    </w:p>
    <w:p>
      <w:pPr>
        <w:spacing w:before="0" w:after="45"/>
        <w:keepTogether/>
      </w:pPr>
      <w:r>
        <w:rPr>
          <w:rFonts w:ascii="Arial" w:hAnsi="Arial" w:eastAsia="Arial"/>
          <w:sz w:val="19"/>
          <w:color w:val="293E33"/>
        </w:rPr>
        <w:t xml:space="preserve">4 - Ни согласен, ни не согласен</w:t>
      </w:r>
    </w:p>
    <w:p>
      <w:pPr>
        <w:spacing w:before="0" w:after="45"/>
        <w:keepTogether/>
      </w:pPr>
      <w:r>
        <w:rPr>
          <w:rFonts w:ascii="Arial" w:hAnsi="Arial" w:eastAsia="Arial"/>
          <w:sz w:val="19"/>
          <w:color w:val="293E33"/>
        </w:rPr>
        <w:t xml:space="preserve">5 - Скорее согласен</w:t>
      </w:r>
    </w:p>
    <w:p>
      <w:pPr>
        <w:spacing w:before="0" w:after="45"/>
        <w:keepTogether/>
      </w:pPr>
      <w:r>
        <w:rPr>
          <w:rFonts w:ascii="Arial" w:hAnsi="Arial" w:eastAsia="Arial"/>
          <w:sz w:val="19"/>
          <w:color w:val="293E33"/>
        </w:rPr>
        <w:t xml:space="preserve">6 - Согласен</w:t>
      </w:r>
    </w:p>
    <w:p>
      <w:pPr>
        <w:spacing w:before="0" w:after="45"/>
        <w:keepTogether/>
      </w:pPr>
      <w:r>
        <w:rPr>
          <w:rFonts w:ascii="Arial" w:hAnsi="Arial" w:eastAsia="Arial"/>
          <w:sz w:val="19"/>
          <w:color w:val="293E33"/>
        </w:rPr>
        <w:t xml:space="preserve">7 - Полностью согласен</w:t>
      </w:r>
    </w:p>
    <w:tbl>
      <w:tblPr>
        <w:tblW w:w="9755" w:type="dxa"/>
        <w:tblLayout w:type="fixed"/>
        <w:tblBorders>
          <w:top w:val="single" w:sz="5" w:color="C4D8CA"/>
          <w:bottom w:val="single" w:sz="5" w:color="C4D8CA"/>
          <w:left w:val="single" w:sz="5" w:color="C4D8CA"/>
          <w:right w:val="single" w:sz="5" w:color="C4D8CA"/>
          <w:insideH w:val="single" w:sz="5" w:color="C4D8CA"/>
          <w:insideV w:val="single" w:sz="5" w:color="C4D8CA"/>
        </w:tblBorders>
      </w:tblPr>
      <w:tblGrid>
        <w:gridCol w:w="350"/>
        <w:gridCol w:w="6780"/>
        <w:gridCol w:w="375"/>
        <w:gridCol w:w="375"/>
        <w:gridCol w:w="375"/>
        <w:gridCol w:w="375"/>
        <w:gridCol w:w="375"/>
        <w:gridCol w:w="375"/>
        <w:gridCol w:w="375"/>
      </w:tblGrid>
      <w:tr>
        <w:trPr>
          <w:cantSplit/>
          <w:tblHeader w:val="true"/>
        </w:trPr>
        <w:tc>
          <w:tcPr>
            <w:tcW w:w="35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№</w:t>
            </w:r>
          </w:p>
        </w:tc>
        <w:tc>
          <w:tcPr>
            <w:tcW w:w="678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Утверждение</w:t>
            </w:r>
          </w:p>
        </w:tc>
        <w:tc>
          <w:tcPr>
            <w:tcW w:w="375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1</w:t>
            </w:r>
          </w:p>
        </w:tc>
        <w:tc>
          <w:tcPr>
            <w:tcW w:w="375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2</w:t>
            </w:r>
          </w:p>
        </w:tc>
        <w:tc>
          <w:tcPr>
            <w:tcW w:w="375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3</w:t>
            </w:r>
          </w:p>
        </w:tc>
        <w:tc>
          <w:tcPr>
            <w:tcW w:w="375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4</w:t>
            </w:r>
          </w:p>
        </w:tc>
        <w:tc>
          <w:tcPr>
            <w:tcW w:w="375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5</w:t>
            </w:r>
          </w:p>
        </w:tc>
        <w:tc>
          <w:tcPr>
            <w:tcW w:w="375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6</w:t>
            </w:r>
          </w:p>
        </w:tc>
        <w:tc>
          <w:tcPr>
            <w:tcW w:w="375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1553B"/>
                <w:b/>
              </w:rPr>
              <w:t xml:space="preserve">7</w:t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1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Когда мне нужна помощь, рядом есть особенный для меня человек.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2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Есть особенный для меня человек, с которым я могу разделить радость и печаль.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3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Моя семья действительно старается помогать мне.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4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Я получаю от семьи эмоциональную помощь и поддержку, в которой нуждаюсь.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5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В моей жизни есть особенный человек, который по-настоящему меня утешает.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6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Мои друзья действительно стараются мне помочь.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7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Когда что-то идет не так, я могу рассчитывать на друзей.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8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Я могу обсуждать свои проблемы с семьей.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9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У меня есть друзья, с которыми можно делиться радостью и печалью.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10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В моей жизни есть особенный человек, которому небезразличны мои чувства.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11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Члены моей семьи готовы помогать мне принимать решения.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  <w:tr>
        <w:trPr>
          <w:cantSplit/>
        </w:trPr>
        <w:tc>
          <w:tcPr>
            <w:tcW w:w="35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12</w:t>
            </w:r>
          </w:p>
        </w:tc>
        <w:tc>
          <w:tcPr>
            <w:tcW w:w="678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>Я могу рассказывать друзьям о своих проблемах.</w:t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  <w:tc>
          <w:tcPr>
            <w:tcW w:w="375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6"/>
                <w:color w:val="273C31"/>
              </w:rPr>
              <w:t xml:space="preserve"/>
            </w:r>
          </w:p>
        </w:tc>
      </w:tr>
    </w:tbl>
    <w:sectPr>
      <w:pgSz w:w="11906" w:h="16838"/>
      <w:pgMar w:top="900" w:right="960" w:bottom="900" w:left="960"/>
    </w:sectPr>
  </w:body>
</w:document>
</file>