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50"/>
      </w:pPr>
      <w:r>
        <w:t xml:space="preserve">SNAP-IV-26</w:t>
      </w:r>
    </w:p>
    <w:p>
      <w:pPr>
        <w:pStyle w:val="Subtitle"/>
        <w:spacing w:after="150"/>
      </w:pPr>
      <w:r>
        <w:t xml:space="preserve">Методика оценки поведения ребенка · формы для родителей и педагогов</w:t>
      </w:r>
    </w:p>
    <w:p>
      <w:pPr>
        <w:pStyle w:val="Normal"/>
        <w:spacing w:after="150"/>
      </w:pPr>
      <w:r>
        <w:t xml:space="preserve">Психотека | руководство специалисту | версия 25.10.2026</w:t>
      </w:r>
    </w:p>
    <w:p>
      <w:pPr>
        <w:pStyle w:val="Heading1"/>
        <w:spacing w:after="150"/>
        <w:keepNext/>
      </w:pPr>
      <w:r>
        <w:t xml:space="preserve">Назначение и авторство</w:t>
      </w:r>
    </w:p>
    <w:p>
      <w:pPr>
        <w:pStyle w:val="Normal"/>
        <w:spacing w:after="150"/>
      </w:pPr>
      <w:r>
        <w:t xml:space="preserve">SNAP-IV - сокращенная 26-пунктная версия опросника Swanson, Nolan and Pelham. Первоначальные разработки связывают с Дж. М. Свенсоном и коллегами. Опросник основан на группировках симптомов DSM-IV и служит для скрининга и мониторинга поведения, а не для постановки диагноза.</w:t>
      </w:r>
    </w:p>
    <w:p>
      <w:pPr>
        <w:pStyle w:val="Normal"/>
        <w:spacing w:after="150"/>
      </w:pPr>
      <w:r>
        <w:t xml:space="preserve">Проводится со взрослыми информантами: родителем и/или педагогом ребенка. Формы оцениваются независимо, так как описывают поведение в разных обстоятельствах.</w:t>
      </w:r>
    </w:p>
    <w:p>
      <w:pPr>
        <w:pStyle w:val="Heading1"/>
        <w:spacing w:after="150"/>
        <w:keepNext/>
      </w:pPr>
      <w:r>
        <w:t xml:space="preserve">Состав комплекта</w:t>
      </w:r>
    </w:p>
    <w:p>
      <w:pPr>
        <w:pStyle w:val="Normal"/>
        <w:spacing w:after="150"/>
      </w:pPr>
      <w:r>
        <w:t xml:space="preserve">1. Портфолио методики: авторы, возрастная применимость, цель, три сферы поведения и первоисточник.</w:t>
      </w:r>
    </w:p>
    <w:p>
      <w:pPr>
        <w:pStyle w:val="Normal"/>
        <w:spacing w:after="150"/>
      </w:pPr>
      <w:r>
        <w:t xml:space="preserve">2. Исходная англоязычная форма из UCSF (26 утверждений и инструкция) доступна по ссылке. Ее следует предъявлять целиком либо использовать проверенную возрастную и языковую адаптацию.</w:t>
      </w:r>
    </w:p>
    <w:p>
      <w:pPr>
        <w:pStyle w:val="Normal"/>
        <w:spacing w:after="150"/>
      </w:pPr>
      <w:r>
        <w:t xml:space="preserve">3. Отдельные регистрационные листы А4 для родителя и педагога, где отмечаются цифры напротив номеров оригинальных утверждений. Они НЕ заменяют полного опросника и не являются переводом.</w:t>
      </w:r>
    </w:p>
    <w:p>
      <w:pPr>
        <w:pStyle w:val="Normal"/>
        <w:spacing w:after="150"/>
      </w:pPr>
      <w:r>
        <w:t xml:space="preserve">4. Онлайн-калькулятор Психотеки: два независимых набора ответов на одного ребенка, три подшкалы, групповая таблица, локальная выгрузка CSV и индивидуальный HTML-протокол.</w:t>
      </w:r>
    </w:p>
    <w:p>
      <w:pPr>
        <w:pStyle w:val="Heading1"/>
        <w:spacing w:after="150"/>
        <w:keepNext/>
      </w:pPr>
      <w:r>
        <w:t xml:space="preserve">Подготовка и этика</w:t>
      </w:r>
    </w:p>
    <w:p>
      <w:pPr>
        <w:pStyle w:val="Normal"/>
        <w:spacing w:after="150"/>
      </w:pPr>
      <w:r>
        <w:t xml:space="preserve">Уточните цель, возраст, язык и условия проведения. Получите необходимые согласия на работу с информацией о ребенке и используйте защищенный порядок хранения документов. Для передачи или демонстрации результатов применяйте коды, а не ФИО.</w:t>
      </w:r>
    </w:p>
    <w:p>
      <w:pPr>
        <w:pStyle w:val="Normal"/>
        <w:spacing w:after="150"/>
      </w:pPr>
      <w:r>
        <w:t xml:space="preserve">Не позволяйте взрослым согласовывать ответы до заполнения. Различия ответов родителей и педагогов - важное контекстное наблюдение, а не доказательство недостоверности одного из информантов.</w:t>
      </w:r>
    </w:p>
    <w:p>
      <w:pPr>
        <w:pStyle w:val="Heading1"/>
        <w:spacing w:after="150"/>
        <w:keepNext/>
      </w:pPr>
      <w:r>
        <w:t xml:space="preserve">Инструкция взрослому</w:t>
      </w:r>
    </w:p>
    <w:p>
      <w:pPr>
        <w:pStyle w:val="Normal"/>
        <w:spacing w:after="150"/>
      </w:pPr>
      <w:r>
        <w:t xml:space="preserve">Оцените каждое из 26 утверждений проверенного полного опросника применительно к поведению ребенка в тех ситуациях, которые вы наблюдали. Отметьте один из четырех вариантов: 0 - совсем нет; 1 - немного; 2 - заметно; 3 - сильно выражено. Не пропускайте пункты и не обменивайтесь ответами с другим информантом.</w:t>
      </w:r>
    </w:p>
    <w:p>
      <w:pPr>
        <w:pStyle w:val="Heading1"/>
        <w:spacing w:after="150"/>
        <w:keepNext/>
      </w:pPr>
      <w:r>
        <w:t xml:space="preserve">Проведение и ввод</w:t>
      </w:r>
    </w:p>
    <w:p>
      <w:pPr>
        <w:pStyle w:val="Normal"/>
        <w:spacing w:after="150"/>
      </w:pPr>
      <w:r>
        <w:t xml:space="preserve">1. Укажите код ребенка и тип информанта: родитель либо педагог. Раздайте соответствующие отдельные бланки.</w:t>
      </w:r>
    </w:p>
    <w:p>
      <w:pPr>
        <w:pStyle w:val="Normal"/>
        <w:spacing w:after="150"/>
      </w:pPr>
      <w:r>
        <w:t xml:space="preserve">2. Предъявите оригинальную английскую форму SNAP-IV-26 либо отдельно проверенную русскую адаптацию. Текст тематических подсказок на сайте не должен предъявляться вместо авторских пунктов.</w:t>
      </w:r>
    </w:p>
    <w:p>
      <w:pPr>
        <w:pStyle w:val="Normal"/>
        <w:spacing w:after="150"/>
      </w:pPr>
      <w:r>
        <w:t xml:space="preserve">3. Ответы переносите в Психотеку строго в порядке 1-26. Один ответ: 0, 1, 2 либо 3. Для отсутствующего ответа оставьте пустое поле; не заменяйте нулем.</w:t>
      </w:r>
    </w:p>
    <w:p>
      <w:pPr>
        <w:pStyle w:val="Normal"/>
        <w:spacing w:after="150"/>
      </w:pPr>
      <w:r>
        <w:t xml:space="preserve">4. При необходимости заполните форму второго информанта для того же кода ребенка: два набора сохраняются отдельно в текущей открытой вкладке.</w:t>
      </w:r>
    </w:p>
    <w:p>
      <w:pPr>
        <w:pStyle w:val="Normal"/>
        <w:spacing w:after="150"/>
      </w:pPr>
      <w:r>
        <w:t xml:space="preserve">5. Скачайте индивидуальный протокол и групповую таблицу. Данные остаются в браузере в пределах активной сессии, но выгруженные файлы содержат чувствительную информацию и требуют защиты.</w:t>
      </w:r>
    </w:p>
    <w:p>
      <w:pPr>
        <w:pStyle w:val="Heading1"/>
        <w:spacing w:after="150"/>
        <w:keepNext/>
      </w:pPr>
      <w:r>
        <w:t xml:space="preserve">Ключ подсчета</w:t>
      </w:r>
    </w:p>
    <w:p>
      <w:pPr>
        <w:pStyle w:val="Normal"/>
        <w:spacing w:after="150"/>
      </w:pPr>
      <w:r>
        <w:t xml:space="preserve">Шкала 1. Невнимательность: пункты 1-9. Сумма = баллы 1+...+9 (0-27); средний балл = сумма / 9 (0-3).</w:t>
      </w:r>
    </w:p>
    <w:p>
      <w:pPr>
        <w:pStyle w:val="Normal"/>
        <w:spacing w:after="150"/>
      </w:pPr>
      <w:r>
        <w:t xml:space="preserve">Шкала 2. Гиперактивность / импульсивность: пункты 10-18. Сумма = баллы 10+...+18 (0-27); средний балл = сумма / 9 (0-3).</w:t>
      </w:r>
    </w:p>
    <w:p>
      <w:pPr>
        <w:pStyle w:val="Normal"/>
        <w:spacing w:after="150"/>
      </w:pPr>
      <w:r>
        <w:t xml:space="preserve">Шкала 3. Оппозиционное поведение: пункты 19-26. Сумма = баллы 19+...+26 (0-24); средний балл = сумма / 8 (0-3).</w:t>
      </w:r>
    </w:p>
    <w:p>
      <w:pPr>
        <w:pStyle w:val="Normal"/>
        <w:spacing w:after="150"/>
      </w:pPr>
      <w:r>
        <w:t xml:space="preserve">Дополнительно выводится сумма по всем 26 пунктам от 0 до 78; она носит описательный характер и не является отдельной клинической диагностической шкалой с универсальным порогом.</w:t>
      </w:r>
    </w:p>
    <w:p>
      <w:pPr>
        <w:pStyle w:val="Normal"/>
        <w:spacing w:after="150"/>
      </w:pPr>
      <w:r>
        <w:t xml:space="preserve">Подсчет только по полностью заполненным 26 пунктам для выбранного информанта. Любой пустой, отрицательный, нецелый ответ или число выше 3 блокирует расчет этой формы. Для второй формы проверка независимая.</w:t>
      </w:r>
    </w:p>
    <w:p>
      <w:pPr>
        <w:pStyle w:val="Heading1"/>
        <w:spacing w:after="150"/>
        <w:keepNext/>
      </w:pPr>
      <w:r>
        <w:t xml:space="preserve">Контрольные примеры</w:t>
      </w:r>
    </w:p>
    <w:p>
      <w:pPr>
        <w:pStyle w:val="Normal"/>
        <w:spacing w:after="150"/>
      </w:pPr>
      <w:r>
        <w:t xml:space="preserve">Все ответы равны 0: невнимательность 0/27 (среднее 0,00), гиперактивность 0/27 (0,00), оппозиционное поведение 0/24 (0,00).</w:t>
      </w:r>
    </w:p>
    <w:p>
      <w:pPr>
        <w:pStyle w:val="Normal"/>
        <w:spacing w:after="150"/>
      </w:pPr>
      <w:r>
        <w:t xml:space="preserve">Все ответы равны 3: соответственно 27/27 (3,00), 27/27 (3,00), 24/24 (3,00), общая сумма 78.</w:t>
      </w:r>
    </w:p>
    <w:p>
      <w:pPr>
        <w:pStyle w:val="Normal"/>
        <w:spacing w:after="150"/>
      </w:pPr>
      <w:r>
        <w:t xml:space="preserve">Пункты 1-9 равны 1, пункты 10-18 равны 2, пункты 19-26 равны 3: суммы 9/27, 18/27, 24/24; средние 1,00; 2,00; 3,00; общая сумма 51.</w:t>
      </w:r>
    </w:p>
    <w:p>
      <w:pPr>
        <w:pStyle w:val="Heading1"/>
        <w:spacing w:after="150"/>
        <w:keepNext/>
      </w:pPr>
      <w:r>
        <w:t xml:space="preserve">Ограничения интерпретации</w:t>
      </w:r>
    </w:p>
    <w:p>
      <w:pPr>
        <w:pStyle w:val="Normal"/>
        <w:spacing w:after="150"/>
      </w:pPr>
      <w:r>
        <w:t xml:space="preserve">Шкала служит для структурированного наблюдения. Баллы отражают мнение оценивающего, не устанавливают диагноз СДВГ, его подтип или оппозиционно-вызывающее расстройство. Нужна профессиональная комплексная оценка в нескольких ситуациях.</w:t>
      </w:r>
    </w:p>
    <w:p>
      <w:pPr>
        <w:pStyle w:val="Normal"/>
        <w:spacing w:after="150"/>
      </w:pPr>
      <w:r>
        <w:t xml:space="preserve">В публикациях приводятся разные пороговые значения, нередко зависящие от типа информанта, выборки и языка. Чтобы не использовать неподходящие нормы, данная версия Психотеки автоматически показывает только суммы и средние значения, без ярлыков уровней и диагноза.</w:t>
      </w:r>
    </w:p>
    <w:p>
      <w:pPr>
        <w:pStyle w:val="Normal"/>
        <w:spacing w:after="150"/>
      </w:pPr>
      <w:r>
        <w:t xml:space="preserve">Не усредняйте родительскую и педагогическую формы. Обсуждайте сходство/расхождение показателей как разные контексты, не делайте вывод об обмане по одному расхождению.</w:t>
      </w:r>
    </w:p>
    <w:p>
      <w:pPr>
        <w:pStyle w:val="Heading1"/>
        <w:spacing w:after="150"/>
        <w:keepNext/>
      </w:pPr>
      <w:r>
        <w:t xml:space="preserve">Протокол</w:t>
      </w:r>
    </w:p>
    <w:p>
      <w:pPr>
        <w:pStyle w:val="Normal"/>
        <w:spacing w:after="150"/>
      </w:pPr>
      <w:r>
        <w:t xml:space="preserve">Код ребенка: _____________________ Класс/возраст: __________ Дата: __________</w:t>
      </w:r>
    </w:p>
    <w:p>
      <w:pPr>
        <w:pStyle w:val="Normal"/>
        <w:spacing w:after="150"/>
      </w:pPr>
      <w:r>
        <w:t xml:space="preserve">Тип информанта: [ ] родитель [ ] педагог. Использованная версия/язык: ________________________</w:t>
      </w:r>
    </w:p>
    <w:p>
      <w:pPr>
        <w:pStyle w:val="Normal"/>
        <w:spacing w:after="150"/>
      </w:pPr>
      <w:r>
        <w:t xml:space="preserve">Невнимательность: сумма ______ /27; средний балл ______ /3.</w:t>
      </w:r>
    </w:p>
    <w:p>
      <w:pPr>
        <w:pStyle w:val="Normal"/>
        <w:spacing w:after="150"/>
      </w:pPr>
      <w:r>
        <w:t xml:space="preserve">Гиперактивность / импульсивность: сумма ______ /27; средний балл ______ /3.</w:t>
      </w:r>
    </w:p>
    <w:p>
      <w:pPr>
        <w:pStyle w:val="Normal"/>
        <w:spacing w:after="150"/>
      </w:pPr>
      <w:r>
        <w:t xml:space="preserve">Оппозиционное поведение: сумма ______ /24; средний балл ______ /3.</w:t>
      </w:r>
    </w:p>
    <w:p>
      <w:pPr>
        <w:pStyle w:val="Normal"/>
        <w:spacing w:after="150"/>
      </w:pPr>
      <w:r>
        <w:t xml:space="preserve">Дополнительные наблюдения и ограничения данных: ____________________________________________</w:t>
      </w:r>
    </w:p>
    <w:p>
      <w:pPr>
        <w:pStyle w:val="Heading1"/>
        <w:spacing w:after="150"/>
        <w:keepNext/>
      </w:pPr>
      <w:r>
        <w:t xml:space="preserve">Источники</w:t>
      </w:r>
    </w:p>
    <w:p>
      <w:pPr>
        <w:pStyle w:val="Normal"/>
        <w:spacing w:after="150"/>
      </w:pPr>
      <w:r>
        <w:t xml:space="preserve">Swanson, Nolan, Pelham. SNAP-IV 26-Item Teacher and Parent Rating Scale: UCSF Child and Adolescent Psychiatry Portal, оригинальный бланк и схема подсчета.</w:t>
      </w:r>
    </w:p>
    <w:p>
      <w:pPr>
        <w:pStyle w:val="Normal"/>
        <w:spacing w:after="150"/>
      </w:pPr>
      <w:r>
        <w:t xml:space="preserve">https://capp.ucsf.edu/sites/g/files/tkssra5836/f/SNAP-IV-26-item-Teacher-and-Parent-rating-scale.pdf</w:t>
      </w:r>
    </w:p>
    <w:p>
      <w:pPr>
        <w:pStyle w:val="Normal"/>
        <w:spacing w:after="150"/>
      </w:pPr>
      <w:r>
        <w:t xml:space="preserve">CADDRA: SNAP-IV 26 Rating Scale Scoring Instructions - расчет средних значений по группам пунктов.</w:t>
      </w:r>
    </w:p>
    <w:p>
      <w:pPr>
        <w:pStyle w:val="Normal"/>
        <w:spacing w:after="150"/>
      </w:pPr>
      <w:r>
        <w:t xml:space="preserve">https://caddra.ca/pdfs/downloads/SNAP_IV_Instructions.pdf</w:t>
      </w:r>
    </w:p>
    <w:p>
      <w:pPr>
        <w:pStyle w:val="Normal"/>
        <w:spacing w:after="150"/>
      </w:pPr>
      <w:r>
        <w:t xml:space="preserve">Важное замечание: данные тематических подсказок на сайте не являются полным текстом стандартизированного русского перевода.</w:t>
      </w:r>
    </w:p>
    <w:sectPr>
      <w:pgSz w:w="11906" w:h="16838"/>
      <w:pgMar w:top="1250" w:bottom="1250" w:left="1350" w:right="13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1"/>
      </w:rPr>
    </w:rPrDefault>
  </w:docDefaults>
  <w:style w:type="paragraph" w:styleId="Normal" w:default="1">
    <w:name w:val="Normal"/>
  </w:style>
  <w:style w:type="paragraph" w:styleId="Title">
    <w:name w:val="Title"/>
    <w:basedOn w:val="Normal"/>
    <w:rPr>
      <w:b/>
      <w:color w:val="236846"/>
      <w:sz w:val="36"/>
    </w:rPr>
  </w:style>
  <w:style w:type="paragraph" w:styleId="Subtitle">
    <w:name w:val="Subtitle"/>
    <w:basedOn w:val="Normal"/>
    <w:rPr>
      <w:color w:val="637A6D"/>
      <w:sz w:val="25"/>
    </w:rPr>
  </w:style>
  <w:style w:type="paragraph" w:styleId="Heading1">
    <w:name w:val="Heading 1"/>
    <w:basedOn w:val="Normal"/>
    <w:rPr>
      <w:b/>
      <w:color w:val="236846"/>
      <w:sz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