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70" w:line="270" w:lineRule="auto"/>
      </w:pPr>
      <w:r>
        <w:rPr>
          <w:rFonts w:ascii="Calibri" w:hAnsi="Calibri" w:eastAsia="Calibri"/>
          <w:sz w:val="36"/>
          <w:b/>
          <w:color w:val="1F6548"/>
        </w:rPr>
        <w:t xml:space="preserve">Таблицы Шульте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Диагностическая проба внимания · руководство и протокол · Психотека</w:t>
      </w:r>
    </w:p>
    <w:p>
      <w:pPr>
        <w:spacing w:before="235" w:after="100" w:line="270" w:lineRule="auto"/>
        <w:keepNext/>
      </w:pPr>
      <w:r>
        <w:rPr>
          <w:rFonts w:ascii="Calibri" w:hAnsi="Calibri" w:eastAsia="Calibri"/>
          <w:sz w:val="25"/>
          <w:b/>
          <w:color w:val="1F6548"/>
        </w:rPr>
        <w:t xml:space="preserve">Паспорт методики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Разработчик: В. Шульте (Walter Schulte). Вид: табличная диагностическая проба внимания и темпа зрительного поиска. Возраст: при сформированном понимании чисел от 1 до 25; для нормированных выводов требуется возрастное руководство выбранной версии.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Цель: описание скорости последовательного поиска чисел и динамики времени при повторении задания. Объем: пять таблиц по 25 чисел, в каждой по одному числу от 1 до 25.</w:t>
      </w:r>
    </w:p>
    <w:p>
      <w:pPr>
        <w:spacing w:before="235" w:after="100" w:line="270" w:lineRule="auto"/>
        <w:keepNext/>
      </w:pPr>
      <w:r>
        <w:rPr>
          <w:rFonts w:ascii="Calibri" w:hAnsi="Calibri" w:eastAsia="Calibri"/>
          <w:sz w:val="25"/>
          <w:b/>
          <w:color w:val="1F6548"/>
        </w:rPr>
        <w:t xml:space="preserve">Материалы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Файл «schulte_5_tables_student.html»: пять отдельных страниц А4, по одной матрице на страницу. Распечатайте без изменения размера. Дополнительно нужны секундомер и протокол психолога. Матричный набор взят из опубликованного методического комплекта ppms22.ru, не смешивается с другими вариантами.</w:t>
      </w:r>
    </w:p>
    <w:p>
      <w:pPr>
        <w:spacing w:before="235" w:after="100" w:line="270" w:lineRule="auto"/>
        <w:keepNext/>
      </w:pPr>
      <w:r>
        <w:rPr>
          <w:rFonts w:ascii="Calibri" w:hAnsi="Calibri" w:eastAsia="Calibri"/>
          <w:sz w:val="25"/>
          <w:b/>
          <w:color w:val="1F6548"/>
        </w:rPr>
        <w:t xml:space="preserve">Инструкция и проведение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1. Убедитесь, что испытуемый может узнавать и называть числа от 1 до 25. Положите первую таблицу перед испытуемым, оставив остальные закрытыми.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2. Дайте инструкцию: «Покажи и назови все числа от 1 до 25 по порядку как можно быстрее и без ошибок». Одновременно с открытием таблицы включите секундомер.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3. Дождитесь обнаружения и называния числа 25. Остановите секундомер и запишите время с точностью до десятых секунды (если используемый секундомер это позволяет).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4. Запишите число ошибок — пропуски, неверные указания или нарушения порядка; определение ошибки зафиксируйте заранее и применяйте одинаково ко всем участникам.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5. Предъявите таблицы 2–5 последовательно, без повторного объяснения задания. Записывайте Т2–Т5 и ошибки отдельно. Не показывайте следующую таблицу до завершения предыдущей.</w:t>
      </w:r>
    </w:p>
    <w:p>
      <w:pPr>
        <w:spacing w:before="235" w:after="100" w:line="270" w:lineRule="auto"/>
        <w:keepNext/>
      </w:pPr>
      <w:r>
        <w:rPr>
          <w:rFonts w:ascii="Calibri" w:hAnsi="Calibri" w:eastAsia="Calibri"/>
          <w:sz w:val="25"/>
          <w:b/>
          <w:color w:val="1F6548"/>
        </w:rPr>
        <w:t xml:space="preserve">Количественная обработка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Эффективность работы (ЭР, сек.) = (Т1 + Т2 + Т3 + Т4 + Т5) / 5.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Врабатываемость (ВР) = Т1 / ЭР.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Динамический показатель психической устойчивости (ПУ) = Т4 / ЭР.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Дополнительно: Т5 − Т1 (изменение времени от первой к пятой таблице). Ошибки записываются отдельно и НЕ вычитаются из времени; отсутствие записанных ошибок не равно нулю ошибок.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Формулы описывают конкретную последовательность выполнения. Чем больше затраченное время, тем медленнее поиск в данной процедуре. Автоматически не присваиваются уровни «норма» или «нарушение».</w:t>
      </w:r>
    </w:p>
    <w:p>
      <w:pPr>
        <w:spacing w:before="235" w:after="100" w:line="270" w:lineRule="auto"/>
        <w:keepNext/>
      </w:pPr>
      <w:r>
        <w:rPr>
          <w:rFonts w:ascii="Calibri" w:hAnsi="Calibri" w:eastAsia="Calibri"/>
          <w:sz w:val="25"/>
          <w:b/>
          <w:color w:val="1F6548"/>
        </w:rPr>
        <w:t xml:space="preserve">Протокол обследования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Код участника: ______________________ Класс / возраст: __________ Дата: ________________</w:t>
      </w:r>
    </w:p>
    <w:tbl>
      <w:tblPr>
        <w:tblW w:type="dxa" w:w="9450"/>
        <w:tblBorders>
          <w:top w:val="single" w:sz="5" w:color="85B19A"/>
          <w:bottom w:val="single" w:sz="5" w:color="85B19A"/>
          <w:insideH w:val="single" w:sz="4" w:color="B8CFBF"/>
          <w:insideV w:val="single" w:sz="4" w:color="B8CFBF"/>
        </w:tblBorders>
      </w:tblPr>
      <w:tr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Таблица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Время Тi, сек.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Ошибки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Наблюдения</w:t>
            </w:r>
          </w:p>
        </w:tc>
      </w:tr>
      <w:tr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1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____________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____________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____________</w:t>
            </w:r>
          </w:p>
        </w:tc>
      </w:tr>
      <w:tr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2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____________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____________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____________</w:t>
            </w:r>
          </w:p>
        </w:tc>
      </w:tr>
      <w:tr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3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____________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____________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____________</w:t>
            </w:r>
          </w:p>
        </w:tc>
      </w:tr>
      <w:tr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4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____________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____________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____________</w:t>
            </w:r>
          </w:p>
        </w:tc>
      </w:tr>
      <w:tr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5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____________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____________</w:t>
            </w:r>
          </w:p>
        </w:tc>
        <w:tc>
          <w:tcPr>
            <w:tcW w:w="1860" w:type="dxa"/>
          </w:tcPr>
          <w:p>
            <w:pPr>
              <w:spacing w:before="0" w:after="70" w:line="270" w:lineRule="auto"/>
            </w:pPr>
            <w:r>
              <w:rPr>
                <w:rFonts w:ascii="Calibri" w:hAnsi="Calibri" w:eastAsia="Calibri"/>
                <w:sz w:val="21"/>
              </w:rPr>
              <w:t xml:space="preserve">____________</w:t>
            </w:r>
          </w:p>
        </w:tc>
      </w:tr>
    </w:tbl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Расчет: ЭР: __________ сек.  ВР: __________  ПУ: __________  Т5 − Т1: __________ сек.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Ошибки: сумма __________ / пропуски регистрации _______________________.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Условия, поведение, стратегия поиска, зрительные и моторные особенности: _______________________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___________________________________________________________________________________________</w:t>
      </w:r>
    </w:p>
    <w:p>
      <w:pPr>
        <w:spacing w:before="235" w:after="100" w:line="270" w:lineRule="auto"/>
        <w:keepNext/>
      </w:pPr>
      <w:r>
        <w:rPr>
          <w:rFonts w:ascii="Calibri" w:hAnsi="Calibri" w:eastAsia="Calibri"/>
          <w:sz w:val="25"/>
          <w:b/>
          <w:color w:val="1F6548"/>
        </w:rPr>
        <w:t xml:space="preserve">Ограничения и разночтения</w:t>
      </w:r>
    </w:p>
    <w:p>
      <w:pPr>
        <w:spacing w:before="0" w:after="70" w:line="270" w:lineRule="auto"/>
      </w:pPr>
      <w:r>
        <w:rPr>
          <w:rFonts w:ascii="Calibri" w:hAnsi="Calibri" w:eastAsia="Calibri"/>
          <w:sz w:val="21"/>
        </w:rPr>
        <w:t xml:space="preserve">В разных руководствах есть разные возрастные таблицы, образцы матриц и представления нормативных диапазонов. Нормы нельзя переносить между возрастами или измененными листами. На сайте доступны лишь количественные описательные расчеты без диагноза.</w:t>
      </w:r>
    </w:p>
    <w:p>
      <w:pPr>
        <w:spacing w:before="235" w:after="100" w:line="270" w:lineRule="auto"/>
        <w:keepNext/>
      </w:pPr>
      <w:r>
        <w:rPr>
          <w:rFonts w:ascii="Calibri" w:hAnsi="Calibri" w:eastAsia="Calibri"/>
          <w:sz w:val="25"/>
          <w:b/>
          <w:color w:val="1F6548"/>
        </w:rPr>
        <w:t xml:space="preserve">Первоисточник и материалы сверки</w:t>
      </w:r>
    </w:p>
    <w:p>
      <w:pPr>
        <w:spacing w:before="0" w:after="70" w:line="270" w:lineRule="auto"/>
      </w:pPr>
      <w:r>
        <w:rPr>
          <w:rFonts w:ascii="Calibri" w:hAnsi="Calibri" w:eastAsia="Calibri"/>
          <w:sz w:val="17"/>
        </w:rPr>
        <w:t xml:space="preserve">Методика «Таблицы Шульте», описание процедуры, таблицы №1–5 и ключи обработки: https://ppms22.ru/upload/medialibrary/2e7/knrjcfebjyc0ek8u3gjdv18auw6wszpt/1.-Vnimanie_Tablitsy-SHulte.pdf</w:t>
      </w:r>
    </w:p>
    <w:p>
      <w:pPr>
        <w:spacing w:before="0" w:after="70" w:line="270" w:lineRule="auto"/>
      </w:pPr>
      <w:r>
        <w:rPr>
          <w:rFonts w:ascii="Calibri" w:hAnsi="Calibri" w:eastAsia="Calibri"/>
          <w:sz w:val="17"/>
        </w:rPr>
        <w:t xml:space="preserve">Дополнительное описание тех же формул в материалах непрерывного медицинского образования: https://rmanpo.ru/upload/iblock/72b/rzp2mj8uq08ztr8400hazflsfe6xble4.pdf</w:t>
      </w:r>
    </w:p>
    <w:p>
      <w:pPr>
        <w:spacing w:before="0" w:after="70" w:line="270" w:lineRule="auto"/>
      </w:pPr>
      <w:r>
        <w:rPr>
          <w:rFonts w:ascii="Calibri" w:hAnsi="Calibri" w:eastAsia="Calibri"/>
          <w:sz w:val="17"/>
        </w:rPr>
        <w:t xml:space="preserve">Рабочее руководство Психотеки подготовлено для регистрации и описательного подсчета. Нормативная пригодность в отдельной группе подлежит проверке специалистом.</w:t>
      </w:r>
    </w:p>
    <w:sectPr>
      <w:pgSz w:w="11906" w:h="16838"/>
      <w:pgMar w:top="1050" w:bottom="1050" w:left="1170" w:right="1170"/>
    </w:sectPr>
  </w:body>
</w:document>
</file>