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 w:line="265" w:lineRule="auto"/>
      </w:pPr>
      <w:r>
        <w:rPr>
          <w:rFonts w:ascii="Calibri" w:hAnsi="Calibri"/>
          <w:sz w:val="36"/>
          <w:b/>
          <w:color w:val="1A6449"/>
        </w:rPr>
        <w:t xml:space="preserve">Методика классификации предметов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Психотека · 16 предметных карточек, два этапа · руководство и протокол специалиста</w:t>
      </w:r>
    </w:p>
    <w:p>
      <w:pPr>
        <w:spacing w:before="200" w:after="85" w:line="265" w:lineRule="auto"/>
        <w:keepNext/>
      </w:pPr>
      <w:r>
        <w:rPr>
          <w:rFonts w:ascii="Calibri" w:hAnsi="Calibri"/>
          <w:sz w:val="26"/>
          <w:b/>
          <w:color w:val="1A6449"/>
        </w:rPr>
        <w:t xml:space="preserve">Паспорт методики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Классическая патопсихологическая классификация предметов изложена С. Я. Рубинштейн (традиция Б. В. Зейгарник). В данном наборе используется укороченная процедура по заданию IV комплексной методики У. В. Ульенковой, модификации Н. Ю. Боряковой: 16 карточек, 4 предметные категории, затем объединение в 2 более широкие.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Авторы научного источника для выбранного задания: Н. Ю. Борякова, В. В. Фёдоров (2025). Возраст исследования: 6–7 лет. Рисунки на карточках сделаны специально для Психотеки и НЕ совпадают с оригинальными стимульными картинками статьи.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Назначение: наблюдение за предметным обобщением, выбором оснований классификации, пояснениями, помощью и самокоррекцией. Новые картинки не проходили психометрической стандартизации.</w:t>
      </w:r>
    </w:p>
    <w:p>
      <w:pPr>
        <w:spacing w:before="200" w:after="85" w:line="265" w:lineRule="auto"/>
        <w:keepNext/>
      </w:pPr>
      <w:r>
        <w:rPr>
          <w:rFonts w:ascii="Calibri" w:hAnsi="Calibri"/>
          <w:sz w:val="26"/>
          <w:b/>
          <w:color w:val="1A6449"/>
        </w:rPr>
        <w:t xml:space="preserve">Комплект и подготовка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Распечатайте файл object_classification_16_cards.html на 3 листах А4 в масштабе 100%, разрежьте на 16 карточек размером 70×70 мм. Номер C01–C16 помогает психологу зарегистрировать выбор, но не обозначает правильную группу. Содержимое групп и ключ ребенку не показываются.</w:t>
      </w:r>
    </w:p>
    <w:p>
      <w:pPr>
        <w:spacing w:before="200" w:after="85" w:line="265" w:lineRule="auto"/>
        <w:keepNext/>
      </w:pPr>
      <w:r>
        <w:rPr>
          <w:rFonts w:ascii="Calibri" w:hAnsi="Calibri"/>
          <w:sz w:val="26"/>
          <w:b/>
          <w:color w:val="1A6449"/>
        </w:rPr>
        <w:t xml:space="preserve">Задание 1 · четыре группы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Разложите карточки в случайном порядке, не группируя похожие заранее. Убедитесь, что ребенок узнаёт изображённые предметы. Произнесите: «Посмотри на картинки. Разложи их на четыре группы так, чтобы в каждой были подходящие друг к другу картинки и их можно было назвать одним словом».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Запишите, какие картинки ребенок объединил, как назвал группы и почему выбрал именно такое основание. При затруднении допускается организующая помощь — выложите одну карточку и предложите подобрать подходящие, отдельно записав ее факт.</w:t>
      </w:r>
    </w:p>
    <w:p>
      <w:pPr>
        <w:spacing w:before="200" w:after="85" w:line="265" w:lineRule="auto"/>
        <w:keepNext/>
      </w:pPr>
      <w:r>
        <w:rPr>
          <w:rFonts w:ascii="Calibri" w:hAnsi="Calibri"/>
          <w:sz w:val="26"/>
          <w:b/>
          <w:color w:val="1A6449"/>
        </w:rPr>
        <w:t xml:space="preserve">Задание 2 · две укрупнённые группы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Предложите объединить четыре полученные группы в две более общие так, чтобы внутри каждой предметы имели общий признак, и попросите объяснить свои действия. Целевой вариант в выбранной схеме: птицы + рыбы = живое; посуда + мебель = неживое. Ребёнку эти названия заранее не сообщают.</w:t>
      </w:r>
    </w:p>
    <w:p>
      <w:pPr>
        <w:spacing w:before="200" w:after="85" w:line="265" w:lineRule="auto"/>
        <w:keepNext/>
      </w:pPr>
      <w:r>
        <w:rPr>
          <w:rFonts w:ascii="Calibri" w:hAnsi="Calibri"/>
          <w:sz w:val="26"/>
          <w:b/>
          <w:color w:val="1A6449"/>
        </w:rPr>
        <w:t xml:space="preserve">Обработка и границы применения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В Психотеке автоматически подсчитывается только техническое число совпадений с четырьмя предметными категориями после регистрации всех 16 карточек (0–16) и со схемой двух широких категорий после всех четырёх решений (0–4).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Отсутствие записи не является ошибкой. Описательные числа НЕЛЬЗЯ переводить в станайны, возрастные уровни, диагноз или IQ. Классические наборы примерно из 70 карточек, методика Семаго и использованный 16-карточный набор не взаимозаменяемы.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Во время обсуждения учитывайте необычные, но аргументированные основания классификации. Отдельно фиксируйте узнавание изображений, помощь, исправления, устойчивость стратегии и эмоциональные особенности.</w:t>
      </w:r>
    </w:p>
    <w:p>
      <w:r>
        <w:br w:type="page"/>
      </w:r>
    </w:p>
    <w:p>
      <w:pPr>
        <w:spacing w:before="200" w:after="85" w:line="265" w:lineRule="auto"/>
        <w:keepNext/>
      </w:pPr>
      <w:r>
        <w:rPr>
          <w:rFonts w:ascii="Calibri" w:hAnsi="Calibri"/>
          <w:sz w:val="26"/>
          <w:b/>
          <w:color w:val="1A6449"/>
        </w:rPr>
        <w:t xml:space="preserve">Протокол для психолога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Код ребенка: ___________________  Возраст: _______  Дата: ______________  Класс: _________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Этап 1. Для каждой карточки запишите выбранную ребенком группу. Таблица правильных категорий находится в третьей колонке ТОЛЬКО для специалиста.</w:t>
      </w:r>
    </w:p>
    <w:tbl>
      <w:tblPr>
        <w:tblW w:w="8900" w:type="dxa"/>
        <w:tblBorders>
          <w:top w:val="single" w:sz="5" w:color="779F88"/>
          <w:bottom w:val="single" w:sz="5" w:color="779F88"/>
          <w:insideH w:val="single" w:sz="4" w:color="CADACC"/>
          <w:insideV w:val="single" w:sz="4" w:color="CADACC"/>
        </w:tblBorders>
      </w:tblP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Карточка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Группа ребенка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Ожидаемая группа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C01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Мебель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C02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Птицы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C03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Посуда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C04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Рыбы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C05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Птицы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C06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Посуда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C07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Мебель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C08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Рыбы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C09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Посуда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C10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Птицы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C11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Мебель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C12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Рыбы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C13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Посуда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C14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Птицы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C15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Рыбы</w:t>
            </w:r>
          </w:p>
        </w:tc>
      </w:tr>
      <w:tr>
        <w:tc>
          <w:tcPr>
            <w:tcW w:w="1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C16</w:t>
            </w:r>
          </w:p>
        </w:tc>
        <w:tc>
          <w:tcPr>
            <w:tcW w:w="29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________________________</w:t>
            </w:r>
          </w:p>
        </w:tc>
        <w:tc>
          <w:tcPr>
            <w:tcW w:w="4200" w:type="dxa"/>
          </w:tcPr>
          <w:p>
            <w:pPr>
              <w:spacing w:before="0" w:after="60" w:line="265" w:lineRule="auto"/>
            </w:pPr>
            <w:r>
              <w:rPr>
                <w:rFonts w:ascii="Calibri" w:hAnsi="Calibri"/>
                <w:sz w:val="20"/>
              </w:rPr>
              <w:t xml:space="preserve">Мебель</w:t>
            </w:r>
          </w:p>
        </w:tc>
      </w:tr>
    </w:tbl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Этап 1: размещено ______ из 16; совпало ______ из 16 (при завершении всех карточек).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Этап 2: птицы — __________________; рыбы — _________________; посуда — __________________; мебель — __________________.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Этап 2: объединено ______ из 4; совпало ______ из 4 (при завершении).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Как ребенок назвал группы: _________________________________________________________________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Объяснения ребенка (дословно): _____________________________________________________________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___________________________________________________________________________________________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Была ли организующая помощь: _____________________________________________________________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Перестановки и исправления: ______________________________________________________________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Проблемы узнавания рисунков: ______________________________________________________________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Общее наблюдение / дальнейшее уточнение: __________________________________________________</w:t>
      </w:r>
    </w:p>
    <w:p>
      <w:pPr>
        <w:spacing w:before="0" w:after="60" w:line="265" w:lineRule="auto"/>
      </w:pPr>
      <w:r>
        <w:rPr>
          <w:rFonts w:ascii="Calibri" w:hAnsi="Calibri"/>
          <w:sz w:val="20"/>
        </w:rPr>
        <w:t xml:space="preserve">___________________________________________________________________________________________</w:t>
      </w:r>
    </w:p>
    <w:p>
      <w:pPr>
        <w:spacing w:before="200" w:after="85" w:line="265" w:lineRule="auto"/>
        <w:keepNext/>
      </w:pPr>
      <w:r>
        <w:rPr>
          <w:rFonts w:ascii="Calibri" w:hAnsi="Calibri"/>
          <w:sz w:val="26"/>
          <w:b/>
          <w:color w:val="1A6449"/>
        </w:rPr>
        <w:t xml:space="preserve">Источники</w:t>
      </w:r>
    </w:p>
    <w:p>
      <w:pPr>
        <w:spacing w:before="0" w:after="60" w:line="265" w:lineRule="auto"/>
      </w:pPr>
      <w:r>
        <w:rPr>
          <w:rFonts w:ascii="Calibri" w:hAnsi="Calibri"/>
          <w:sz w:val="18"/>
        </w:rPr>
        <w:t xml:space="preserve">Борякова Н. Ю., Фёдоров В. В. Стандартизация «Методики диагностики мыслительной деятельности детей 6–7 лет» (автор У. В. Ульенкова, модификация Н. Ю. Боряковой). Психолого-педагогические исследования. 2025;17(4):56–81. Раздел «Задание IV. Классификация».</w:t>
      </w:r>
    </w:p>
    <w:p>
      <w:pPr>
        <w:spacing w:before="0" w:after="60" w:line="265" w:lineRule="auto"/>
      </w:pPr>
      <w:r>
        <w:rPr>
          <w:rFonts w:ascii="Calibri" w:hAnsi="Calibri"/>
          <w:sz w:val="18"/>
        </w:rPr>
        <w:t xml:space="preserve">https://psyjournals.ru/journals/psyedu/archive/2025_n4/Boryakova_Fedorov</w:t>
      </w:r>
    </w:p>
    <w:p>
      <w:pPr>
        <w:spacing w:before="0" w:after="60" w:line="265" w:lineRule="auto"/>
      </w:pPr>
      <w:r>
        <w:rPr>
          <w:rFonts w:ascii="Calibri" w:hAnsi="Calibri"/>
          <w:sz w:val="18"/>
        </w:rPr>
        <w:t xml:space="preserve">Блейхер В. М. «Расстройства мышления»: описание классической предметной классификации и качественного анализа. https://www.psychiatry.ru/lib/1/book/87/chapter/3</w:t>
      </w:r>
    </w:p>
    <w:p>
      <w:pPr>
        <w:spacing w:before="0" w:after="60" w:line="265" w:lineRule="auto"/>
      </w:pPr>
      <w:r>
        <w:rPr>
          <w:rFonts w:ascii="Calibri" w:hAnsi="Calibri"/>
          <w:sz w:val="18"/>
        </w:rPr>
        <w:t xml:space="preserve">Печатные рисунки и таблица регистрации — новые рабочие материалы Психотеки; нормы публикации Боряковой и Фёдорова к ним не применяются.</w:t>
      </w:r>
    </w:p>
    <w:sectPr>
      <w:pgSz w:w="11906" w:h="16838"/>
      <w:pgMar w:top="780" w:bottom="780" w:left="930" w:right="930"/>
    </w:sectPr>
  </w:body>
</w:document>
</file>