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Arial" w:hAnsi="Arial" w:eastAsia="Arial"/>
          <w:sz w:val="32"/>
          <w:b/>
        </w:rPr>
        <w:t xml:space="preserve">Шкала воспринимаемой социальной поддержки (MSPSS)</w:t>
      </w:r>
    </w:p>
    <w:p>
      <w:pPr>
        <w:spacing w:after="90"/>
      </w:pPr>
      <w:r>
        <w:rPr>
          <w:rFonts w:ascii="Arial" w:hAnsi="Arial" w:eastAsia="Arial"/>
          <w:sz w:val="21"/>
        </w:rPr>
        <w:t xml:space="preserve">Методика и руководство для педагога-психолога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Цель методики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Оценка субъективно воспринимаемой социальной поддержки с выделением трех ее источников: семьи, друзей и значимого человека.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Описание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Авторы: Г. Зимет, Н. Далем, С. Зимет, Г. Фарли (1988). Опросник предназначен для подростков и взрослых и включает 12 утверждений по трем шкалам.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Порядок проведения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Предложите участнику заполнить двенадцать утверждений. Создайте спокойную обстановку, обеспечьте конфиденциальность. Не подсказывайте ответы. Перенесите ответы строго по номерам.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Инструкция, которую психолог читает ученику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«Сейчас ты прочитаешь предложения о людях, которые могут тебя поддержать. Подумай, насколько ты согласен с каждым из них. Выбери подходящую цифру и отметь один кружок в строке. Здесь нет правильных и неправильных ответов».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Стимульный материал</w:t>
      </w:r>
    </w:p>
    <w:tbl>
      <w:tblPr>
        <w:tblW w:w="10150" w:type="dxa"/>
        <w:tblLayout w:type="fixed"/>
        <w:tblBorders>
          <w:top w:val="single" w:sz="4" w:color="BED5C4"/>
          <w:bottom w:val="single" w:sz="4" w:color="BED5C4"/>
          <w:left w:val="single" w:sz="4" w:color="BED5C4"/>
          <w:right w:val="single" w:sz="4" w:color="BED5C4"/>
          <w:insideH w:val="single" w:sz="4" w:color="BED5C4"/>
          <w:insideV w:val="single" w:sz="4" w:color="BED5C4"/>
        </w:tblBorders>
      </w:tblPr>
      <w:tblGrid>
        <w:gridCol w:w="640"/>
        <w:gridCol w:w="9510"/>
      </w:tblGrid>
      <w:tr>
        <w:trPr>
          <w:tblHeader w:val="true"/>
        </w:trPr>
        <w:tc>
          <w:tcPr>
            <w:tcW w:w="64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№</w:t>
            </w:r>
          </w:p>
        </w:tc>
        <w:tc>
          <w:tcPr>
            <w:tcW w:w="951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  <w:b/>
              </w:rPr>
              <w:t xml:space="preserve">Утверждение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Когда мне нужна помощь, рядом есть особенный для меня человек.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2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Есть особенный для меня человек, с которым я могу разделить радость и печаль.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3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Моя семья действительно старается помогать мне.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4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Я получаю от семьи эмоциональную помощь и поддержку, в которой нуждаюсь.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5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В моей жизни есть особенный человек, который по-настоящему меня утешает.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6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Мои друзья действительно стараются мне помочь.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7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Когда что-то идет не так, я могу рассчитывать на друзей.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8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Я могу обсуждать свои проблемы с семьей.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9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У меня есть друзья, с которыми можно делиться радостью и печалью.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10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В моей жизни есть особенный человек, которому небезразличны мои чувства.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11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Члены моей семьи готовы помогать мне принимать решения.</w:t>
            </w:r>
          </w:p>
        </w:tc>
      </w:tr>
      <w:tr>
        <w:tc>
          <w:tcPr>
            <w:tcW w:w="64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12</w:t>
            </w:r>
          </w:p>
        </w:tc>
        <w:tc>
          <w:tcPr>
            <w:tcW w:w="951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20"/>
              </w:rPr>
              <w:t xml:space="preserve">Я могу рассказывать друзьям о своих проблемах.</w:t>
            </w:r>
          </w:p>
        </w:tc>
      </w:tr>
    </w:tbl>
    <w:p>
      <w:pPr>
        <w:spacing w:after="110"/>
      </w:pPr>
      <w:r>
        <w:rPr>
          <w:rFonts w:ascii="Arial" w:hAnsi="Arial" w:eastAsia="Arial"/>
          <w:sz w:val="25"/>
          <w:b/>
        </w:rPr>
        <w:t xml:space="preserve">Ключ и подсчет</w:t>
      </w:r>
    </w:p>
    <w:tbl>
      <w:tblPr>
        <w:tblW w:w="10150" w:type="dxa"/>
        <w:tblLayout w:type="fixed"/>
        <w:tblBorders>
          <w:top w:val="single" w:sz="4" w:color="BED5C4"/>
          <w:bottom w:val="single" w:sz="4" w:color="BED5C4"/>
          <w:left w:val="single" w:sz="4" w:color="BED5C4"/>
          <w:right w:val="single" w:sz="4" w:color="BED5C4"/>
          <w:insideH w:val="single" w:sz="4" w:color="BED5C4"/>
          <w:insideV w:val="single" w:sz="4" w:color="BED5C4"/>
        </w:tblBorders>
      </w:tblPr>
      <w:tblGrid>
        <w:gridCol w:w="4100"/>
        <w:gridCol w:w="3400"/>
        <w:gridCol w:w="2650"/>
      </w:tblGrid>
      <w:tr>
        <w:trPr>
          <w:tblHeader w:val="true"/>
        </w:trPr>
        <w:tc>
          <w:tcPr>
            <w:tcW w:w="410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  <w:b/>
              </w:rPr>
              <w:t xml:space="preserve">Шкала</w:t>
            </w:r>
          </w:p>
        </w:tc>
        <w:tc>
          <w:tcPr>
            <w:tcW w:w="340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  <w:b/>
              </w:rPr>
              <w:t xml:space="preserve">Пункты</w:t>
            </w:r>
          </w:p>
        </w:tc>
        <w:tc>
          <w:tcPr>
            <w:tcW w:w="2650" w:type="dxa"/>
            <w:shd w:fill="EAF2EB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  <w:b/>
              </w:rPr>
              <w:t xml:space="preserve">Расчет</w:t>
            </w:r>
          </w:p>
        </w:tc>
      </w:tr>
      <w:tr>
        <w:tc>
          <w:tcPr>
            <w:tcW w:w="41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Значимый человек</w:t>
            </w:r>
          </w:p>
        </w:tc>
        <w:tc>
          <w:tcPr>
            <w:tcW w:w="34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1, 2, 5, 10</w:t>
            </w:r>
          </w:p>
        </w:tc>
        <w:tc>
          <w:tcPr>
            <w:tcW w:w="265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Сумма / 4</w:t>
            </w:r>
          </w:p>
        </w:tc>
      </w:tr>
      <w:tr>
        <w:tc>
          <w:tcPr>
            <w:tcW w:w="41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Семья</w:t>
            </w:r>
          </w:p>
        </w:tc>
        <w:tc>
          <w:tcPr>
            <w:tcW w:w="34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3, 4, 8, 11</w:t>
            </w:r>
          </w:p>
        </w:tc>
        <w:tc>
          <w:tcPr>
            <w:tcW w:w="265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Сумма / 4</w:t>
            </w:r>
          </w:p>
        </w:tc>
      </w:tr>
      <w:tr>
        <w:tc>
          <w:tcPr>
            <w:tcW w:w="41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Друзья</w:t>
            </w:r>
          </w:p>
        </w:tc>
        <w:tc>
          <w:tcPr>
            <w:tcW w:w="34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6, 7, 9, 12</w:t>
            </w:r>
          </w:p>
        </w:tc>
        <w:tc>
          <w:tcPr>
            <w:tcW w:w="265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Сумма / 4</w:t>
            </w:r>
          </w:p>
        </w:tc>
      </w:tr>
      <w:tr>
        <w:tc>
          <w:tcPr>
            <w:tcW w:w="41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Общий показатель</w:t>
            </w:r>
          </w:p>
        </w:tc>
        <w:tc>
          <w:tcPr>
            <w:tcW w:w="340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Все 12</w:t>
            </w:r>
          </w:p>
        </w:tc>
        <w:tc>
          <w:tcPr>
            <w:tcW w:w="2650" w:type="dxa"/>
            <w:tcMar>
              <w:top w:w="70" w:type="dxa"/>
              <w:bottom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 xml:space="preserve">Сумма / 12</w:t>
            </w:r>
          </w:p>
        </w:tc>
      </w:tr>
    </w:tbl>
    <w:p>
      <w:pPr>
        <w:spacing w:after="90"/>
      </w:pPr>
      <w:r>
        <w:rPr>
          <w:rFonts w:ascii="Arial" w:hAnsi="Arial" w:eastAsia="Arial"/>
          <w:sz w:val="22"/>
        </w:rPr>
        <w:t xml:space="preserve">Каждому пункту соответствует ответ от 1 до 7, обратных пунктов нет. При пропуске хотя бы одного ответа полный расчет не выполняется.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Интерпретация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Более высокий средний балл соответствует более высокому субъективному ощущению доступности социальной поддержки. Используйте результаты вместе с наблюдением и беседой. Для рабочего русского перевода не утверждены собственные возрастные нормы и диагностические пороги.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Протокол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Фамилия, имя: ______________________________________  Класс: _______  Дата: __________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Общий показатель: ________  Семья: ________  Друзья: ________  Значимый человек: ________</w:t>
      </w:r>
    </w:p>
    <w:p>
      <w:pPr>
        <w:spacing w:after="90"/>
      </w:pPr>
      <w:r>
        <w:rPr>
          <w:rFonts w:ascii="Arial" w:hAnsi="Arial" w:eastAsia="Arial"/>
          <w:sz w:val="22"/>
        </w:rPr>
        <w:t xml:space="preserve">Наблюдения и рекомендации: ________________________________________________________</w:t>
      </w:r>
    </w:p>
    <w:p>
      <w:pPr>
        <w:spacing w:after="110"/>
      </w:pPr>
      <w:r>
        <w:rPr>
          <w:rFonts w:ascii="Arial" w:hAnsi="Arial" w:eastAsia="Arial"/>
          <w:sz w:val="25"/>
          <w:b/>
        </w:rPr>
        <w:t xml:space="preserve">Первоисточник</w:t>
      </w:r>
    </w:p>
    <w:p>
      <w:pPr>
        <w:spacing w:after="90"/>
      </w:pPr>
      <w:r>
        <w:rPr>
          <w:rFonts w:ascii="Arial" w:hAnsi="Arial" w:eastAsia="Arial"/>
          <w:sz w:val="18"/>
        </w:rPr>
        <w:t xml:space="preserve">G. D. Zimet et al. (1988). Multidimensional Scale of Perceived Social Support. https://gzimet.wixsite.com/mspss</w:t>
      </w:r>
    </w:p>
    <w:sectPr>
      <w:pgSz w:w="11906" w:h="16838"/>
      <w:pgMar w:top="750" w:right="760" w:bottom="750" w:left="760"/>
    </w:sectPr>
  </w:body>
</w:document>
</file>